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1921135d350038fea1bda17c3137e25a6b6b50"/>
    <w:p>
      <w:pPr>
        <w:pStyle w:val="Heading1"/>
      </w:pPr>
      <w:r>
        <w:t xml:space="preserve">Analyse d’impact relative à la protection des données (AIPD) — service Relais</w:t>
      </w:r>
    </w:p>
    <w:p>
      <w:pPr>
        <w:pStyle w:val="BlockText"/>
      </w:pPr>
      <w:r>
        <w:t xml:space="preserve">Document à faire valider par un avocat avant utilisation. Version du 27 septembre 2026, établie selon la méthode de la CNIL (guide « PIA », 2018) et les lignes directrices du CEPD (WP 248). À revoir à chaque changement de prestataire, d’outil ou de périmètre, et au moins une fois par an.</w:t>
      </w:r>
    </w:p>
    <w:p>
      <w:pPr>
        <w:pStyle w:val="FirstParagraph"/>
      </w:pPr>
      <w:r>
        <w:t xml:space="preserve">Responsable de traitement : NESS ACADEMIE, SAS au capital de 1 000 €, RCS Paris 978 575 397, exploitant le service « Relais ».</w:t>
      </w:r>
      <w:r>
        <w:t xml:space="preserve"> </w:t>
      </w:r>
      <w:r>
        <w:t xml:space="preserve">Rédacteur : le président de NESS ACADEMIE. Contact protection des données : ilansarfati.paris@gmail.com (adresse provisoire, à remplacer par l’adresse dédiée du domaine).</w:t>
      </w:r>
    </w:p>
    <w:bookmarkStart w:id="20" w:name="pourquoi-une-aipd-est-obligatoire"/>
    <w:p>
      <w:pPr>
        <w:pStyle w:val="Heading2"/>
      </w:pPr>
      <w:r>
        <w:t xml:space="preserve">1. Pourquoi une AIPD est obligatoire</w:t>
      </w:r>
    </w:p>
    <w:p>
      <w:pPr>
        <w:pStyle w:val="FirstParagraph"/>
      </w:pPr>
      <w:r>
        <w:t xml:space="preserve">Le CEPD et la CNIL imposent une AIPD lorsqu’un traitement remplit au moins deux des neuf critères de risque. Relais en remplit quatre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 (WP 248)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 Relais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sensibles ou hautement personnelles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de santé (comptes rendus d’hospitalisation, APA, CSS, remboursements), données financières (pensions, relevés, avis d’imposition), identifiants de connexion.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Personnes vulnérables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Personnes âgées de 70 à 90 ans, parfois en perte d’autonomie.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 à grande échelle ou croisement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Centralisation de l’ensemble de la vie administrative d’une personne (santé, retraite, fiscalité, banque, logement).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innovant ou nouvelle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automatique du courrier par reconnaissance de texte et règles (outil</w:t>
            </w:r>
            <w:r>
              <w:t xml:space="preserve"> </w:t>
            </w:r>
            <w:r>
              <w:rPr>
                <w:rStyle w:val="VerbatimChar"/>
              </w:rPr>
              <w:t xml:space="preserve">classify.py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La liste CNIL des traitements soumis à AIPD vise en outre la « gestion des dossiers de personnes vulnérables ». L’AIPD doit être terminée</w:t>
      </w:r>
      <w:r>
        <w:t xml:space="preserve"> </w:t>
      </w:r>
      <w:r>
        <w:rPr>
          <w:bCs/>
          <w:b/>
        </w:rPr>
        <w:t xml:space="preserve">avant le premier client</w:t>
      </w:r>
      <w:r>
        <w:t xml:space="preserve">.</w:t>
      </w:r>
    </w:p>
    <w:bookmarkEnd w:id="20"/>
    <w:bookmarkStart w:id="24" w:name="description-du-traitement"/>
    <w:p>
      <w:pPr>
        <w:pStyle w:val="Heading2"/>
      </w:pPr>
      <w:r>
        <w:t xml:space="preserve">2. Description du traitement</w:t>
      </w:r>
    </w:p>
    <w:bookmarkStart w:id="21" w:name="finalités"/>
    <w:p>
      <w:pPr>
        <w:pStyle w:val="Heading3"/>
      </w:pPr>
      <w:r>
        <w:t xml:space="preserve">2.1 Finalités</w:t>
      </w:r>
    </w:p>
    <w:p>
      <w:pPr>
        <w:numPr>
          <w:ilvl w:val="0"/>
          <w:numId w:val="1001"/>
        </w:numPr>
        <w:pStyle w:val="Compact"/>
      </w:pPr>
      <w:r>
        <w:t xml:space="preserve">Gérer les demandes de contact et la relation commerciale avec l’enfant (prospects).</w:t>
      </w:r>
    </w:p>
    <w:p>
      <w:pPr>
        <w:numPr>
          <w:ilvl w:val="0"/>
          <w:numId w:val="1001"/>
        </w:numPr>
        <w:pStyle w:val="Compact"/>
      </w:pPr>
      <w:r>
        <w:t xml:space="preserve">Exécuter le mandat de représentation administrative du parent : réception et traitement du courrier, gestion des comptes en ligne, dépôt de demandes et de réclamations, rendez-vous.</w:t>
      </w:r>
    </w:p>
    <w:p>
      <w:pPr>
        <w:numPr>
          <w:ilvl w:val="0"/>
          <w:numId w:val="1001"/>
        </w:numPr>
        <w:pStyle w:val="Compact"/>
      </w:pPr>
      <w:r>
        <w:t xml:space="preserve">Rendre compte à l’enfant (rapport mensuel, alertes).</w:t>
      </w:r>
    </w:p>
    <w:p>
      <w:pPr>
        <w:numPr>
          <w:ilvl w:val="0"/>
          <w:numId w:val="1001"/>
        </w:numPr>
        <w:pStyle w:val="Compact"/>
      </w:pPr>
      <w:r>
        <w:t xml:space="preserve">Facturer et encaisser.</w:t>
      </w:r>
    </w:p>
    <w:p>
      <w:pPr>
        <w:numPr>
          <w:ilvl w:val="0"/>
          <w:numId w:val="1001"/>
        </w:numPr>
        <w:pStyle w:val="Compact"/>
      </w:pPr>
      <w:r>
        <w:t xml:space="preserve">Conserver la preuve des actions réalisées et des consentements.</w:t>
      </w:r>
    </w:p>
    <w:bookmarkEnd w:id="21"/>
    <w:bookmarkStart w:id="22" w:name="personnes-concernées-et-données"/>
    <w:p>
      <w:pPr>
        <w:pStyle w:val="Heading3"/>
      </w:pPr>
      <w:r>
        <w:t xml:space="preserve">2.2 Personnes concernées et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 (client, prospect)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Identité, courriel, téléphone, pays et fuseau, pièce d’identité, données de paiement (traitées par Stripe, jamais par Relais), historique des échanges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; pièce d’identité à protéger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(bénéficiaire, mandant)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Identité, date de naissance, adresse, téléphone, pièce d’identité, numéros d’organismes (sécurité sociale, fiscal, allocataire), identifiants de connexion, courrier reçu, montants (pensions, factures, aides)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Élevée</w:t>
            </w:r>
            <w:r>
              <w:t xml:space="preserve"> </w:t>
            </w:r>
            <w:r>
              <w:t xml:space="preserve">: santé, finances, identifiants, 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Tiers cités dans le courrier (conjoint, médecin, syndic)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qualité, coordonnées professionnelles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 Relais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Identité, journal d’accès au coffre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</w:tbl>
    <w:p>
      <w:pPr>
        <w:pStyle w:val="BodyText"/>
      </w:pPr>
      <w:r>
        <w:t xml:space="preserve">Le numéro de sécurité sociale (NIR) n’est conservé que lorsqu’il figure sur un document nécessaire à une démarche ; il n’est jamais utilisé comme identifiant dans la base.</w:t>
      </w:r>
    </w:p>
    <w:bookmarkEnd w:id="22"/>
    <w:bookmarkStart w:id="23" w:name="flux-et-outils"/>
    <w:p>
      <w:pPr>
        <w:pStyle w:val="Heading3"/>
      </w:pPr>
      <w:r>
        <w:t xml:space="preserve">2.3 Flux et outils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l’encadrement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Formulaire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Workers (</w:t>
            </w:r>
            <w:r>
              <w:rPr>
                <w:rStyle w:val="VerbatimChar"/>
              </w:rPr>
              <w:t xml:space="preserve">/api/demande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mondial 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sous-traitance Cloudflare, clauses contractuelles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gestion (Prospects, Clients, Organismes, Démarches, Courriers)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Airtable (Formagrid Inc.)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sous-traitance Airtable ; vérifier la certification au cadre de protection des données UE–États-Unis (DPF), à défaut clauses contractuelles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Identifiants de 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Bitwarden Teams, région 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sous-traitance Bitwarden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Courrier 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 domiciliation avec numérisation (à choisir)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 (condition de sélection)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sous-traitance à 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Codes de vérification (2FA)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téléphonique Relais dédiée (à choisir)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 (condition de sélection)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 écrit du parent dans le mandat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 partagés avec l’enfant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Espace partagé (à choisir)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 ; HDS si documents médicaux (question posée à l’avocat)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sous-traitance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Payments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 et 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Stripe, clauses contractuelles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Messagerie professionnelle du domaine (à choisir) ; Airtable pour les accusés de réception automatiques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 (condition de sélection) ; États-Unis pour Airtable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de sous-traitance</w:t>
            </w:r>
          </w:p>
        </w:tc>
      </w:tr>
    </w:tbl>
    <w:bookmarkEnd w:id="23"/>
    <w:bookmarkEnd w:id="24"/>
    <w:bookmarkStart w:id="29" w:name="principes-fondamentaux"/>
    <w:p>
      <w:pPr>
        <w:pStyle w:val="Heading2"/>
      </w:pPr>
      <w:r>
        <w:t xml:space="preserve">3. Principes fondamentaux</w:t>
      </w:r>
    </w:p>
    <w:bookmarkStart w:id="25" w:name="bases-légales"/>
    <w:p>
      <w:pPr>
        <w:pStyle w:val="Heading3"/>
      </w:pPr>
      <w:r>
        <w:t xml:space="preserve">3.1 Bases légales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légale (RGPD)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précontractuelles à la demande de l’enfant (art. 6.1.b)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Exécution du mandat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du contrat (art. 6.1.b) ; pour les données de santé,</w:t>
            </w:r>
            <w:r>
              <w:t xml:space="preserve"> </w:t>
            </w:r>
            <w:r>
              <w:rPr>
                <w:bCs/>
                <w:b/>
              </w:rPr>
              <w:t xml:space="preserve">consentement explicite du parent</w:t>
            </w:r>
            <w:r>
              <w:t xml:space="preserve"> </w:t>
            </w:r>
            <w:r>
              <w:t xml:space="preserve">recueilli dans le mandat (art. 9.2.a), case distincte, retirable à tout moment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Rapport à l’enfant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du contrat ; le parent désigne l’enfant comme Personne de confiance dans le mandat et accepte qu’il reçoive les rapports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légale (art. 6.1.c, conservation comptable)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Preuves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Intérêt légitime (art. 6.1.f) : se défendre en cas de litige ou de suspicion d’abus de faiblesse</w:t>
            </w:r>
          </w:p>
        </w:tc>
      </w:tr>
    </w:tbl>
    <w:bookmarkEnd w:id="25"/>
    <w:bookmarkStart w:id="26" w:name="minimisation"/>
    <w:p>
      <w:pPr>
        <w:pStyle w:val="Heading3"/>
      </w:pPr>
      <w:r>
        <w:t xml:space="preserve">3.2 Minimisation</w:t>
      </w:r>
    </w:p>
    <w:p>
      <w:pPr>
        <w:numPr>
          <w:ilvl w:val="0"/>
          <w:numId w:val="1002"/>
        </w:numPr>
        <w:pStyle w:val="Compact"/>
      </w:pPr>
      <w:r>
        <w:t xml:space="preserve">Les rapports mensuels à l’enfant mentionnent l’existence et l’issue des démarches de santé, jamais le contenu médical.</w:t>
      </w:r>
    </w:p>
    <w:p>
      <w:pPr>
        <w:numPr>
          <w:ilvl w:val="0"/>
          <w:numId w:val="1002"/>
        </w:numPr>
        <w:pStyle w:val="Compact"/>
      </w:pPr>
      <w:r>
        <w:t xml:space="preserve">La classification automatique ne conserve que l’organisme, le type, les dates et le montant ; le texte intégral reste dans le scan.</w:t>
      </w:r>
    </w:p>
    <w:p>
      <w:pPr>
        <w:numPr>
          <w:ilvl w:val="0"/>
          <w:numId w:val="1002"/>
        </w:numPr>
        <w:pStyle w:val="Compact"/>
      </w:pPr>
      <w:r>
        <w:t xml:space="preserve">Aucune donnée bancaire du parent n’est saisie dans la base : seul un montant mensuel indicatif par organisme.</w:t>
      </w:r>
    </w:p>
    <w:p>
      <w:pPr>
        <w:numPr>
          <w:ilvl w:val="0"/>
          <w:numId w:val="1002"/>
        </w:numPr>
        <w:pStyle w:val="Compact"/>
      </w:pPr>
      <w:r>
        <w:t xml:space="preserve">Les identifiants ne sont jamais dans Airtable, les courriels ou les messageries : uniquement dans le coffre Bitwarden du client.</w:t>
      </w:r>
    </w:p>
    <w:p>
      <w:pPr>
        <w:numPr>
          <w:ilvl w:val="0"/>
          <w:numId w:val="1002"/>
        </w:numPr>
        <w:pStyle w:val="Compact"/>
      </w:pPr>
      <w:r>
        <w:t xml:space="preserve">Les pièces d’identité sont reçues uniquement par le lien de dépôt sécurisé.</w:t>
      </w:r>
    </w:p>
    <w:bookmarkEnd w:id="26"/>
    <w:bookmarkStart w:id="27" w:name="durées-de-conservation"/>
    <w:p>
      <w:pPr>
        <w:pStyle w:val="Heading3"/>
      </w:pPr>
      <w:r>
        <w:t xml:space="preserve">3.3 Durées de conservation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 non converti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ans à compter du dernier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 client (base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du mandat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du mandat ; suppression sous 15 jours après la 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Courrier numérisé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du mandat, puis restitution au parent ou à ses ayants droit et suppression sous 3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Preuves (mandat, consentements, journal des 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ans après la fin du mandat (prescription civile)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ans (Code de commerce)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d’accès au coffre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an</w:t>
            </w:r>
          </w:p>
        </w:tc>
      </w:tr>
    </w:tbl>
    <w:bookmarkEnd w:id="27"/>
    <w:bookmarkStart w:id="28" w:name="droits-des-personnes"/>
    <w:p>
      <w:pPr>
        <w:pStyle w:val="Heading3"/>
      </w:pPr>
      <w:r>
        <w:t xml:space="preserve">3.4 Droits des personnes</w:t>
      </w:r>
    </w:p>
    <w:p>
      <w:pPr>
        <w:pStyle w:val="FirstParagraph"/>
      </w:pPr>
      <w:r>
        <w:t xml:space="preserve">Accès, rectification, effacement, limitation, portabilité et opposition : demande à l’adresse de contact, réponse sous un mois. Le parent peut retirer son consentement au traitement des données de santé : les démarches de santé cessent, le reste du mandat continue. À la fin du mandat, rapport de clôture et restitution de tous les documents.</w:t>
      </w:r>
    </w:p>
    <w:bookmarkEnd w:id="28"/>
    <w:bookmarkEnd w:id="29"/>
    <w:bookmarkStart w:id="30" w:name="risques"/>
    <w:p>
      <w:pPr>
        <w:pStyle w:val="Heading2"/>
      </w:pPr>
      <w:r>
        <w:t xml:space="preserve">4. Risques</w:t>
      </w:r>
    </w:p>
    <w:p>
      <w:pPr>
        <w:pStyle w:val="FirstParagraph"/>
      </w:pPr>
      <w:r>
        <w:t xml:space="preserve">Gravité et vraisemblance cotées de 1 (négligeable) à 4 (maximale), avant et après mesures.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Impacts sur le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Vraisemblance avant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Vraisemblance après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Accès illégitime</w:t>
            </w:r>
            <w:r>
              <w:t xml:space="preserve"> </w:t>
            </w:r>
            <w:r>
              <w:t xml:space="preserve">aux données ou aux comptes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 d’identifiants d’un opérateur, hameçonnage, ordinateur perdu, faux appel se présentant comme Relais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Usurpation d’identité, détournement de prestations, divulgation de l’état de santé, arnaque ciblée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Modification non désirée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d’opérateur (mauvais dossier), démarche non autorisée, détournement de l’adresse ou du RIB déclarés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d’une pension ou d’un remboursement, résiliation d’un contrat utile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Disparition</w:t>
            </w:r>
            <w:r>
              <w:t xml:space="preserve"> </w:t>
            </w:r>
            <w:r>
              <w:t xml:space="preserve">de données ou de courriers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Panne ou fermeture d’un prestataire, perte d’un courrier réexpédié, suppression accidentelle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légal manqué, pénalités, droits perdus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Abus de faiblesse</w:t>
            </w:r>
            <w:r>
              <w:t xml:space="preserve"> </w:t>
            </w:r>
            <w:r>
              <w:t xml:space="preserve">ou décision prise à la place du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 malveillant, pression d’un membre de la famille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Préjudice financier, perte d’autonomie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30"/>
    <w:bookmarkStart w:id="33" w:name="mesures"/>
    <w:p>
      <w:pPr>
        <w:pStyle w:val="Heading2"/>
      </w:pPr>
      <w:r>
        <w:t xml:space="preserve">5. Mesures</w:t>
      </w:r>
    </w:p>
    <w:bookmarkStart w:id="31" w:name="existantes-outils-et-documents-livrés"/>
    <w:p>
      <w:pPr>
        <w:pStyle w:val="Heading3"/>
      </w:pPr>
      <w:r>
        <w:t xml:space="preserve">5.1 Existantes (outils et documents livrés)</w:t>
      </w:r>
    </w:p>
    <w:p>
      <w:pPr>
        <w:numPr>
          <w:ilvl w:val="0"/>
          <w:numId w:val="1003"/>
        </w:numPr>
        <w:pStyle w:val="Compact"/>
      </w:pPr>
      <w:r>
        <w:t xml:space="preserve">Mandat excluant toute opération financière et tout acte de disposition, révocable à tout moment, copie à la Personne de confiance.</w:t>
      </w:r>
    </w:p>
    <w:p>
      <w:pPr>
        <w:numPr>
          <w:ilvl w:val="0"/>
          <w:numId w:val="1003"/>
        </w:numPr>
        <w:pStyle w:val="Compact"/>
      </w:pPr>
      <w:r>
        <w:t xml:space="preserve">Coffre Bitwarden par client, accès nominatifs, double authentification, journal d’accès, révocation immédiate au départ d’un opérateur.</w:t>
      </w:r>
    </w:p>
    <w:p>
      <w:pPr>
        <w:numPr>
          <w:ilvl w:val="0"/>
          <w:numId w:val="1003"/>
        </w:numPr>
        <w:pStyle w:val="Compact"/>
      </w:pPr>
      <w:r>
        <w:t xml:space="preserve">Traçabilité de chaque action dans la table Démarches, avec preuve jointe.</w:t>
      </w:r>
    </w:p>
    <w:p>
      <w:pPr>
        <w:numPr>
          <w:ilvl w:val="0"/>
          <w:numId w:val="1003"/>
        </w:numPr>
        <w:pStyle w:val="Compact"/>
      </w:pPr>
      <w:r>
        <w:t xml:space="preserve">Procédure 13 : appel à trois, mot de code contre les faux appels, refus de signature par un tiers, signalement des signes de perte de capacité.</w:t>
      </w:r>
    </w:p>
    <w:p>
      <w:pPr>
        <w:numPr>
          <w:ilvl w:val="0"/>
          <w:numId w:val="1003"/>
        </w:numPr>
        <w:pStyle w:val="Compact"/>
      </w:pPr>
      <w:r>
        <w:t xml:space="preserve">Site sans cookie ni mesure d’audience ; formulaire protégé par un champ piège ; en-têtes de sécurité (CSP, HSTS) ; notifications Stripe vérifiées par signature.</w:t>
      </w:r>
    </w:p>
    <w:p>
      <w:pPr>
        <w:numPr>
          <w:ilvl w:val="0"/>
          <w:numId w:val="1003"/>
        </w:numPr>
        <w:pStyle w:val="Compact"/>
      </w:pPr>
      <w:r>
        <w:t xml:space="preserve">Rapport mensuel à l’enfant : double regard familial sur toutes les actions.</w:t>
      </w:r>
    </w:p>
    <w:bookmarkEnd w:id="31"/>
    <w:bookmarkStart w:id="32" w:name="X9cbb6f77973a02640d6d810355f4dbac2fa7945"/>
    <w:p>
      <w:pPr>
        <w:pStyle w:val="Heading3"/>
      </w:pPr>
      <w:r>
        <w:t xml:space="preserve">5.2 À mettre en place avant le premier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Signer ou accepter les contrats de sous-traitance (Airtable, Bitwarden, Cloudflare, Stripe, messagerie, domiciliation, téléphonie, espace partagé)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le 1er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Vérifier la certification DPF d’Airtable ou joindre les clauses contractuelles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illégitime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le 1er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authentification sur tous les comptes Relais (Airtable, Google, Stripe, Cloudflare, GitHub, Bitwarden)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illégitime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Chiffrement du disque de chaque poste de travail et verrouillage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illégitime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Ilan, puis 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le 1er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Trancher la question de l’hébergement HDS pour les documents médicaux ; en attendant, ne pas les conserver dans l’espace partagé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illégitime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Avocat, 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Trancher l’accès aux espaces bancaires (voir consultation de l’avocat) ; en attendant, aucune redirection des codes bancaires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illégitime, 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Avocat, 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Sauvegarde mensuelle chiffrée de la base Airtable (export CSV) et des scans, conservée dans l’UE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Procédure de violation de données : registre des incidents, notification CNIL sous 72 h, information des 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le 1er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Clause de confidentialité et formation RGPD de chaque opérateur (fiche de poste)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illégitime, 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recrutement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contrôle des démarches du premier mois de chaque 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 non désirée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recrutement</w:t>
            </w:r>
          </w:p>
        </w:tc>
      </w:tr>
    </w:tbl>
    <w:bookmarkEnd w:id="32"/>
    <w:bookmarkEnd w:id="33"/>
    <w:bookmarkStart w:id="34" w:name="avis-et-validation"/>
    <w:p>
      <w:pPr>
        <w:pStyle w:val="Heading2"/>
      </w:pPr>
      <w:r>
        <w:t xml:space="preserve">6. Avis et validation</w:t>
      </w:r>
    </w:p>
    <w:p>
      <w:pPr>
        <w:numPr>
          <w:ilvl w:val="0"/>
          <w:numId w:val="1004"/>
        </w:numPr>
        <w:pStyle w:val="Compact"/>
      </w:pPr>
      <w:r>
        <w:t xml:space="preserve">Avis de la personne en charge de la protection des données : à recueillir (pas d’obligation de désigner un DPO à ce stade ; à réexaminer à 50 dossiers).</w:t>
      </w:r>
    </w:p>
    <w:p>
      <w:pPr>
        <w:numPr>
          <w:ilvl w:val="0"/>
          <w:numId w:val="1004"/>
        </w:numPr>
        <w:pStyle w:val="Compact"/>
      </w:pPr>
      <w:r>
        <w:t xml:space="preserve">Avis des personnes concernées : recueilli lors des 5 entretiens de validation avec des expatriés (plan de lancement, semaine 3).</w:t>
      </w:r>
    </w:p>
    <w:p>
      <w:pPr>
        <w:numPr>
          <w:ilvl w:val="0"/>
          <w:numId w:val="1004"/>
        </w:numPr>
        <w:pStyle w:val="Compact"/>
      </w:pPr>
      <w:r>
        <w:t xml:space="preserve">Risque résiduel après mesures :</w:t>
      </w:r>
      <w:r>
        <w:t xml:space="preserve"> </w:t>
      </w:r>
      <w:r>
        <w:rPr>
          <w:bCs/>
          <w:b/>
        </w:rPr>
        <w:t xml:space="preserve">acceptable</w:t>
      </w:r>
      <w:r>
        <w:t xml:space="preserve">, sous réserve des mesures du 5.2. Si l’une n’est pas en place au premier client, le traitement ne démarre pas pour les données concernées.</w:t>
      </w:r>
    </w:p>
    <w:p>
      <w:pPr>
        <w:numPr>
          <w:ilvl w:val="0"/>
          <w:numId w:val="1004"/>
        </w:numPr>
        <w:pStyle w:val="Compact"/>
      </w:pPr>
      <w:r>
        <w:t xml:space="preserve">Consultation préalable de la CNIL : non requise si le risque résiduel est acceptable.</w:t>
      </w:r>
    </w:p>
    <w:p>
      <w:pPr>
        <w:pStyle w:val="FirstParagraph"/>
      </w:pPr>
      <w:r>
        <w:t xml:space="preserve">Validation par le responsable de traitement : nom, date, signature.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2026-09-27T12:18:00Z</dcterms:created>
  <dcterms:modified xsi:type="dcterms:W3CDTF">2026-09-27T12:18:00Z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