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sultation-juridique-service-relais"/>
    <w:p>
      <w:pPr>
        <w:pStyle w:val="Heading1"/>
      </w:pPr>
      <w:r>
        <w:t xml:space="preserve">Consultation juridique — service Relais</w:t>
      </w:r>
    </w:p>
    <w:p>
      <w:pPr>
        <w:pStyle w:val="BlockText"/>
      </w:pPr>
      <w:r>
        <w:t xml:space="preserve">Dossier préparé pour une consultation unique avec un avocat. Version du 27 septembre 2026.</w:t>
      </w:r>
    </w:p>
    <w:bookmarkStart w:id="20" w:name="contexte-en-cinq-lignes"/>
    <w:p>
      <w:pPr>
        <w:pStyle w:val="Heading2"/>
      </w:pPr>
      <w:r>
        <w:t xml:space="preserve">Contexte en cinq lignes</w:t>
      </w:r>
    </w:p>
    <w:p>
      <w:pPr>
        <w:pStyle w:val="FirstParagraph"/>
      </w:pPr>
      <w:r>
        <w:t xml:space="preserve">Relais est un service de gestion administrative à distance pour des personnes âgées résidant en France (70 à 90 ans, pleine capacité juridique), payé par leurs enfants installés à l’étranger (Israël d’abord). Le parent signe un mandat de représentation administrative sous seing privé (articles 1984 et suivants du Code civil) au profit de NESS ACADEMIE, SAS, RCS Paris 978 575 397, qui exploite le service. Relais traite le courrier, les comptes en ligne (Ameli, retraite, impôts, mutuelle, énergie, télécom), les demandes d’aides, les réclamations et résiliations. Aucune opération financière, aucun acte de disposition, aucun conseil juridique ou fiscal. Abonnement 89 € par mois et forfaits ponctuels, paiement en ligne par carte.</w:t>
      </w:r>
    </w:p>
    <w:bookmarkEnd w:id="20"/>
    <w:bookmarkStart w:id="21" w:name="documents-joints"/>
    <w:p>
      <w:pPr>
        <w:pStyle w:val="Heading2"/>
      </w:pPr>
      <w:r>
        <w:t xml:space="preserve">Documents joints</w:t>
      </w:r>
    </w:p>
    <w:p>
      <w:pPr>
        <w:numPr>
          <w:ilvl w:val="0"/>
          <w:numId w:val="1001"/>
        </w:numPr>
        <w:pStyle w:val="Compact"/>
      </w:pPr>
      <w:r>
        <w:t xml:space="preserve">Mandat de représentation administrative (</w:t>
      </w:r>
      <w:r>
        <w:rPr>
          <w:rStyle w:val="VerbatimChar"/>
        </w:rPr>
        <w:t xml:space="preserve">mandat-administratif.docx</w:t>
      </w:r>
      <w:r>
        <w:t xml:space="preserve">, 14 articles et 2 annexes).</w:t>
      </w:r>
    </w:p>
    <w:p>
      <w:pPr>
        <w:numPr>
          <w:ilvl w:val="0"/>
          <w:numId w:val="1001"/>
        </w:numPr>
        <w:pStyle w:val="Compact"/>
      </w:pPr>
      <w:r>
        <w:t xml:space="preserve">Conditions générales de vente (</w:t>
      </w:r>
      <w:r>
        <w:rPr>
          <w:rStyle w:val="VerbatimChar"/>
        </w:rPr>
        <w:t xml:space="preserve">cgv.docx</w:t>
      </w:r>
      <w:r>
        <w:t xml:space="preserve">, 18 articles et formulaire de rétractation).</w:t>
      </w:r>
    </w:p>
    <w:p>
      <w:pPr>
        <w:numPr>
          <w:ilvl w:val="0"/>
          <w:numId w:val="1001"/>
        </w:numPr>
        <w:pStyle w:val="Compact"/>
      </w:pPr>
      <w:r>
        <w:t xml:space="preserve">Politique de confidentialité (</w:t>
      </w:r>
      <w:r>
        <w:rPr>
          <w:rStyle w:val="VerbatimChar"/>
        </w:rPr>
        <w:t xml:space="preserve">politique-confidentialite.docx</w:t>
      </w:r>
      <w:r>
        <w:t xml:space="preserve">, 12 articles).</w:t>
      </w:r>
    </w:p>
    <w:p>
      <w:pPr>
        <w:numPr>
          <w:ilvl w:val="0"/>
          <w:numId w:val="1001"/>
        </w:numPr>
        <w:pStyle w:val="Compact"/>
      </w:pPr>
      <w:r>
        <w:t xml:space="preserve">Registre des traitements (</w:t>
      </w:r>
      <w:r>
        <w:rPr>
          <w:rStyle w:val="VerbatimChar"/>
        </w:rPr>
        <w:t xml:space="preserve">registre-traitements-rgpd.xlsx</w:t>
      </w:r>
      <w:r>
        <w:t xml:space="preserve">, 5 traitements).</w:t>
      </w:r>
    </w:p>
    <w:p>
      <w:pPr>
        <w:numPr>
          <w:ilvl w:val="0"/>
          <w:numId w:val="1001"/>
        </w:numPr>
        <w:pStyle w:val="Compact"/>
      </w:pPr>
      <w:r>
        <w:t xml:space="preserve">Analyse d’impact (</w:t>
      </w:r>
      <w:r>
        <w:rPr>
          <w:rStyle w:val="VerbatimChar"/>
        </w:rPr>
        <w:t xml:space="preserve">aipd-relais.docx</w:t>
      </w:r>
      <w:r>
        <w:t xml:space="preserve">).</w:t>
      </w:r>
    </w:p>
    <w:p>
      <w:pPr>
        <w:numPr>
          <w:ilvl w:val="0"/>
          <w:numId w:val="1001"/>
        </w:numPr>
        <w:pStyle w:val="Compact"/>
      </w:pPr>
      <w:r>
        <w:t xml:space="preserve">Procédure d’accueil du parent et de signature du mandat (</w:t>
      </w:r>
      <w:r>
        <w:rPr>
          <w:rStyle w:val="VerbatimChar"/>
        </w:rPr>
        <w:t xml:space="preserve">13-accueil-parent-et-mandat.md</w:t>
      </w:r>
      <w:r>
        <w:t xml:space="preserve">).</w:t>
      </w:r>
    </w:p>
    <w:bookmarkEnd w:id="21"/>
    <w:bookmarkStart w:id="22" w:name="ce-qui-est-attendu"/>
    <w:p>
      <w:pPr>
        <w:pStyle w:val="Heading2"/>
      </w:pPr>
      <w:r>
        <w:t xml:space="preserve">Ce qui est attendu</w:t>
      </w:r>
    </w:p>
    <w:p>
      <w:pPr>
        <w:pStyle w:val="FirstParagraph"/>
      </w:pPr>
      <w:r>
        <w:t xml:space="preserve">Une relecture des documents 1 à 3 avec corrections, et une réponse écrite aux huit questions ci-dessous. Budget visé : 500 à 1 000 € HT au forfait.</w:t>
      </w:r>
    </w:p>
    <w:bookmarkEnd w:id="22"/>
    <w:bookmarkStart w:id="31" w:name="questions"/>
    <w:p>
      <w:pPr>
        <w:pStyle w:val="Heading2"/>
      </w:pPr>
      <w:r>
        <w:t xml:space="preserve">Questions</w:t>
      </w:r>
    </w:p>
    <w:bookmarkStart w:id="23" w:name="accès-aux-espaces-bancaires-en-ligne"/>
    <w:p>
      <w:pPr>
        <w:pStyle w:val="Heading3"/>
      </w:pPr>
      <w:r>
        <w:t xml:space="preserve">1. Accès aux espaces bancaires en ligne</w:t>
      </w:r>
    </w:p>
    <w:p>
      <w:pPr>
        <w:pStyle w:val="FirstParagraph"/>
      </w:pPr>
      <w:r>
        <w:t xml:space="preserve">Le mandat autorise l’accès à l’espace bancaire du parent « en consultation uniquement », avec redirection des codes d’authentification vers une ligne Relais (article « Pouvoirs conférés », rubrique Accès aux comptes en ligne).</w:t>
      </w:r>
    </w:p>
    <w:p>
      <w:pPr>
        <w:numPr>
          <w:ilvl w:val="0"/>
          <w:numId w:val="1002"/>
        </w:numPr>
        <w:pStyle w:val="Compact"/>
      </w:pPr>
      <w:r>
        <w:t xml:space="preserve">Cet accès, avec les identifiants personnels du parent, est-il compatible avec les conditions générales des banques et avec la directive sur les services de paiement (DSP2), qui réserve l’authentification forte au titulaire ?</w:t>
      </w:r>
    </w:p>
    <w:p>
      <w:pPr>
        <w:numPr>
          <w:ilvl w:val="0"/>
          <w:numId w:val="1002"/>
        </w:numPr>
        <w:pStyle w:val="Compact"/>
      </w:pPr>
      <w:r>
        <w:t xml:space="preserve">Relais peut-il être qualifié de prestataire de services d’information sur les comptes (agrément ACPR) du seul fait de consulter des comptes pour le compte d’un tiers ?</w:t>
      </w:r>
    </w:p>
    <w:p>
      <w:pPr>
        <w:numPr>
          <w:ilvl w:val="0"/>
          <w:numId w:val="1002"/>
        </w:numPr>
        <w:pStyle w:val="Compact"/>
      </w:pPr>
      <w:r>
        <w:t xml:space="preserve">Alternative envisagée : supprimer l’accès bancaire du mandat, et demander au parent ou à l’enfant de transmettre les relevés utiles. Quelle rédaction retenir ?</w:t>
      </w:r>
    </w:p>
    <w:bookmarkEnd w:id="23"/>
    <w:bookmarkStart w:id="24" w:name="X94753e801a14671e6b76870b74e9be66066a890"/>
    <w:p>
      <w:pPr>
        <w:pStyle w:val="Heading3"/>
      </w:pPr>
      <w:r>
        <w:t xml:space="preserve">2. Utilisation des identifiants du parent sur les services publics</w:t>
      </w:r>
    </w:p>
    <w:p>
      <w:pPr>
        <w:pStyle w:val="FirstParagraph"/>
      </w:pPr>
      <w:r>
        <w:t xml:space="preserve">Relais se connecte à Ameli, impots.gouv et FranceConnect avec les identifiants du parent, en vertu du mandat, codes de vérification redirigés vers une ligne Relais avec son accord écrit.</w:t>
      </w:r>
    </w:p>
    <w:p>
      <w:pPr>
        <w:numPr>
          <w:ilvl w:val="0"/>
          <w:numId w:val="1003"/>
        </w:numPr>
        <w:pStyle w:val="Compact"/>
      </w:pPr>
      <w:r>
        <w:t xml:space="preserve">Les conditions d’utilisation de FranceConnect et des services concernés l’interdisent-elles ? Existe-t-il un dispositif officiel de mandat ou d’aidant numérique (Aidants Connect, espace « tiers de confiance ») qu’il faudrait utiliser à la place ?</w:t>
      </w:r>
    </w:p>
    <w:p>
      <w:pPr>
        <w:numPr>
          <w:ilvl w:val="0"/>
          <w:numId w:val="1003"/>
        </w:numPr>
        <w:pStyle w:val="Compact"/>
      </w:pPr>
      <w:r>
        <w:t xml:space="preserve">Quel est le risque pénal (accès frauduleux à un système, article 323-1 du Code pénal) si le mandat est jugé insuffisant ?</w:t>
      </w:r>
    </w:p>
    <w:bookmarkEnd w:id="24"/>
    <w:bookmarkStart w:id="25" w:name="documents-médicaux"/>
    <w:p>
      <w:pPr>
        <w:pStyle w:val="Heading3"/>
      </w:pPr>
      <w:r>
        <w:t xml:space="preserve">3. Documents médicaux</w:t>
      </w:r>
    </w:p>
    <w:p>
      <w:pPr>
        <w:pStyle w:val="FirstParagraph"/>
      </w:pPr>
      <w:r>
        <w:t xml:space="preserve">Relais reçoit des comptes rendus d’hospitalisation et des décisions de l’Assurance maladie, qu’il classe et conserve le temps du mandat.</w:t>
      </w:r>
    </w:p>
    <w:p>
      <w:pPr>
        <w:numPr>
          <w:ilvl w:val="0"/>
          <w:numId w:val="1004"/>
        </w:numPr>
        <w:pStyle w:val="Compact"/>
      </w:pPr>
      <w:r>
        <w:t xml:space="preserve">Relais ou son prestataire d’espace partagé doivent-ils recourir à un hébergeur certifié HDS (article L. 1111-8 du Code de la santé publique) ?</w:t>
      </w:r>
    </w:p>
    <w:p>
      <w:pPr>
        <w:numPr>
          <w:ilvl w:val="0"/>
          <w:numId w:val="1004"/>
        </w:numPr>
        <w:pStyle w:val="Compact"/>
      </w:pPr>
      <w:r>
        <w:t xml:space="preserve">Le consentement explicite recueilli dans le mandat (case distincte) suffit-il comme base de l’article 9.2.a du RGPD ?</w:t>
      </w:r>
    </w:p>
    <w:bookmarkEnd w:id="25"/>
    <w:bookmarkStart w:id="26" w:name="signature-du-mandat"/>
    <w:p>
      <w:pPr>
        <w:pStyle w:val="Heading3"/>
      </w:pPr>
      <w:r>
        <w:t xml:space="preserve">4. Signature du mandat</w:t>
      </w:r>
    </w:p>
    <w:p>
      <w:pPr>
        <w:pStyle w:val="FirstParagraph"/>
      </w:pPr>
      <w:r>
        <w:t xml:space="preserve">Le mandat a été modifié le 27 septembre 2026 : un exemplaire original, signature manuscrite ou électronique (signature simple par code SMS), suppression de la mention manuscrite « Bon pour mandat ».</w:t>
      </w:r>
    </w:p>
    <w:p>
      <w:pPr>
        <w:numPr>
          <w:ilvl w:val="0"/>
          <w:numId w:val="1005"/>
        </w:numPr>
        <w:pStyle w:val="Compact"/>
      </w:pPr>
      <w:r>
        <w:t xml:space="preserve">Cette rédaction est-elle valable et opposable aux organismes ?</w:t>
      </w:r>
    </w:p>
    <w:p>
      <w:pPr>
        <w:numPr>
          <w:ilvl w:val="0"/>
          <w:numId w:val="1005"/>
        </w:numPr>
        <w:pStyle w:val="Compact"/>
      </w:pPr>
      <w:r>
        <w:t xml:space="preserve">Une signature électronique simple suffit-elle, ou faut-il une signature avancée ?</w:t>
      </w:r>
    </w:p>
    <w:bookmarkEnd w:id="26"/>
    <w:bookmarkStart w:id="27" w:name="paiement-avant-la-signature-du-mandat"/>
    <w:p>
      <w:pPr>
        <w:pStyle w:val="Heading3"/>
      </w:pPr>
      <w:r>
        <w:t xml:space="preserve">5. Paiement avant la signature du mandat</w:t>
      </w:r>
    </w:p>
    <w:p>
      <w:pPr>
        <w:pStyle w:val="FirstParagraph"/>
      </w:pPr>
      <w:r>
        <w:t xml:space="preserve">Les CGV modifiées prévoient : contrat formé au paiement (après l’appel de présentation), exécution à la réception du mandat signé, remboursement intégral si le mandat n’est pas signé sous 30 jours.</w:t>
      </w:r>
    </w:p>
    <w:p>
      <w:pPr>
        <w:numPr>
          <w:ilvl w:val="0"/>
          <w:numId w:val="1006"/>
        </w:numPr>
        <w:pStyle w:val="Compact"/>
      </w:pPr>
      <w:r>
        <w:t xml:space="preserve">Le montage est-il cohérent avec le droit de la consommation, sachant que le payeur (l’enfant) et le bénéficiaire (le parent) sont deux personnes distinctes ?</w:t>
      </w:r>
    </w:p>
    <w:p>
      <w:pPr>
        <w:numPr>
          <w:ilvl w:val="0"/>
          <w:numId w:val="1006"/>
        </w:numPr>
        <w:pStyle w:val="Compact"/>
      </w:pPr>
      <w:r>
        <w:t xml:space="preserve">La demande d’exécution anticipée est recueillie au paiement par un champ obligatoire « J’accepte les CGV et demande que le service commence tout de suite ». Est-ce une manifestation expresse suffisante au sens de l’article L. 221-25 ?</w:t>
      </w:r>
    </w:p>
    <w:bookmarkEnd w:id="27"/>
    <w:bookmarkStart w:id="28" w:name="activités-réglementées"/>
    <w:p>
      <w:pPr>
        <w:pStyle w:val="Heading3"/>
      </w:pPr>
      <w:r>
        <w:t xml:space="preserve">6. Activités réglementées</w:t>
      </w:r>
    </w:p>
    <w:p>
      <w:pPr>
        <w:numPr>
          <w:ilvl w:val="0"/>
          <w:numId w:val="1007"/>
        </w:numPr>
        <w:pStyle w:val="Compact"/>
      </w:pPr>
      <w:r>
        <w:t xml:space="preserve">Les réclamations, recours gracieux et saisines de médiateurs rédigés pour le compte du parent relèvent-ils de la rédaction d’actes pour autrui réservée par la loi du 31 décembre 1971 ? Jusqu’où Relais peut-il aller ?</w:t>
      </w:r>
    </w:p>
    <w:p>
      <w:pPr>
        <w:numPr>
          <w:ilvl w:val="0"/>
          <w:numId w:val="1007"/>
        </w:numPr>
        <w:pStyle w:val="Compact"/>
      </w:pPr>
      <w:r>
        <w:t xml:space="preserve">L’activité relève-t-elle des services à la personne (« assistance administrative à domicile ») et d’une obligation de déclaration ou d’agrément, alors que tout est fait à distance ?</w:t>
      </w:r>
    </w:p>
    <w:bookmarkEnd w:id="28"/>
    <w:bookmarkStart w:id="29" w:name="transfert-du-contrat"/>
    <w:p>
      <w:pPr>
        <w:pStyle w:val="Heading3"/>
      </w:pPr>
      <w:r>
        <w:t xml:space="preserve">7. Transfert du contrat</w:t>
      </w:r>
    </w:p>
    <w:p>
      <w:pPr>
        <w:pStyle w:val="FirstParagraph"/>
      </w:pPr>
      <w:r>
        <w:t xml:space="preserve">Une société dédiée à Relais sera créée ultérieurement. Les CGV prévoient désormais le transfert du contrat avec information préalable de 30 jours, le transfert du mandat restant soumis à l’accord du parent. La rédaction suffit-elle, ou faut-il faire signer un nouveau mandat ?</w:t>
      </w:r>
    </w:p>
    <w:bookmarkEnd w:id="29"/>
    <w:bookmarkStart w:id="30" w:name="loi-applicable-et-clients-étrangers"/>
    <w:p>
      <w:pPr>
        <w:pStyle w:val="Heading3"/>
      </w:pPr>
      <w:r>
        <w:t xml:space="preserve">8. Loi applicable et clients étrangers</w:t>
      </w:r>
    </w:p>
    <w:p>
      <w:pPr>
        <w:pStyle w:val="FirstParagraph"/>
      </w:pPr>
      <w:r>
        <w:t xml:space="preserve">L’enfant réside en Israël, en Suisse ou au Royaume-Uni ; le parent en France. La clause de droit applicable (droit français, sous réserve des dispositions impératives du pays du consommateur) est-elle satisfaisante ?</w:t>
      </w:r>
    </w:p>
    <w:bookmarkEnd w:id="30"/>
    <w:bookmarkEnd w:id="31"/>
    <w:bookmarkStart w:id="32" w:name="points-déjà-tranchés-pour-information"/>
    <w:p>
      <w:pPr>
        <w:pStyle w:val="Heading2"/>
      </w:pPr>
      <w:r>
        <w:t xml:space="preserve">Points déjà tranchés, pour information</w:t>
      </w:r>
    </w:p>
    <w:p>
      <w:pPr>
        <w:numPr>
          <w:ilvl w:val="0"/>
          <w:numId w:val="1008"/>
        </w:numPr>
        <w:pStyle w:val="Compact"/>
      </w:pPr>
      <w:r>
        <w:t xml:space="preserve">Pas de TVA facturée tant que la société relève de la franchise en base ; prix affichés toutes taxes comprises (validation en cours avec l’expert-comptable).</w:t>
      </w:r>
    </w:p>
    <w:p>
      <w:pPr>
        <w:numPr>
          <w:ilvl w:val="0"/>
          <w:numId w:val="1008"/>
        </w:numPr>
        <w:pStyle w:val="Compact"/>
      </w:pPr>
      <w:r>
        <w:t xml:space="preserve">Médiateur de la consommation et assurance responsabilité civile professionnelle : souscription en cours, avant la première vente.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2026-09-27T12:18:00Z</dcterms:created>
  <dcterms:modified xsi:type="dcterms:W3CDTF">2026-09-27T12:18:00Z</dcterms:modified>
</cp:coreProperties>
</file>

<file path=docProps/custom.xml><?xml version="1.0" encoding="utf-8"?>
<Properties xmlns="http://schemas.openxmlformats.org/officeDocument/2006/custom-properties" xmlns:vt="http://schemas.openxmlformats.org/officeDocument/2006/docPropsVTypes"/>
</file>