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Conditions générales de vente du service Relais</w:t>
      </w:r>
    </w:p>
    <w:tbl>
      <w:tblPr>
        <w:tblW w:type="auto" w:w="0"/>
        <w:jc w:val="center"/>
        <w:tblLook w:firstColumn="1" w:firstRow="1" w:lastColumn="0" w:lastRow="0" w:noHBand="0" w:noVBand="1" w:val="04A0"/>
      </w:tblPr>
      <w:tblGrid>
        <w:gridCol w:w="9412"/>
      </w:tblGrid>
      <w:tr>
        <w:tc>
          <w:tcPr>
            <w:tcW w:type="dxa" w:w="9412"/>
            <w:shd w:val="clear" w:color="auto" w:fill="FFF4D6"/>
            <w:tcBorders>
              <w:top w:val="single" w:sz="16" w:space="0" w:color="C77700"/>
              <w:left w:val="single" w:sz="16" w:space="0" w:color="C77700"/>
              <w:bottom w:val="single" w:sz="16" w:space="0" w:color="C77700"/>
              <w:right w:val="single" w:sz="16" w:space="0" w:color="C77700"/>
            </w:tcBorders>
          </w:tcPr>
          <w:p>
            <w:pPr>
              <w:spacing w:before="120" w:after="120"/>
              <w:jc w:val="center"/>
            </w:pPr>
            <w:r>
              <w:rPr>
                <w:b/>
                <w:color w:val="8A4B00"/>
                <w:sz w:val="24"/>
              </w:rPr>
              <w:t>Document à faire valider par un avocat avant utilisation.</w:t>
            </w:r>
          </w:p>
        </w:tc>
      </w:tr>
    </w:tbl>
    <w:p/>
    <w:p>
      <w:pPr>
        <w:jc w:val="both"/>
      </w:pPr>
      <w:r>
        <w:rPr>
          <w:b w:val="0"/>
        </w:rPr>
        <w:t>Version en vigueur au {{DATE_CGV}}.</w:t>
      </w:r>
    </w:p>
    <w:p>
      <w:pPr>
        <w:pStyle w:val="Heading2"/>
      </w:pPr>
      <w:r>
        <w:t>Article 1 — Identification du prestataire</w:t>
      </w:r>
    </w:p>
    <w:p>
      <w:pPr>
        <w:jc w:val="both"/>
      </w:pPr>
      <w:r>
        <w:rPr>
          <w:b w:val="0"/>
        </w:rPr>
        <w:t>Le service « Relais » est exploité par {{MANDATAIRE_RAISON_SOCIALE}}, {{MANDATAIRE_FORME_JURIDIQUE}} au capital de {{MANDATAIRE_CAPITAL}} €, immatriculée au RCS de {{MANDATAIRE_VILLE_RCS}} sous le numéro {{MANDATAIRE_SIREN}}, numéro de TVA intracommunautaire {{MANDATAIRE_TVA}}, dont le siège social est situé {{MANDATAIRE_ADRESSE}} (ci-après « Relais » ou « le Prestataire »).</w:t>
      </w:r>
    </w:p>
    <w:p>
      <w:pPr>
        <w:jc w:val="both"/>
      </w:pPr>
      <w:r>
        <w:rPr>
          <w:b w:val="0"/>
        </w:rPr>
        <w:t>Courriel : {{MANDATAIRE_EMAIL}} — Téléphone : {{MANDATAIRE_TELEPHONE}} — Site : {{SITE_URL}}</w:t>
      </w:r>
    </w:p>
    <w:p>
      <w:pPr>
        <w:pStyle w:val="Heading2"/>
      </w:pPr>
      <w:r>
        <w:t>Article 2 — Définitions</w:t>
      </w:r>
    </w:p>
    <w:p>
      <w:pPr>
        <w:pStyle w:val="ListBullet"/>
        <w:jc w:val="both"/>
      </w:pPr>
      <w:r>
        <w:rPr>
          <w:b/>
        </w:rPr>
        <w:t>Client</w:t>
      </w:r>
      <w:r>
        <w:rPr>
          <w:b w:val="0"/>
        </w:rPr>
        <w:t xml:space="preserve"> : la personne physique majeure qui souscrit le service et en règle le prix, généralement l'enfant du Bénéficiaire résidant hors de France. Le Client agit en qualité de consommateur.</w:t>
      </w:r>
    </w:p>
    <w:p>
      <w:pPr>
        <w:pStyle w:val="ListBullet"/>
        <w:jc w:val="both"/>
      </w:pPr>
      <w:r>
        <w:rPr>
          <w:b/>
        </w:rPr>
        <w:t>Bénéficiaire</w:t>
      </w:r>
      <w:r>
        <w:rPr>
          <w:b w:val="0"/>
        </w:rPr>
        <w:t xml:space="preserve"> : la personne physique majeure résidant en France, généralement le parent du Client, au nom de laquelle les démarches sont accomplies et qui signe le Mandat.</w:t>
      </w:r>
    </w:p>
    <w:p>
      <w:pPr>
        <w:pStyle w:val="ListBullet"/>
        <w:jc w:val="both"/>
      </w:pPr>
      <w:r>
        <w:rPr>
          <w:b/>
        </w:rPr>
        <w:t>Mandat</w:t>
      </w:r>
      <w:r>
        <w:rPr>
          <w:b w:val="0"/>
        </w:rPr>
        <w:t xml:space="preserve"> : le mandat de représentation administrative sous seing privé signé par le Bénéficiaire au profit du Prestataire, qui définit les pouvoirs conférés et leurs exclusions.</w:t>
      </w:r>
    </w:p>
    <w:p>
      <w:pPr>
        <w:pStyle w:val="ListBullet"/>
        <w:jc w:val="both"/>
      </w:pPr>
      <w:r>
        <w:rPr>
          <w:b/>
        </w:rPr>
        <w:t>Démarche</w:t>
      </w:r>
      <w:r>
        <w:rPr>
          <w:b w:val="0"/>
        </w:rPr>
        <w:t xml:space="preserve"> : toute action administrative accomplie pour le compte du Bénéficiaire, de la demande initiale jusqu'à la confirmation de son résultat.</w:t>
      </w:r>
    </w:p>
    <w:p>
      <w:pPr>
        <w:pStyle w:val="ListBullet"/>
        <w:jc w:val="both"/>
      </w:pPr>
      <w:r>
        <w:rPr>
          <w:b/>
        </w:rPr>
        <w:t>Rapport</w:t>
      </w:r>
      <w:r>
        <w:rPr>
          <w:b w:val="0"/>
        </w:rPr>
        <w:t xml:space="preserve"> : le compte rendu mensuel adressé au Client et au Bénéficiaire.</w:t>
      </w:r>
    </w:p>
    <w:p>
      <w:pPr>
        <w:pStyle w:val="Heading2"/>
      </w:pPr>
      <w:r>
        <w:t>Article 3 — Objet</w:t>
      </w:r>
    </w:p>
    <w:p>
      <w:pPr>
        <w:jc w:val="both"/>
      </w:pPr>
      <w:r>
        <w:rPr>
          <w:b w:val="0"/>
        </w:rPr>
        <w:t>Les présentes conditions générales de vente (« CGV ») régissent la souscription et l'exécution du service Relais, service de gestion administrative à distance pour le compte d'une personne âgée résidant en France, sous mandat écrit. Toute souscription implique l'acceptation sans réserve des présentes CGV, de la politique de confidentialité et la signature du Mandat par le Bénéficiaire.</w:t>
      </w:r>
    </w:p>
    <w:p>
      <w:pPr>
        <w:pStyle w:val="Heading2"/>
      </w:pPr>
      <w:r>
        <w:t>Article 4 — Offres et tarifs</w:t>
      </w:r>
    </w:p>
    <w:p>
      <w:pPr>
        <w:jc w:val="both"/>
      </w:pPr>
      <w:r>
        <w:rPr>
          <w:b w:val="0"/>
        </w:rPr>
        <w:t>Les prix sont exprimés en euros. Le régime de TVA applicable dépend du pays de résidence du Client, conformément à l'article « Taxes ».</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5"/>
          </w:tcPr>
          <w:p>
            <w:pPr>
              <w:spacing w:after="40"/>
            </w:pPr>
            <w:r>
              <w:rPr>
                <w:sz w:val="19"/>
              </w:rPr>
            </w:r>
            <w:r>
              <w:rPr>
                <w:b/>
                <w:sz w:val="19"/>
              </w:rPr>
              <w:t>Offre</w:t>
            </w:r>
          </w:p>
        </w:tc>
        <w:tc>
          <w:tcPr>
            <w:tcW w:type="dxa" w:w="3137"/>
            <w:shd w:val="clear" w:color="auto" w:fill="E8EEF5"/>
          </w:tcPr>
          <w:p>
            <w:pPr>
              <w:spacing w:after="40"/>
            </w:pPr>
            <w:r>
              <w:rPr>
                <w:sz w:val="19"/>
              </w:rPr>
            </w:r>
            <w:r>
              <w:rPr>
                <w:b/>
                <w:sz w:val="19"/>
              </w:rPr>
              <w:t>Prix</w:t>
            </w:r>
          </w:p>
        </w:tc>
        <w:tc>
          <w:tcPr>
            <w:tcW w:type="dxa" w:w="3137"/>
            <w:shd w:val="clear" w:color="auto" w:fill="E8EEF5"/>
          </w:tcPr>
          <w:p>
            <w:pPr>
              <w:spacing w:after="40"/>
            </w:pPr>
            <w:r>
              <w:rPr>
                <w:sz w:val="19"/>
              </w:rPr>
            </w:r>
            <w:r>
              <w:rPr>
                <w:b/>
                <w:sz w:val="19"/>
              </w:rPr>
              <w:t>Contenu</w:t>
            </w:r>
          </w:p>
        </w:tc>
      </w:tr>
      <w:tr>
        <w:tc>
          <w:tcPr>
            <w:tcW w:type="dxa" w:w="3137"/>
          </w:tcPr>
          <w:p>
            <w:pPr>
              <w:spacing w:after="40"/>
            </w:pPr>
            <w:r>
              <w:rPr>
                <w:sz w:val="19"/>
              </w:rPr>
            </w:r>
            <w:r>
              <w:rPr>
                <w:b w:val="0"/>
                <w:sz w:val="19"/>
              </w:rPr>
              <w:t>Abonnement Relais</w:t>
            </w:r>
          </w:p>
        </w:tc>
        <w:tc>
          <w:tcPr>
            <w:tcW w:type="dxa" w:w="3137"/>
          </w:tcPr>
          <w:p>
            <w:pPr>
              <w:spacing w:after="40"/>
            </w:pPr>
            <w:r>
              <w:rPr>
                <w:sz w:val="19"/>
              </w:rPr>
            </w:r>
            <w:r>
              <w:rPr>
                <w:b w:val="0"/>
                <w:sz w:val="19"/>
              </w:rPr>
              <w:t>89 € par mois</w:t>
            </w:r>
          </w:p>
        </w:tc>
        <w:tc>
          <w:tcPr>
            <w:tcW w:type="dxa" w:w="3137"/>
          </w:tcPr>
          <w:p>
            <w:pPr>
              <w:spacing w:after="40"/>
            </w:pPr>
            <w:r>
              <w:rPr>
                <w:sz w:val="19"/>
              </w:rPr>
            </w:r>
            <w:r>
              <w:rPr>
                <w:b w:val="0"/>
                <w:sz w:val="19"/>
              </w:rPr>
              <w:t>Réception, tri et traitement du courrier administratif ; gestion des comptes en ligne (Ameli, retraite, impôts, mutuelle, énergie, télécom, banque en consultation) ; déclaration annuelle des revenus ; demandes et renouvellements d'aides ; résiliations, changements de contrat et litiges simples ; prise de rendez-vous ; ligne téléphonique dédiée au Bénéficiaire ; rapport mensuel et alerte immédiate en cas d'urgence ; espace partagé de documents.</w:t>
            </w:r>
          </w:p>
        </w:tc>
      </w:tr>
      <w:tr>
        <w:tc>
          <w:tcPr>
            <w:tcW w:type="dxa" w:w="3137"/>
          </w:tcPr>
          <w:p>
            <w:pPr>
              <w:spacing w:after="40"/>
            </w:pPr>
            <w:r>
              <w:rPr>
                <w:sz w:val="19"/>
              </w:rPr>
            </w:r>
            <w:r>
              <w:rPr>
                <w:b w:val="0"/>
                <w:sz w:val="19"/>
              </w:rPr>
              <w:t>Diagnostic initial</w:t>
            </w:r>
          </w:p>
        </w:tc>
        <w:tc>
          <w:tcPr>
            <w:tcW w:type="dxa" w:w="3137"/>
          </w:tcPr>
          <w:p>
            <w:pPr>
              <w:spacing w:after="40"/>
            </w:pPr>
            <w:r>
              <w:rPr>
                <w:sz w:val="19"/>
              </w:rPr>
            </w:r>
            <w:r>
              <w:rPr>
                <w:b w:val="0"/>
                <w:sz w:val="19"/>
              </w:rPr>
              <w:t>149 € (offert avec l'abonnement)</w:t>
            </w:r>
          </w:p>
        </w:tc>
        <w:tc>
          <w:tcPr>
            <w:tcW w:type="dxa" w:w="3137"/>
          </w:tcPr>
          <w:p>
            <w:pPr>
              <w:spacing w:after="40"/>
            </w:pPr>
            <w:r>
              <w:rPr>
                <w:sz w:val="19"/>
              </w:rPr>
            </w:r>
            <w:r>
              <w:rPr>
                <w:b w:val="0"/>
                <w:sz w:val="19"/>
              </w:rPr>
              <w:t>Audit complet de la situation administrative, récupération des accès, liste des droits non réclamés.</w:t>
            </w:r>
          </w:p>
        </w:tc>
      </w:tr>
      <w:tr>
        <w:tc>
          <w:tcPr>
            <w:tcW w:type="dxa" w:w="3137"/>
          </w:tcPr>
          <w:p>
            <w:pPr>
              <w:spacing w:after="40"/>
            </w:pPr>
            <w:r>
              <w:rPr>
                <w:sz w:val="19"/>
              </w:rPr>
            </w:r>
            <w:r>
              <w:rPr>
                <w:b w:val="0"/>
                <w:sz w:val="19"/>
              </w:rPr>
              <w:t>Forfait Hospitalisation</w:t>
            </w:r>
          </w:p>
        </w:tc>
        <w:tc>
          <w:tcPr>
            <w:tcW w:type="dxa" w:w="3137"/>
          </w:tcPr>
          <w:p>
            <w:pPr>
              <w:spacing w:after="40"/>
            </w:pPr>
            <w:r>
              <w:rPr>
                <w:sz w:val="19"/>
              </w:rPr>
            </w:r>
            <w:r>
              <w:rPr>
                <w:b w:val="0"/>
                <w:sz w:val="19"/>
              </w:rPr>
              <w:t>490 €</w:t>
            </w:r>
          </w:p>
        </w:tc>
        <w:tc>
          <w:tcPr>
            <w:tcW w:type="dxa" w:w="3137"/>
          </w:tcPr>
          <w:p>
            <w:pPr>
              <w:spacing w:after="40"/>
            </w:pPr>
            <w:r>
              <w:rPr>
                <w:sz w:val="19"/>
              </w:rPr>
            </w:r>
            <w:r>
              <w:rPr>
                <w:b w:val="0"/>
                <w:sz w:val="19"/>
              </w:rPr>
              <w:t>Coordination de la sortie d'hospitalisation, dossier d'aide à domicile et APA, mutuelle, transport.</w:t>
            </w:r>
          </w:p>
        </w:tc>
      </w:tr>
      <w:tr>
        <w:tc>
          <w:tcPr>
            <w:tcW w:type="dxa" w:w="3137"/>
          </w:tcPr>
          <w:p>
            <w:pPr>
              <w:spacing w:after="40"/>
            </w:pPr>
            <w:r>
              <w:rPr>
                <w:sz w:val="19"/>
              </w:rPr>
            </w:r>
            <w:r>
              <w:rPr>
                <w:b w:val="0"/>
                <w:sz w:val="19"/>
              </w:rPr>
              <w:t>Forfait Entrée en EHPAD ou résidence</w:t>
            </w:r>
          </w:p>
        </w:tc>
        <w:tc>
          <w:tcPr>
            <w:tcW w:type="dxa" w:w="3137"/>
          </w:tcPr>
          <w:p>
            <w:pPr>
              <w:spacing w:after="40"/>
            </w:pPr>
            <w:r>
              <w:rPr>
                <w:sz w:val="19"/>
              </w:rPr>
            </w:r>
            <w:r>
              <w:rPr>
                <w:b w:val="0"/>
                <w:sz w:val="19"/>
              </w:rPr>
              <w:t>690 €</w:t>
            </w:r>
          </w:p>
        </w:tc>
        <w:tc>
          <w:tcPr>
            <w:tcW w:type="dxa" w:w="3137"/>
          </w:tcPr>
          <w:p>
            <w:pPr>
              <w:spacing w:after="40"/>
            </w:pPr>
            <w:r>
              <w:rPr>
                <w:sz w:val="19"/>
              </w:rPr>
            </w:r>
            <w:r>
              <w:rPr>
                <w:b w:val="0"/>
                <w:sz w:val="19"/>
              </w:rPr>
              <w:t>Dossier ViaTrajectoire, aides ASH et APA, résiliations, déménagement administratif.</w:t>
            </w:r>
          </w:p>
        </w:tc>
      </w:tr>
      <w:tr>
        <w:tc>
          <w:tcPr>
            <w:tcW w:type="dxa" w:w="3137"/>
          </w:tcPr>
          <w:p>
            <w:pPr>
              <w:spacing w:after="40"/>
            </w:pPr>
            <w:r>
              <w:rPr>
                <w:sz w:val="19"/>
              </w:rPr>
            </w:r>
            <w:r>
              <w:rPr>
                <w:b w:val="0"/>
                <w:sz w:val="19"/>
              </w:rPr>
              <w:t>Forfait Succession (volet administratif)</w:t>
            </w:r>
          </w:p>
        </w:tc>
        <w:tc>
          <w:tcPr>
            <w:tcW w:type="dxa" w:w="3137"/>
          </w:tcPr>
          <w:p>
            <w:pPr>
              <w:spacing w:after="40"/>
            </w:pPr>
            <w:r>
              <w:rPr>
                <w:sz w:val="19"/>
              </w:rPr>
            </w:r>
            <w:r>
              <w:rPr>
                <w:b w:val="0"/>
                <w:sz w:val="19"/>
              </w:rPr>
              <w:t>890 €</w:t>
            </w:r>
          </w:p>
        </w:tc>
        <w:tc>
          <w:tcPr>
            <w:tcW w:type="dxa" w:w="3137"/>
          </w:tcPr>
          <w:p>
            <w:pPr>
              <w:spacing w:after="40"/>
            </w:pPr>
            <w:r>
              <w:rPr>
                <w:sz w:val="19"/>
              </w:rPr>
            </w:r>
            <w:r>
              <w:rPr>
                <w:b w:val="0"/>
                <w:sz w:val="19"/>
              </w:rPr>
              <w:t>Déclarations aux organismes, clôtures de comptes et de contrats, pensions de réversion, coordination avec le notaire.</w:t>
            </w:r>
          </w:p>
        </w:tc>
      </w:tr>
      <w:tr>
        <w:tc>
          <w:tcPr>
            <w:tcW w:type="dxa" w:w="3137"/>
          </w:tcPr>
          <w:p>
            <w:pPr>
              <w:spacing w:after="40"/>
            </w:pPr>
            <w:r>
              <w:rPr>
                <w:sz w:val="19"/>
              </w:rPr>
            </w:r>
            <w:r>
              <w:rPr>
                <w:b w:val="0"/>
                <w:sz w:val="19"/>
              </w:rPr>
              <w:t>Démarche isolée (sans abonnement)</w:t>
            </w:r>
          </w:p>
        </w:tc>
        <w:tc>
          <w:tcPr>
            <w:tcW w:type="dxa" w:w="3137"/>
          </w:tcPr>
          <w:p>
            <w:pPr>
              <w:spacing w:after="40"/>
            </w:pPr>
            <w:r>
              <w:rPr>
                <w:sz w:val="19"/>
              </w:rPr>
            </w:r>
            <w:r>
              <w:rPr>
                <w:b w:val="0"/>
                <w:sz w:val="19"/>
              </w:rPr>
              <w:t>79 €</w:t>
            </w:r>
          </w:p>
        </w:tc>
        <w:tc>
          <w:tcPr>
            <w:tcW w:type="dxa" w:w="3137"/>
          </w:tcPr>
          <w:p>
            <w:pPr>
              <w:spacing w:after="40"/>
            </w:pPr>
            <w:r>
              <w:rPr>
                <w:sz w:val="19"/>
              </w:rPr>
            </w:r>
            <w:r>
              <w:rPr>
                <w:b w:val="0"/>
                <w:sz w:val="19"/>
              </w:rPr>
              <w:t>Une démarche complète, de la demande à la confirmation.</w:t>
            </w:r>
          </w:p>
        </w:tc>
      </w:tr>
    </w:tbl>
    <w:p/>
    <w:p>
      <w:pPr>
        <w:jc w:val="both"/>
      </w:pPr>
      <w:r>
        <w:rPr>
          <w:b w:val="0"/>
        </w:rPr>
        <w:t>Une offre de lancement dite « tarif fondateur » de 59 € par mois, au lieu de 89 €, est réservée aux dix (10) premiers abonnés et leur reste acquise sans limitation de durée tant que l'abonnement n'est pas interrompu.</w:t>
      </w:r>
    </w:p>
    <w:p>
      <w:pPr>
        <w:jc w:val="both"/>
      </w:pPr>
      <w:r>
        <w:rPr>
          <w:b w:val="0"/>
        </w:rPr>
        <w:t>Les frais exigés par les organismes tiers (timbres fiscaux, frais de dossier, frais de réexpédition postale, frais d'envoi recommandé) ne sont pas compris dans les prix et sont réglés directement par le Client ou le Bénéficiaire, le Prestataire n'effectuant aucun paiement pour le compte du Bénéficiaire.</w:t>
      </w:r>
    </w:p>
    <w:p>
      <w:pPr>
        <w:jc w:val="both"/>
      </w:pPr>
      <w:r>
        <w:rPr>
          <w:b w:val="0"/>
        </w:rPr>
        <w:t>Le Prestataire peut modifier ses tarifs. Toute modification est notifiée au Client par courriel au moins trente (30) jours avant son entrée en vigueur ; le Client peut résilier sans frais avant cette date.</w:t>
      </w:r>
    </w:p>
    <w:p>
      <w:pPr>
        <w:pStyle w:val="Heading2"/>
      </w:pPr>
      <w:r>
        <w:t>Article 5 — Souscription</w:t>
      </w:r>
    </w:p>
    <w:p>
      <w:pPr>
        <w:jc w:val="both"/>
      </w:pPr>
      <w:r>
        <w:rPr>
          <w:b w:val="0"/>
        </w:rPr>
        <w:t>La souscription s'effectue à distance en quatre temps :</w:t>
      </w:r>
    </w:p>
    <w:p>
      <w:pPr>
        <w:pStyle w:val="ListBullet"/>
        <w:jc w:val="both"/>
      </w:pPr>
      <w:r>
        <w:rPr>
          <w:b w:val="0"/>
        </w:rPr>
        <w:t>un premier contact par le formulaire du site ou par courriel, suivi d'un appel de présentation de vingt minutes ;</w:t>
      </w:r>
    </w:p>
    <w:p>
      <w:pPr>
        <w:pStyle w:val="ListBullet"/>
        <w:jc w:val="both"/>
      </w:pPr>
      <w:r>
        <w:rPr>
          <w:b w:val="0"/>
        </w:rPr>
        <w:t>après l'accord de principe du Client, l'envoi par courriel des présentes CGV, de la politique de confidentialité, du Mandat et du lien de paiement ; un appel avec le Bénéficiaire permet de répondre à ses questions ;</w:t>
      </w:r>
    </w:p>
    <w:p>
      <w:pPr>
        <w:pStyle w:val="ListBullet"/>
        <w:jc w:val="both"/>
      </w:pPr>
      <w:r>
        <w:rPr>
          <w:b w:val="0"/>
        </w:rPr>
        <w:t>le paiement en ligne par le Client, au cours duquel il accepte les présentes CGV et peut demander expressément que l'exécution du service commence avant la fin du délai de rétractation ;</w:t>
      </w:r>
    </w:p>
    <w:p>
      <w:pPr>
        <w:pStyle w:val="ListBullet"/>
        <w:jc w:val="both"/>
      </w:pPr>
      <w:r>
        <w:rPr>
          <w:b w:val="0"/>
        </w:rPr>
        <w:t>la signature du Mandat par le Bénéficiaire, de façon manuscrite ou électronique, et la transmission d'une copie de la pièce d'identité du Bénéficiaire et du Client par le lien de dépôt sécurisé communiqué par le Prestataire, à l'exclusion de tout autre canal.</w:t>
      </w:r>
    </w:p>
    <w:p>
      <w:pPr>
        <w:jc w:val="both"/>
      </w:pPr>
      <w:r>
        <w:rPr>
          <w:b w:val="0"/>
        </w:rPr>
        <w:t>Le contrat est formé à la date du paiement. L'exécution du service commence à la réception du Mandat signé. Si le Mandat n'est pas signé dans les trente (30) jours suivant le paiement, ou si le Prestataire refuse la souscription pour l'un des motifs ci-après, le contrat est résolu et les sommes versées sont intégralement remboursées au Client. Le Prestataire se réserve le droit de refuser une souscription lorsque le Bénéficiaire fait l'objet d'une mesure de protection juridique, lorsque la situation relève d'un contentieux lourd nécessitant un professionnel du droit, ou lorsque les vérifications d'identité ne peuvent aboutir.</w:t>
      </w:r>
    </w:p>
    <w:p>
      <w:pPr>
        <w:pStyle w:val="Heading2"/>
      </w:pPr>
      <w:r>
        <w:t>Article 6 — Délais d'exécution</w:t>
      </w:r>
    </w:p>
    <w:p>
      <w:pPr>
        <w:jc w:val="both"/>
      </w:pPr>
      <w:r>
        <w:rPr>
          <w:b w:val="0"/>
        </w:rPr>
        <w:t>Le Prestataire traite tout courrier et toute demande reçus dans un délai de quarante-huit (48) heures ouvrées à compter de leur réception, du lundi au vendredi hors jours fériés français. « Traiter » signifie prendre connaissance du document, le classer, engager l'action nécessaire et informer le Client en cas d'urgence.</w:t>
      </w:r>
    </w:p>
    <w:p>
      <w:pPr>
        <w:jc w:val="both"/>
      </w:pPr>
      <w:r>
        <w:rPr>
          <w:b w:val="0"/>
        </w:rPr>
        <w:t>Le délai d'aboutissement d'une Démarche dépend des organismes concernés et ne peut être garanti. Le Prestataire s'engage à une obligation de moyens : il effectue les relances nécessaires et informe le Client de l'avancement dans le Rapport mensuel.</w:t>
      </w:r>
    </w:p>
    <w:p>
      <w:pPr>
        <w:jc w:val="both"/>
      </w:pPr>
      <w:r>
        <w:rPr>
          <w:b w:val="0"/>
        </w:rPr>
        <w:t>Le diagnostic initial est remis dans un délai de vingt-et-un (21) jours à compter de la réception du Mandat signé et des accès nécessaires.</w:t>
      </w:r>
    </w:p>
    <w:p>
      <w:pPr>
        <w:pStyle w:val="Heading2"/>
      </w:pPr>
      <w:r>
        <w:t>Article 7 — Obligations du prestataire</w:t>
      </w:r>
    </w:p>
    <w:p>
      <w:pPr>
        <w:jc w:val="both"/>
      </w:pPr>
      <w:r>
        <w:rPr>
          <w:b w:val="0"/>
        </w:rPr>
        <w:t>Le Prestataire s'engage à :</w:t>
      </w:r>
    </w:p>
    <w:p>
      <w:pPr>
        <w:pStyle w:val="ListBullet"/>
        <w:jc w:val="both"/>
      </w:pPr>
      <w:r>
        <w:rPr>
          <w:b w:val="0"/>
        </w:rPr>
        <w:t>exécuter les Démarches avec diligence et loyauté, dans le seul intérêt du Bénéficiaire ;</w:t>
      </w:r>
    </w:p>
    <w:p>
      <w:pPr>
        <w:pStyle w:val="ListBullet"/>
        <w:jc w:val="both"/>
      </w:pPr>
      <w:r>
        <w:rPr>
          <w:b w:val="0"/>
        </w:rPr>
        <w:t>respecter strictement les pouvoirs et exclusions du Mandat ;</w:t>
      </w:r>
    </w:p>
    <w:p>
      <w:pPr>
        <w:pStyle w:val="ListBullet"/>
        <w:jc w:val="both"/>
      </w:pPr>
      <w:r>
        <w:rPr>
          <w:b w:val="0"/>
        </w:rPr>
        <w:t>conserver les identifiants dans un coffre-fort numérique chiffré avec accès nominatifs et journal d'accès ;</w:t>
      </w:r>
    </w:p>
    <w:p>
      <w:pPr>
        <w:pStyle w:val="ListBullet"/>
        <w:jc w:val="both"/>
      </w:pPr>
      <w:r>
        <w:rPr>
          <w:b w:val="0"/>
        </w:rPr>
        <w:t>garantir la confidentialité des informations et documents ;</w:t>
      </w:r>
    </w:p>
    <w:p>
      <w:pPr>
        <w:pStyle w:val="ListBullet"/>
        <w:jc w:val="both"/>
      </w:pPr>
      <w:r>
        <w:rPr>
          <w:b w:val="0"/>
        </w:rPr>
        <w:t>adresser un Rapport mensuel au Client le premier jour ouvré de chaque mois et l'alerter immédiatement de toute urgence ;</w:t>
      </w:r>
    </w:p>
    <w:p>
      <w:pPr>
        <w:pStyle w:val="ListBullet"/>
        <w:jc w:val="both"/>
      </w:pPr>
      <w:r>
        <w:rPr>
          <w:b w:val="0"/>
        </w:rPr>
        <w:t>assurer une ligne téléphonique dédiée au Bénéficiaire aux heures ouvrées françaises ;</w:t>
      </w:r>
    </w:p>
    <w:p>
      <w:pPr>
        <w:pStyle w:val="ListBullet"/>
        <w:jc w:val="both"/>
      </w:pPr>
      <w:r>
        <w:rPr>
          <w:b w:val="0"/>
        </w:rPr>
        <w:t>orienter le Client vers un professionnel compétent pour toute question excédant le service.</w:t>
      </w:r>
    </w:p>
    <w:p>
      <w:pPr>
        <w:pStyle w:val="Heading2"/>
      </w:pPr>
      <w:r>
        <w:t>Article 8 — Obligations du client et du bénéficiaire</w:t>
      </w:r>
    </w:p>
    <w:p>
      <w:pPr>
        <w:jc w:val="both"/>
      </w:pPr>
      <w:r>
        <w:rPr>
          <w:b w:val="0"/>
        </w:rPr>
        <w:t>Le Client et le Bénéficiaire s'engagent à :</w:t>
      </w:r>
    </w:p>
    <w:p>
      <w:pPr>
        <w:pStyle w:val="ListBullet"/>
        <w:jc w:val="both"/>
      </w:pPr>
      <w:r>
        <w:rPr>
          <w:b w:val="0"/>
        </w:rPr>
        <w:t>fournir des informations exactes et complètes et signaler tout changement de situation ;</w:t>
      </w:r>
    </w:p>
    <w:p>
      <w:pPr>
        <w:pStyle w:val="ListBullet"/>
        <w:jc w:val="both"/>
      </w:pPr>
      <w:r>
        <w:rPr>
          <w:b w:val="0"/>
        </w:rPr>
        <w:t>transmettre les documents et accès nécessaires et répondre aux demandes de validation dans un délai raisonnable ;</w:t>
      </w:r>
    </w:p>
    <w:p>
      <w:pPr>
        <w:pStyle w:val="ListBullet"/>
        <w:jc w:val="both"/>
      </w:pPr>
      <w:r>
        <w:rPr>
          <w:b w:val="0"/>
        </w:rPr>
        <w:t>régler eux-mêmes les sommes dues aux organismes tiers ;</w:t>
      </w:r>
    </w:p>
    <w:p>
      <w:pPr>
        <w:pStyle w:val="ListBullet"/>
        <w:jc w:val="both"/>
      </w:pPr>
      <w:r>
        <w:rPr>
          <w:b w:val="0"/>
        </w:rPr>
        <w:t>ne pas utiliser le service à des fins contraires à la loi ou à l'intérêt du Bénéficiaire ;</w:t>
      </w:r>
    </w:p>
    <w:p>
      <w:pPr>
        <w:pStyle w:val="ListBullet"/>
        <w:jc w:val="both"/>
      </w:pPr>
      <w:r>
        <w:rPr>
          <w:b w:val="0"/>
        </w:rPr>
        <w:t>régler le prix aux échéances convenues.</w:t>
      </w:r>
    </w:p>
    <w:p>
      <w:pPr>
        <w:pStyle w:val="Heading2"/>
      </w:pPr>
      <w:r>
        <w:t>Article 9 — Ce qui est exclu du service</w:t>
      </w:r>
    </w:p>
    <w:p>
      <w:pPr>
        <w:jc w:val="both"/>
      </w:pPr>
      <w:r>
        <w:rPr>
          <w:b w:val="0"/>
        </w:rPr>
        <w:t>Le service ne comprend pas, et le Prestataire refuse d'accomplir :</w:t>
      </w:r>
    </w:p>
    <w:p>
      <w:pPr>
        <w:pStyle w:val="ListBullet"/>
        <w:jc w:val="both"/>
      </w:pPr>
      <w:r>
        <w:rPr>
          <w:b/>
        </w:rPr>
        <w:t>le conseil juridique, fiscal ou patrimonial</w:t>
      </w:r>
      <w:r>
        <w:rPr>
          <w:b w:val="0"/>
        </w:rPr>
        <w:t xml:space="preserve"> : le Prestataire ne donne aucune consultation juridique et ne rédige aucun acte sous seing privé pour autrui au sens de la loi n° 71-1130 du 31 décembre 1971 ; il oriente vers un avocat, un notaire ou un professionnel habilité ;</w:t>
      </w:r>
    </w:p>
    <w:p>
      <w:pPr>
        <w:pStyle w:val="ListBullet"/>
        <w:jc w:val="both"/>
      </w:pPr>
      <w:r>
        <w:rPr>
          <w:b/>
        </w:rPr>
        <w:t>la gestion d'argent</w:t>
      </w:r>
      <w:r>
        <w:rPr>
          <w:b w:val="0"/>
        </w:rPr>
        <w:t xml:space="preserve"> : aucun virement, prélèvement, retrait, paiement ni procuration bancaire ; le Prestataire prépare les éléments, le Client ou le Bénéficiaire valide et paie ;</w:t>
      </w:r>
    </w:p>
    <w:p>
      <w:pPr>
        <w:pStyle w:val="ListBullet"/>
        <w:jc w:val="both"/>
      </w:pPr>
      <w:r>
        <w:rPr>
          <w:b/>
        </w:rPr>
        <w:t>la présence physique</w:t>
      </w:r>
      <w:r>
        <w:rPr>
          <w:b w:val="0"/>
        </w:rPr>
        <w:t xml:space="preserve"> : aucun déplacement au domicile du Bénéficiaire ni accompagnement à un rendez-vous ;</w:t>
      </w:r>
    </w:p>
    <w:p>
      <w:pPr>
        <w:pStyle w:val="ListBullet"/>
        <w:jc w:val="both"/>
      </w:pPr>
      <w:r>
        <w:rPr>
          <w:b w:val="0"/>
        </w:rPr>
        <w:t>les actes de disposition, les engagements de crédit, la souscription de produits d'assurance-vie ou de placement ;</w:t>
      </w:r>
    </w:p>
    <w:p>
      <w:pPr>
        <w:pStyle w:val="ListBullet"/>
        <w:jc w:val="both"/>
      </w:pPr>
      <w:r>
        <w:rPr>
          <w:b w:val="0"/>
        </w:rPr>
        <w:t>la représentation en justice et les recours contentieux ;</w:t>
      </w:r>
    </w:p>
    <w:p>
      <w:pPr>
        <w:pStyle w:val="ListBullet"/>
        <w:jc w:val="both"/>
      </w:pPr>
      <w:r>
        <w:rPr>
          <w:b w:val="0"/>
        </w:rPr>
        <w:t>les soins, l'aide à la personne et la coordination médicale.</w:t>
      </w:r>
    </w:p>
    <w:p>
      <w:pPr>
        <w:pStyle w:val="Heading2"/>
      </w:pPr>
      <w:r>
        <w:t>Article 10 — Prix, facturation et paiement</w:t>
      </w:r>
    </w:p>
    <w:p>
      <w:pPr>
        <w:jc w:val="both"/>
      </w:pPr>
      <w:r>
        <w:rPr>
          <w:b w:val="0"/>
        </w:rPr>
        <w:t>L'abonnement est facturé mensuellement, d'avance, à la date anniversaire de la souscription, par carte bancaire au moyen du service de paiement sécurisé Stripe. Les forfaits et la démarche isolée sont facturés à la commande. Les factures sont adressées par courriel au Client et restent consultables dans l'espace de gestion de son abonnement.</w:t>
      </w:r>
    </w:p>
    <w:p>
      <w:pPr>
        <w:jc w:val="both"/>
      </w:pPr>
      <w:r>
        <w:rPr>
          <w:b w:val="0"/>
        </w:rPr>
        <w:t>Lorsque le diagnostic initial a été payé séparément et que le Client souscrit l'abonnement dans les trente (30) jours suivant la remise du rapport de diagnostic, le prix du diagnostic est déduit des premières mensualités.</w:t>
      </w:r>
    </w:p>
    <w:p>
      <w:pPr>
        <w:jc w:val="both"/>
      </w:pPr>
      <w:r>
        <w:rPr>
          <w:b w:val="0"/>
        </w:rPr>
        <w:t>En cas de défaut de paiement à l'échéance, le Prestataire adresse un rappel par courriel. À défaut de régularisation sous quinze (15) jours, le service peut être suspendu, après information du Client et du Bénéficiaire, jusqu'au règlement. Les Démarches urgentes en cours sont achevées avant toute suspension.</w:t>
      </w:r>
    </w:p>
    <w:p>
      <w:pPr>
        <w:pStyle w:val="Heading2"/>
      </w:pPr>
      <w:r>
        <w:t>Article 11 — Taxes</w:t>
      </w:r>
    </w:p>
    <w:p>
      <w:pPr>
        <w:jc w:val="both"/>
      </w:pPr>
      <w:r>
        <w:rPr>
          <w:b w:val="0"/>
        </w:rPr>
        <w:t>Les prix indiqués sont des prix toutes taxes comprises. La taxe sur la valeur ajoutée est déterminée selon les règles françaises de territorialité applicables aux prestations de services fournies à des consommateurs. Lorsque le Prestataire relève du régime de la franchise en base, les factures portent la mention « TVA non applicable, article 293 B du Code général des impôts ». Dans le cas contraire, la TVA française au taux en vigueur est comprise dans le prix affiché et figure sur la facture.</w:t>
      </w:r>
    </w:p>
    <w:p>
      <w:pPr>
        <w:jc w:val="both"/>
      </w:pPr>
      <w:r>
        <w:rPr>
          <w:b w:val="0"/>
        </w:rPr>
        <w:t>Le Client fait son affaire des taxes éventuellement dues dans son pays de résidence.</w:t>
      </w:r>
    </w:p>
    <w:p>
      <w:pPr>
        <w:pStyle w:val="Heading2"/>
      </w:pPr>
      <w:r>
        <w:t>Article 12 — Durée et résiliation</w:t>
      </w:r>
    </w:p>
    <w:p>
      <w:pPr>
        <w:jc w:val="both"/>
      </w:pPr>
      <w:r>
        <w:rPr>
          <w:b w:val="0"/>
        </w:rPr>
        <w:t>L'abonnement est conclu sans engagement de durée. Le Client peut le résilier à tout moment, par courriel à {{MANDATAIRE_EMAIL}} ou par courrier, ou en ligne depuis l'espace de gestion de son abonnement, avec effet à la fin de la période mensuelle en cours, soit la veille de la prochaine échéance. Aucun frais de résiliation n'est dû. Les sommes versées pour la période en cours restent acquises.</w:t>
      </w:r>
    </w:p>
    <w:p>
      <w:pPr>
        <w:jc w:val="both"/>
      </w:pPr>
      <w:r>
        <w:rPr>
          <w:b w:val="0"/>
        </w:rPr>
        <w:t>Le Bénéficiaire peut révoquer le Mandat à tout moment, ce qui met fin à l'abonnement dans les mêmes conditions.</w:t>
      </w:r>
    </w:p>
    <w:p>
      <w:pPr>
        <w:jc w:val="both"/>
      </w:pPr>
      <w:r>
        <w:rPr>
          <w:b w:val="0"/>
        </w:rPr>
        <w:t>Le Prestataire peut résilier l'abonnement moyennant un préavis d'un (1) mois par courriel, notamment en cas de changement de situation du Bénéficiaire rendant le service inadapté, ou sans préavis en cas de manquement grave du Client ou du Bénéficiaire (fausses déclarations, usage contraire à la loi, défaut de paiement persistant).</w:t>
      </w:r>
    </w:p>
    <w:p>
      <w:pPr>
        <w:jc w:val="both"/>
      </w:pPr>
      <w:r>
        <w:rPr>
          <w:b w:val="0"/>
        </w:rPr>
        <w:t>À la fin du contrat, le Prestataire remet un rapport de clôture, restitue les identifiants et documents, rétablit les coordonnées personnelles du Bénéficiaire auprès des organismes et supprime ses accès dans un délai de quinze (15) jours.</w:t>
      </w:r>
    </w:p>
    <w:p>
      <w:pPr>
        <w:pStyle w:val="Heading2"/>
      </w:pPr>
      <w:r>
        <w:t>Article 13 — Responsabilité et assurance</w:t>
      </w:r>
    </w:p>
    <w:p>
      <w:pPr>
        <w:jc w:val="both"/>
      </w:pPr>
      <w:r>
        <w:rPr>
          <w:b w:val="0"/>
        </w:rPr>
        <w:t>Le Prestataire est tenu d'une obligation de moyens. Sa responsabilité ne peut être engagée en cas de retard ou de refus imputable à un organisme tiers, d'informations inexactes ou incomplètes fournies par le Client ou le Bénéficiaire, de force majeure, ou d'indisponibilité des services en ligne des organismes.</w:t>
      </w:r>
    </w:p>
    <w:p>
      <w:pPr>
        <w:jc w:val="both"/>
      </w:pPr>
      <w:r>
        <w:rPr>
          <w:b w:val="0"/>
        </w:rPr>
        <w:t>Le Prestataire est assuré au titre de sa responsabilité civile professionnelle auprès de {{ASSUREUR_RC_PRO}}, police n° {{NUMERO_POLICE_RC_PRO}}, couvrant les conséquences pécuniaires des dommages causés dans l'exécution du service. Une attestation d'assurance est remise sur demande.</w:t>
      </w:r>
    </w:p>
    <w:p>
      <w:pPr>
        <w:jc w:val="both"/>
      </w:pPr>
      <w:r>
        <w:rPr>
          <w:b w:val="0"/>
        </w:rPr>
        <w:t>Sans préjudice des dispositions légales impératives, la responsabilité du Prestataire au titre d'un abonnement est limitée au montant des sommes versées par le Client au cours des douze (12) mois précédant le fait générateur, et, au titre d'un forfait ou d'une démarche isolée, au prix de la prestation.</w:t>
      </w:r>
    </w:p>
    <w:p>
      <w:pPr>
        <w:pStyle w:val="Heading2"/>
      </w:pPr>
      <w:r>
        <w:t>Article 14 — Données personnelles</w:t>
      </w:r>
    </w:p>
    <w:p>
      <w:pPr>
        <w:jc w:val="both"/>
      </w:pPr>
      <w:r>
        <w:rPr>
          <w:b w:val="0"/>
        </w:rPr>
        <w:t>Les données personnelles du Client et du Bénéficiaire sont traitées conformément à la politique de confidentialité disponible sur {{SITE_URL}} et remise avec le Mandat. Le traitement des données de santé strictement nécessaires aux Démarches repose sur le consentement explicite du Bénéficiaire, recueilli dans le Mandat.</w:t>
      </w:r>
    </w:p>
    <w:p>
      <w:pPr>
        <w:pStyle w:val="Heading2"/>
      </w:pPr>
      <w:r>
        <w:t>Article 15 — Droit de rétractation</w:t>
      </w:r>
    </w:p>
    <w:p>
      <w:pPr>
        <w:jc w:val="both"/>
      </w:pPr>
      <w:r>
        <w:rPr>
          <w:b w:val="0"/>
        </w:rPr>
        <w:t>Le Client dispose d'un délai de quatorze (14) jours à compter de la conclusion du contrat pour exercer son droit de rétractation, sans motif ni pénalité, conformément aux articles L. 221-18 et suivants du Code de la consommation. Il l'exerce par tout écrit dénué d'ambiguïté adressé au Prestataire, par exemple au moyen du formulaire figurant en annexe des présentes.</w:t>
      </w:r>
    </w:p>
    <w:p>
      <w:pPr>
        <w:jc w:val="both"/>
      </w:pPr>
      <w:r>
        <w:rPr>
          <w:b w:val="0"/>
        </w:rPr>
        <w:t>Si le Client demande expressément que l'exécution du service commence avant la fin du délai de rétractation, il reste redevable, en cas de rétractation, d'un montant proportionnel au service fourni jusqu'à la communication de sa décision. Le Client reconnaît que le diagnostic initial et la démarche isolée, lorsqu'ils ont été pleinement exécutés avant la fin du délai avec son accord exprès, ne peuvent plus donner lieu à rétractation.</w:t>
      </w:r>
    </w:p>
    <w:p>
      <w:pPr>
        <w:pStyle w:val="Heading2"/>
      </w:pPr>
      <w:r>
        <w:t>Article 16 — Médiation de la consommation</w:t>
      </w:r>
    </w:p>
    <w:p>
      <w:pPr>
        <w:jc w:val="both"/>
      </w:pPr>
      <w:r>
        <w:rPr>
          <w:b w:val="0"/>
        </w:rPr>
        <w:t>Conformément aux articles L. 611-1 et suivants et R. 612-1 et suivants du Code de la consommation, en cas de litige non résolu par une réclamation écrite préalable adressée au Prestataire, le Client peut recourir gratuitement au médiateur de la consommation suivant : {{MEDIATEUR_NOM}}, {{MEDIATEUR_ADRESSE}}, {{MEDIATEUR_SITE}}. La demande de médiation doit être introduite dans un délai d'un an à compter de la réclamation écrite adressée au Prestataire.</w:t>
      </w:r>
    </w:p>
    <w:p>
      <w:pPr>
        <w:jc w:val="both"/>
      </w:pPr>
      <w:r>
        <w:rPr>
          <w:b w:val="0"/>
        </w:rPr>
        <w:t>Le Client résidant dans l'Union européenne peut également utiliser la plateforme européenne de règlement en ligne des litiges.</w:t>
      </w:r>
    </w:p>
    <w:p>
      <w:pPr>
        <w:pStyle w:val="Heading2"/>
      </w:pPr>
      <w:r>
        <w:t>Article 17 — Droit applicable</w:t>
      </w:r>
    </w:p>
    <w:p>
      <w:pPr>
        <w:jc w:val="both"/>
      </w:pPr>
      <w:r>
        <w:rPr>
          <w:b w:val="0"/>
        </w:rPr>
        <w:t>Les présentes CGV sont soumises au droit français. Le Client résidant à l'étranger bénéficie, le cas échéant, des dispositions impératives plus favorables de la loi de son pays de résidence habituelle. À défaut de résolution amiable ou par médiation, le litige est porté devant les juridictions françaises compétentes.</w:t>
      </w:r>
    </w:p>
    <w:p>
      <w:pPr>
        <w:pStyle w:val="Heading2"/>
      </w:pPr>
      <w:r>
        <w:t>Article 18 — Dispositions diverses</w:t>
      </w:r>
    </w:p>
    <w:p>
      <w:pPr>
        <w:jc w:val="both"/>
      </w:pPr>
      <w:r>
        <w:rPr>
          <w:b w:val="0"/>
        </w:rPr>
        <w:t>Si l'une des clauses des présentes est déclarée nulle, les autres clauses conservent leur effet. Le fait pour le Prestataire de ne pas se prévaloir d'un manquement ne vaut pas renonciation. Les présentes CGV, la politique de confidentialité et le Mandat constituent l'intégralité de l'accord entre les parties. Les CGV applicables sont celles en vigueur à la date de la souscription ; en cas de modification, la nouvelle version est communiquée au Client trente (30) jours avant son application. Le Prestataire peut transférer le présent contrat à une société qu'il contrôle ou qui reprend l'exploitation du service Relais, après en avoir informé par écrit le Client et le Bénéficiaire au moins trente (30) jours à l'avance ; le Client peut alors résilier sans frais avant la date du transfert. Le transfert du Mandat reste soumis à l'accord du Bénéficiaire.</w:t>
      </w:r>
    </w:p>
    <w:p>
      <w:r>
        <w:br w:type="page"/>
      </w:r>
    </w:p>
    <w:p>
      <w:pPr>
        <w:pStyle w:val="Heading1"/>
      </w:pPr>
      <w:r>
        <w:t>Annexe — Formulaire de rétractation</w:t>
      </w:r>
    </w:p>
    <w:p>
      <w:pPr>
        <w:jc w:val="both"/>
      </w:pPr>
      <w:r>
        <w:rPr>
          <w:b w:val="0"/>
        </w:rPr>
        <w:t>À l'attention de {{MANDATAIRE_RAISON_SOCIALE}} (service Relais), {{MANDATAIRE_ADRESSE}}, courriel : {{MANDATAIRE_EMAIL}}.</w:t>
      </w:r>
    </w:p>
    <w:tbl>
      <w:tblPr>
        <w:tblW w:type="auto" w:w="0"/>
        <w:jc w:val="center"/>
        <w:tblLook w:firstColumn="1" w:firstRow="1" w:lastColumn="0" w:lastRow="0" w:noHBand="0" w:noVBand="1" w:val="04A0"/>
      </w:tblPr>
      <w:tblGrid>
        <w:gridCol w:w="9412"/>
      </w:tblGrid>
      <w:tr>
        <w:tc>
          <w:tcPr>
            <w:tcW w:type="dxa" w:w="9412"/>
            <w:shd w:val="clear" w:color="auto" w:fill="F3F6FA"/>
            <w:tcBorders>
              <w:top w:val="single" w:sz="8" w:space="0" w:color="1F3A5F"/>
              <w:left w:val="single" w:sz="8" w:space="0" w:color="1F3A5F"/>
              <w:bottom w:val="single" w:sz="8" w:space="0" w:color="1F3A5F"/>
              <w:right w:val="single" w:sz="8" w:space="0" w:color="1F3A5F"/>
            </w:tcBorders>
          </w:tcPr>
          <w:p>
            <w:pPr>
              <w:spacing w:before="120" w:after="120"/>
              <w:jc w:val="left"/>
            </w:pPr>
            <w:r>
              <w:rPr>
                <w:b w:val="0"/>
              </w:rPr>
              <w:t>Je vous notifie par la présente ma rétractation du contrat portant sur la prestation de service Relais commandée le ……… / ……… / ………………. Nom du consommateur : ……………………………………. Adresse du consommateur : ……………………………………. Date : ……… / ……… / ………………. Signature (uniquement en cas de notification sur papier) :</w:t>
            </w:r>
          </w:p>
        </w:tc>
      </w:tr>
    </w:tbl>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rPr>
        <w:sz w:val="18"/>
      </w:rPr>
      <w:t xml:space="preserve">Page </w:t>
    </w:r>
    <w:r>
      <w:rPr>
        <w:sz w:val="18"/>
      </w:rPr>
      <w:fldChar w:fldCharType="begin"/>
      <w:instrText xml:space="preserve">PAGE</w:instrText>
      <w:fldChar w:fldCharType="separate"/>
      <w:t>1</w:t>
      <w:fldChar w:fldCharType="end"/>
    </w:r>
    <w:r>
      <w:rPr>
        <w:sz w:val="18"/>
      </w:rPr>
      <w:t xml:space="preserve"> /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1F3A5F"/>
        <w:sz w:val="22"/>
      </w:rPr>
      <w:t>RELAIS</w:t>
    </w:r>
    <w:r>
      <w:rPr>
        <w:sz w:val="18"/>
      </w:rPr>
      <w:t xml:space="preserve">   ·   Conditions générales de vente du service Relais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