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F172A"/>
          <w:sz w:val="48"/>
        </w:rPr>
        <w:t>FIXLY — System Architecture &amp; Specification</w:t>
      </w:r>
    </w:p>
    <w:p>
      <w:pPr>
        <w:spacing w:after="360"/>
      </w:pPr>
      <w:r>
        <w:rPr>
          <w:rFonts w:ascii="Arial" w:hAnsi="Arial"/>
          <w:i/>
          <w:color w:val="2563EB"/>
          <w:sz w:val="25"/>
        </w:rPr>
        <w:t>Autonomous Incident Detection &amp; Self-Healing Platform | Hackathon Proposal</w:t>
      </w:r>
    </w:p>
    <w:p>
      <w:pPr>
        <w:spacing w:after="360"/>
      </w:pPr>
      <w:r>
        <w:rPr>
          <w:color w:val="64748B"/>
        </w:rPr>
        <w:t>―――――――――――――――――――――――――――――――――――――――――――――――――――――――</w:t>
      </w:r>
    </w:p>
    <w:p>
      <w:pPr>
        <w:pStyle w:val="Heading1"/>
        <w:spacing w:before="320" w:after="160"/>
      </w:pPr>
      <w:r>
        <w:rPr>
          <w:rFonts w:ascii="Arial" w:hAnsi="Arial"/>
          <w:b/>
          <w:color w:val="0F172A"/>
          <w:sz w:val="30"/>
        </w:rPr>
        <w:t>1. Executive Summary &amp; Vision</w:t>
      </w:r>
    </w:p>
    <w:p>
      <w:pPr>
        <w:spacing w:after="120" w:line="276" w:lineRule="auto"/>
      </w:pPr>
      <w:r>
        <w:rPr>
          <w:rFonts w:ascii="Arial" w:hAnsi="Arial"/>
          <w:color w:val="334155"/>
          <w:sz w:val="21"/>
        </w:rPr>
        <w:t>Fixly is an enterprise-grade, AI-driven autonomous incident detection and self-healing platform. Designed for modern cloud applications and remote server infrastructures, Fixly continuously monitors target server environments over secure SSH, ingests live application logs and system vitals (CPU, RAM, Disk), deduplicates repeated errors in real time, diagnoses root causes using Advanced Generative AI (Groq Llama 3.3 / Claude / GPT-4o), and automatically generates, tests, and commits verified code fixes directly to Git repositories.</w:t>
      </w:r>
    </w:p>
    <w:p>
      <w:pPr>
        <w:pStyle w:val="Heading1"/>
        <w:spacing w:before="320" w:after="160"/>
      </w:pPr>
      <w:r>
        <w:rPr>
          <w:rFonts w:ascii="Arial" w:hAnsi="Arial"/>
          <w:b/>
          <w:color w:val="0F172A"/>
          <w:sz w:val="30"/>
        </w:rPr>
        <w:t>2. Technology Stack &amp; Specifications</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20" w:type="dxa"/>
              <w:bottom w:w="120" w:type="dxa"/>
              <w:left w:w="120" w:type="dxa"/>
              <w:right w:w="120" w:type="dxa"/>
            </w:tcMar>
          </w:tcPr>
          <w:p>
            <w:r>
              <w:rPr>
                <w:rFonts w:ascii="Arial" w:hAnsi="Arial"/>
                <w:b/>
                <w:color w:val="FFFFFF"/>
                <w:sz w:val="20"/>
              </w:rPr>
              <w:t>System Layer</w:t>
            </w:r>
          </w:p>
        </w:tc>
        <w:tc>
          <w:tcPr>
            <w:tcW w:type="dxa" w:w="3312"/>
            <w:shd w:fill="0F172A"/>
            <w:tcMar>
              <w:top w:w="120" w:type="dxa"/>
              <w:bottom w:w="120" w:type="dxa"/>
              <w:left w:w="120" w:type="dxa"/>
              <w:right w:w="120" w:type="dxa"/>
            </w:tcMar>
          </w:tcPr>
          <w:p>
            <w:r>
              <w:rPr>
                <w:rFonts w:ascii="Arial" w:hAnsi="Arial"/>
                <w:b/>
                <w:color w:val="FFFFFF"/>
                <w:sz w:val="20"/>
              </w:rPr>
              <w:t>Technology Selection</w:t>
            </w:r>
          </w:p>
        </w:tc>
        <w:tc>
          <w:tcPr>
            <w:tcW w:type="dxa" w:w="3456"/>
            <w:shd w:fill="0F172A"/>
            <w:tcMar>
              <w:top w:w="120" w:type="dxa"/>
              <w:bottom w:w="120" w:type="dxa"/>
              <w:left w:w="120" w:type="dxa"/>
              <w:right w:w="120" w:type="dxa"/>
            </w:tcMar>
          </w:tcPr>
          <w:p>
            <w:r>
              <w:rPr>
                <w:rFonts w:ascii="Arial" w:hAnsi="Arial"/>
                <w:b/>
                <w:color w:val="FFFFFF"/>
                <w:sz w:val="20"/>
              </w:rPr>
              <w:t>Technical Rationale</w:t>
            </w:r>
          </w:p>
        </w:tc>
      </w:tr>
      <w:tr>
        <w:tc>
          <w:tcPr>
            <w:tcW w:type="dxa" w:w="2592"/>
            <w:shd w:fill="F8FAFC"/>
            <w:tcMar>
              <w:top w:w="100" w:type="dxa"/>
              <w:bottom w:w="100" w:type="dxa"/>
              <w:left w:w="120" w:type="dxa"/>
              <w:right w:w="120" w:type="dxa"/>
            </w:tcMar>
          </w:tcPr>
          <w:p>
            <w:r>
              <w:rPr>
                <w:rFonts w:ascii="Arial" w:hAnsi="Arial"/>
                <w:b/>
                <w:color w:val="0F172A"/>
                <w:sz w:val="19"/>
              </w:rPr>
              <w:t>Language &amp; Runtime</w:t>
            </w:r>
          </w:p>
        </w:tc>
        <w:tc>
          <w:tcPr>
            <w:tcW w:type="dxa" w:w="3312"/>
            <w:shd w:fill="F8FAFC"/>
            <w:tcMar>
              <w:top w:w="100" w:type="dxa"/>
              <w:bottom w:w="100" w:type="dxa"/>
              <w:left w:w="120" w:type="dxa"/>
              <w:right w:w="120" w:type="dxa"/>
            </w:tcMar>
          </w:tcPr>
          <w:p>
            <w:r>
              <w:rPr>
                <w:rFonts w:ascii="Arial" w:hAnsi="Arial"/>
                <w:color w:val="334155"/>
                <w:sz w:val="19"/>
              </w:rPr>
              <w:t>JavaScript (Node.js v20+)</w:t>
            </w:r>
          </w:p>
        </w:tc>
        <w:tc>
          <w:tcPr>
            <w:tcW w:type="dxa" w:w="3456"/>
            <w:shd w:fill="F8FAFC"/>
            <w:tcMar>
              <w:top w:w="100" w:type="dxa"/>
              <w:bottom w:w="100" w:type="dxa"/>
              <w:left w:w="120" w:type="dxa"/>
              <w:right w:w="120" w:type="dxa"/>
            </w:tcMar>
          </w:tcPr>
          <w:p>
            <w:r>
              <w:rPr>
                <w:rFonts w:ascii="Arial" w:hAnsi="Arial"/>
                <w:color w:val="334155"/>
                <w:sz w:val="19"/>
              </w:rPr>
              <w:t>High asynchronous I/O performance, unified JavaScript stack across client &amp; server.</w:t>
            </w:r>
          </w:p>
        </w:tc>
      </w:tr>
      <w:tr>
        <w:tc>
          <w:tcPr>
            <w:tcW w:type="dxa" w:w="2592"/>
            <w:shd w:fill="FFFFFF"/>
            <w:tcMar>
              <w:top w:w="100" w:type="dxa"/>
              <w:bottom w:w="100" w:type="dxa"/>
              <w:left w:w="120" w:type="dxa"/>
              <w:right w:w="120" w:type="dxa"/>
            </w:tcMar>
          </w:tcPr>
          <w:p>
            <w:r>
              <w:rPr>
                <w:rFonts w:ascii="Arial" w:hAnsi="Arial"/>
                <w:b/>
                <w:color w:val="0F172A"/>
                <w:sz w:val="19"/>
              </w:rPr>
              <w:t>Frontend Dashboard</w:t>
            </w:r>
          </w:p>
        </w:tc>
        <w:tc>
          <w:tcPr>
            <w:tcW w:type="dxa" w:w="3312"/>
            <w:shd w:fill="FFFFFF"/>
            <w:tcMar>
              <w:top w:w="100" w:type="dxa"/>
              <w:bottom w:w="100" w:type="dxa"/>
              <w:left w:w="120" w:type="dxa"/>
              <w:right w:w="120" w:type="dxa"/>
            </w:tcMar>
          </w:tcPr>
          <w:p>
            <w:r>
              <w:rPr>
                <w:rFonts w:ascii="Arial" w:hAnsi="Arial"/>
                <w:color w:val="334155"/>
                <w:sz w:val="19"/>
              </w:rPr>
              <w:t>React 18+ with Vite &amp; Tailwind CSS</w:t>
            </w:r>
          </w:p>
        </w:tc>
        <w:tc>
          <w:tcPr>
            <w:tcW w:type="dxa" w:w="3456"/>
            <w:shd w:fill="FFFFFF"/>
            <w:tcMar>
              <w:top w:w="100" w:type="dxa"/>
              <w:bottom w:w="100" w:type="dxa"/>
              <w:left w:w="120" w:type="dxa"/>
              <w:right w:w="120" w:type="dxa"/>
            </w:tcMar>
          </w:tcPr>
          <w:p>
            <w:r>
              <w:rPr>
                <w:rFonts w:ascii="Arial" w:hAnsi="Arial"/>
                <w:color w:val="334155"/>
                <w:sz w:val="19"/>
              </w:rPr>
              <w:t>Utility-first responsive design, lightning-fast HMR, modular component architecture.</w:t>
            </w:r>
          </w:p>
        </w:tc>
      </w:tr>
      <w:tr>
        <w:tc>
          <w:tcPr>
            <w:tcW w:type="dxa" w:w="2592"/>
            <w:shd w:fill="F8FAFC"/>
            <w:tcMar>
              <w:top w:w="100" w:type="dxa"/>
              <w:bottom w:w="100" w:type="dxa"/>
              <w:left w:w="120" w:type="dxa"/>
              <w:right w:w="120" w:type="dxa"/>
            </w:tcMar>
          </w:tcPr>
          <w:p>
            <w:r>
              <w:rPr>
                <w:rFonts w:ascii="Arial" w:hAnsi="Arial"/>
                <w:b/>
                <w:color w:val="0F172A"/>
                <w:sz w:val="19"/>
              </w:rPr>
              <w:t>Backend Services API</w:t>
            </w:r>
          </w:p>
        </w:tc>
        <w:tc>
          <w:tcPr>
            <w:tcW w:type="dxa" w:w="3312"/>
            <w:shd w:fill="F8FAFC"/>
            <w:tcMar>
              <w:top w:w="100" w:type="dxa"/>
              <w:bottom w:w="100" w:type="dxa"/>
              <w:left w:w="120" w:type="dxa"/>
              <w:right w:w="120" w:type="dxa"/>
            </w:tcMar>
          </w:tcPr>
          <w:p>
            <w:r>
              <w:rPr>
                <w:rFonts w:ascii="Arial" w:hAnsi="Arial"/>
                <w:color w:val="334155"/>
                <w:sz w:val="19"/>
              </w:rPr>
              <w:t>Express / Fastify (Node.js)</w:t>
            </w:r>
          </w:p>
        </w:tc>
        <w:tc>
          <w:tcPr>
            <w:tcW w:type="dxa" w:w="3456"/>
            <w:shd w:fill="F8FAFC"/>
            <w:tcMar>
              <w:top w:w="100" w:type="dxa"/>
              <w:bottom w:w="100" w:type="dxa"/>
              <w:left w:w="120" w:type="dxa"/>
              <w:right w:w="120" w:type="dxa"/>
            </w:tcMar>
          </w:tcPr>
          <w:p>
            <w:r>
              <w:rPr>
                <w:rFonts w:ascii="Arial" w:hAnsi="Arial"/>
                <w:color w:val="334155"/>
                <w:sz w:val="19"/>
              </w:rPr>
              <w:t>Lightweight HTTP routing, native JSON parsing, robust middleware architecture.</w:t>
            </w:r>
          </w:p>
        </w:tc>
      </w:tr>
      <w:tr>
        <w:tc>
          <w:tcPr>
            <w:tcW w:type="dxa" w:w="2592"/>
            <w:shd w:fill="FFFFFF"/>
            <w:tcMar>
              <w:top w:w="100" w:type="dxa"/>
              <w:bottom w:w="100" w:type="dxa"/>
              <w:left w:w="120" w:type="dxa"/>
              <w:right w:w="120" w:type="dxa"/>
            </w:tcMar>
          </w:tcPr>
          <w:p>
            <w:r>
              <w:rPr>
                <w:rFonts w:ascii="Arial" w:hAnsi="Arial"/>
                <w:b/>
                <w:color w:val="0F172A"/>
                <w:sz w:val="19"/>
              </w:rPr>
              <w:t>Real-Time Engine</w:t>
            </w:r>
          </w:p>
        </w:tc>
        <w:tc>
          <w:tcPr>
            <w:tcW w:type="dxa" w:w="3312"/>
            <w:shd w:fill="FFFFFF"/>
            <w:tcMar>
              <w:top w:w="100" w:type="dxa"/>
              <w:bottom w:w="100" w:type="dxa"/>
              <w:left w:w="120" w:type="dxa"/>
              <w:right w:w="120" w:type="dxa"/>
            </w:tcMar>
          </w:tcPr>
          <w:p>
            <w:r>
              <w:rPr>
                <w:rFonts w:ascii="Arial" w:hAnsi="Arial"/>
                <w:color w:val="334155"/>
                <w:sz w:val="19"/>
              </w:rPr>
              <w:t>WebSockets (ws / socket.io)</w:t>
            </w:r>
          </w:p>
        </w:tc>
        <w:tc>
          <w:tcPr>
            <w:tcW w:type="dxa" w:w="3456"/>
            <w:shd w:fill="FFFFFF"/>
            <w:tcMar>
              <w:top w:w="100" w:type="dxa"/>
              <w:bottom w:w="100" w:type="dxa"/>
              <w:left w:w="120" w:type="dxa"/>
              <w:right w:w="120" w:type="dxa"/>
            </w:tcMar>
          </w:tcPr>
          <w:p>
            <w:r>
              <w:rPr>
                <w:rFonts w:ascii="Arial" w:hAnsi="Arial"/>
                <w:color w:val="334155"/>
                <w:sz w:val="19"/>
              </w:rPr>
              <w:t>Bi-directional low-latency event broadcasting for live incident feeds and vitals gauges.</w:t>
            </w:r>
          </w:p>
        </w:tc>
      </w:tr>
      <w:tr>
        <w:tc>
          <w:tcPr>
            <w:tcW w:type="dxa" w:w="2592"/>
            <w:shd w:fill="F8FAFC"/>
            <w:tcMar>
              <w:top w:w="100" w:type="dxa"/>
              <w:bottom w:w="100" w:type="dxa"/>
              <w:left w:w="120" w:type="dxa"/>
              <w:right w:w="120" w:type="dxa"/>
            </w:tcMar>
          </w:tcPr>
          <w:p>
            <w:r>
              <w:rPr>
                <w:rFonts w:ascii="Arial" w:hAnsi="Arial"/>
                <w:b/>
                <w:color w:val="0F172A"/>
                <w:sz w:val="19"/>
              </w:rPr>
              <w:t>Database &amp; ODM Layer</w:t>
            </w:r>
          </w:p>
        </w:tc>
        <w:tc>
          <w:tcPr>
            <w:tcW w:type="dxa" w:w="3312"/>
            <w:shd w:fill="F8FAFC"/>
            <w:tcMar>
              <w:top w:w="100" w:type="dxa"/>
              <w:bottom w:w="100" w:type="dxa"/>
              <w:left w:w="120" w:type="dxa"/>
              <w:right w:w="120" w:type="dxa"/>
            </w:tcMar>
          </w:tcPr>
          <w:p>
            <w:r>
              <w:rPr>
                <w:rFonts w:ascii="Arial" w:hAnsi="Arial"/>
                <w:color w:val="334155"/>
                <w:sz w:val="19"/>
              </w:rPr>
              <w:t>MongoDB with Mongoose ORM</w:t>
            </w:r>
          </w:p>
        </w:tc>
        <w:tc>
          <w:tcPr>
            <w:tcW w:type="dxa" w:w="3456"/>
            <w:shd w:fill="F8FAFC"/>
            <w:tcMar>
              <w:top w:w="100" w:type="dxa"/>
              <w:bottom w:w="100" w:type="dxa"/>
              <w:left w:w="120" w:type="dxa"/>
              <w:right w:w="120" w:type="dxa"/>
            </w:tcMar>
          </w:tcPr>
          <w:p>
            <w:r>
              <w:rPr>
                <w:rFonts w:ascii="Arial" w:hAnsi="Arial"/>
                <w:color w:val="334155"/>
                <w:sz w:val="19"/>
              </w:rPr>
              <w:t>Schema validation models, index acceleration, and atomic document updates.</w:t>
            </w:r>
          </w:p>
        </w:tc>
      </w:tr>
      <w:tr>
        <w:tc>
          <w:tcPr>
            <w:tcW w:type="dxa" w:w="2592"/>
            <w:shd w:fill="FFFFFF"/>
            <w:tcMar>
              <w:top w:w="100" w:type="dxa"/>
              <w:bottom w:w="100" w:type="dxa"/>
              <w:left w:w="120" w:type="dxa"/>
              <w:right w:w="120" w:type="dxa"/>
            </w:tcMar>
          </w:tcPr>
          <w:p>
            <w:r>
              <w:rPr>
                <w:rFonts w:ascii="Arial" w:hAnsi="Arial"/>
                <w:b/>
                <w:color w:val="0F172A"/>
                <w:sz w:val="19"/>
              </w:rPr>
              <w:t>SSH Transport</w:t>
            </w:r>
          </w:p>
        </w:tc>
        <w:tc>
          <w:tcPr>
            <w:tcW w:type="dxa" w:w="3312"/>
            <w:shd w:fill="FFFFFF"/>
            <w:tcMar>
              <w:top w:w="100" w:type="dxa"/>
              <w:bottom w:w="100" w:type="dxa"/>
              <w:left w:w="120" w:type="dxa"/>
              <w:right w:w="120" w:type="dxa"/>
            </w:tcMar>
          </w:tcPr>
          <w:p>
            <w:r>
              <w:rPr>
                <w:rFonts w:ascii="Arial" w:hAnsi="Arial"/>
                <w:color w:val="334155"/>
                <w:sz w:val="19"/>
              </w:rPr>
              <w:t>node-ssh / ssh2</w:t>
            </w:r>
          </w:p>
        </w:tc>
        <w:tc>
          <w:tcPr>
            <w:tcW w:type="dxa" w:w="3456"/>
            <w:shd w:fill="FFFFFF"/>
            <w:tcMar>
              <w:top w:w="100" w:type="dxa"/>
              <w:bottom w:w="100" w:type="dxa"/>
              <w:left w:w="120" w:type="dxa"/>
              <w:right w:w="120" w:type="dxa"/>
            </w:tcMar>
          </w:tcPr>
          <w:p>
            <w:r>
              <w:rPr>
                <w:rFonts w:ascii="Arial" w:hAnsi="Arial"/>
                <w:color w:val="334155"/>
                <w:sz w:val="19"/>
              </w:rPr>
              <w:t>Encrypted key-based remote log streaming and vitals command execution.</w:t>
            </w:r>
          </w:p>
        </w:tc>
      </w:tr>
      <w:tr>
        <w:tc>
          <w:tcPr>
            <w:tcW w:type="dxa" w:w="2592"/>
            <w:shd w:fill="F8FAFC"/>
            <w:tcMar>
              <w:top w:w="100" w:type="dxa"/>
              <w:bottom w:w="100" w:type="dxa"/>
              <w:left w:w="120" w:type="dxa"/>
              <w:right w:w="120" w:type="dxa"/>
            </w:tcMar>
          </w:tcPr>
          <w:p>
            <w:r>
              <w:rPr>
                <w:rFonts w:ascii="Arial" w:hAnsi="Arial"/>
                <w:b/>
                <w:color w:val="0F172A"/>
                <w:sz w:val="19"/>
              </w:rPr>
              <w:t>Version Control Integration</w:t>
            </w:r>
          </w:p>
        </w:tc>
        <w:tc>
          <w:tcPr>
            <w:tcW w:type="dxa" w:w="3312"/>
            <w:shd w:fill="F8FAFC"/>
            <w:tcMar>
              <w:top w:w="100" w:type="dxa"/>
              <w:bottom w:w="100" w:type="dxa"/>
              <w:left w:w="120" w:type="dxa"/>
              <w:right w:w="120" w:type="dxa"/>
            </w:tcMar>
          </w:tcPr>
          <w:p>
            <w:r>
              <w:rPr>
                <w:rFonts w:ascii="Arial" w:hAnsi="Arial"/>
                <w:color w:val="334155"/>
                <w:sz w:val="19"/>
              </w:rPr>
              <w:t>simple-git</w:t>
            </w:r>
          </w:p>
        </w:tc>
        <w:tc>
          <w:tcPr>
            <w:tcW w:type="dxa" w:w="3456"/>
            <w:shd w:fill="F8FAFC"/>
            <w:tcMar>
              <w:top w:w="100" w:type="dxa"/>
              <w:bottom w:w="100" w:type="dxa"/>
              <w:left w:w="120" w:type="dxa"/>
              <w:right w:w="120" w:type="dxa"/>
            </w:tcMar>
          </w:tcPr>
          <w:p>
            <w:r>
              <w:rPr>
                <w:rFonts w:ascii="Arial" w:hAnsi="Arial"/>
                <w:color w:val="334155"/>
                <w:sz w:val="19"/>
              </w:rPr>
              <w:t>Programmatic Git repository management, automated feature branch creation, and PR pushing.</w:t>
            </w:r>
          </w:p>
        </w:tc>
      </w:tr>
      <w:tr>
        <w:tc>
          <w:tcPr>
            <w:tcW w:type="dxa" w:w="2592"/>
            <w:shd w:fill="FFFFFF"/>
            <w:tcMar>
              <w:top w:w="100" w:type="dxa"/>
              <w:bottom w:w="100" w:type="dxa"/>
              <w:left w:w="120" w:type="dxa"/>
              <w:right w:w="120" w:type="dxa"/>
            </w:tcMar>
          </w:tcPr>
          <w:p>
            <w:r>
              <w:rPr>
                <w:rFonts w:ascii="Arial" w:hAnsi="Arial"/>
                <w:b/>
                <w:color w:val="0F172A"/>
                <w:sz w:val="19"/>
              </w:rPr>
              <w:t>AI Integration Options</w:t>
            </w:r>
          </w:p>
        </w:tc>
        <w:tc>
          <w:tcPr>
            <w:tcW w:type="dxa" w:w="3312"/>
            <w:shd w:fill="FFFFFF"/>
            <w:tcMar>
              <w:top w:w="100" w:type="dxa"/>
              <w:bottom w:w="100" w:type="dxa"/>
              <w:left w:w="120" w:type="dxa"/>
              <w:right w:w="120" w:type="dxa"/>
            </w:tcMar>
          </w:tcPr>
          <w:p>
            <w:r>
              <w:rPr>
                <w:rFonts w:ascii="Arial" w:hAnsi="Arial"/>
                <w:color w:val="334155"/>
                <w:sz w:val="19"/>
              </w:rPr>
              <w:t>Groq Llama 3.3 (llama-3.3-70b-versatile) / Claude-3.5 / GPT-4o</w:t>
            </w:r>
          </w:p>
        </w:tc>
        <w:tc>
          <w:tcPr>
            <w:tcW w:type="dxa" w:w="3456"/>
            <w:shd w:fill="FFFFFF"/>
            <w:tcMar>
              <w:top w:w="100" w:type="dxa"/>
              <w:bottom w:w="100" w:type="dxa"/>
              <w:left w:w="120" w:type="dxa"/>
              <w:right w:w="120" w:type="dxa"/>
            </w:tcMar>
          </w:tcPr>
          <w:p>
            <w:r>
              <w:rPr>
                <w:rFonts w:ascii="Arial" w:hAnsi="Arial"/>
                <w:color w:val="334155"/>
                <w:sz w:val="19"/>
              </w:rPr>
              <w:t>High-speed LPU Llama 3.3 option for ultra-fast root cause diagnosis and unified diff generation (~1.4s).</w:t>
            </w:r>
          </w:p>
        </w:tc>
      </w:tr>
    </w:tbl>
    <w:p>
      <w:pPr>
        <w:spacing w:after="200"/>
      </w:pPr>
    </w:p>
    <w:p>
      <w:pPr>
        <w:pStyle w:val="Heading1"/>
        <w:spacing w:before="320" w:after="160"/>
      </w:pPr>
      <w:r>
        <w:rPr>
          <w:rFonts w:ascii="Arial" w:hAnsi="Arial"/>
          <w:b/>
          <w:color w:val="0F172A"/>
          <w:sz w:val="30"/>
        </w:rPr>
        <w:t>3. System Modules &amp; Functional Architecture</w:t>
      </w:r>
    </w:p>
    <w:p>
      <w:pPr>
        <w:pStyle w:val="Heading2"/>
        <w:spacing w:before="240" w:after="120"/>
      </w:pPr>
      <w:r>
        <w:rPr>
          <w:rFonts w:ascii="Arial" w:hAnsi="Arial"/>
          <w:b/>
          <w:color w:val="2563EB"/>
          <w:sz w:val="25"/>
        </w:rPr>
        <w:t>Module 1: Server Connection &amp; Monitoring (User 1 Scope)</w:t>
      </w:r>
    </w:p>
    <w:p>
      <w:pPr>
        <w:pStyle w:val="ListBullet"/>
        <w:spacing w:after="80"/>
      </w:pPr>
      <w:r>
        <w:rPr>
          <w:rFonts w:ascii="Arial" w:hAnsi="Arial"/>
          <w:b/>
          <w:color w:val="0F172A"/>
          <w:sz w:val="21"/>
        </w:rPr>
        <w:t xml:space="preserve">Key-Based SSH Transport (ssh_client.js): </w:t>
      </w:r>
      <w:r>
        <w:rPr>
          <w:rFonts w:ascii="Arial" w:hAnsi="Arial"/>
          <w:color w:val="334155"/>
          <w:sz w:val="21"/>
        </w:rPr>
        <w:t>Connects to remote target server via node-ssh private key authentication.</w:t>
      </w:r>
    </w:p>
    <w:p>
      <w:pPr>
        <w:pStyle w:val="ListBullet"/>
        <w:spacing w:after="80"/>
      </w:pPr>
      <w:r>
        <w:rPr>
          <w:rFonts w:ascii="Arial" w:hAnsi="Arial"/>
          <w:b/>
          <w:color w:val="0F172A"/>
          <w:sz w:val="21"/>
        </w:rPr>
        <w:t xml:space="preserve">Continuous Log Streaming (log_reader.js): </w:t>
      </w:r>
      <w:r>
        <w:rPr>
          <w:rFonts w:ascii="Arial" w:hAnsi="Arial"/>
          <w:color w:val="334155"/>
          <w:sz w:val="21"/>
        </w:rPr>
        <w:t>Tails application logs line-by-line in real time, filtering error stack traces.</w:t>
      </w:r>
    </w:p>
    <w:p>
      <w:pPr>
        <w:pStyle w:val="ListBullet"/>
        <w:spacing w:after="80"/>
      </w:pPr>
      <w:r>
        <w:rPr>
          <w:rFonts w:ascii="Arial" w:hAnsi="Arial"/>
          <w:b/>
          <w:color w:val="0F172A"/>
          <w:sz w:val="21"/>
        </w:rPr>
        <w:t xml:space="preserve">SHA-256 Deduplication Engine (dedup_engine.js): </w:t>
      </w:r>
      <w:r>
        <w:rPr>
          <w:rFonts w:ascii="Arial" w:hAnsi="Arial"/>
          <w:color w:val="334155"/>
          <w:sz w:val="21"/>
        </w:rPr>
        <w:t>Normalizes logs by stripping variable IDs/timestamps and generates a SHA-256 fingerprint hash.</w:t>
      </w:r>
    </w:p>
    <w:p>
      <w:pPr>
        <w:pStyle w:val="ListBullet"/>
        <w:spacing w:after="80"/>
      </w:pPr>
      <w:r>
        <w:rPr>
          <w:rFonts w:ascii="Arial" w:hAnsi="Arial"/>
          <w:b/>
          <w:color w:val="0F172A"/>
          <w:sz w:val="21"/>
        </w:rPr>
        <w:t xml:space="preserve">Real-Time Broadcaster (ws_broadcaster.js): </w:t>
      </w:r>
      <w:r>
        <w:rPr>
          <w:rFonts w:ascii="Arial" w:hAnsi="Arial"/>
          <w:color w:val="334155"/>
          <w:sz w:val="21"/>
        </w:rPr>
        <w:t>Emits live incident:created, incident:updated, and vitals:updated events over WebSocket.</w:t>
      </w:r>
    </w:p>
    <w:p>
      <w:pPr>
        <w:pStyle w:val="Heading2"/>
        <w:spacing w:before="240" w:after="120"/>
      </w:pPr>
      <w:r>
        <w:rPr>
          <w:rFonts w:ascii="Arial" w:hAnsi="Arial"/>
          <w:b/>
          <w:color w:val="2563EB"/>
          <w:sz w:val="25"/>
        </w:rPr>
        <w:t>Module 2: AI Logic &amp; Version Control Integration (User 2 Scope)</w:t>
      </w:r>
    </w:p>
    <w:p>
      <w:pPr>
        <w:pStyle w:val="ListBullet"/>
        <w:spacing w:after="80"/>
      </w:pPr>
      <w:r>
        <w:rPr>
          <w:rFonts w:ascii="Arial" w:hAnsi="Arial"/>
          <w:b/>
          <w:color w:val="0F172A"/>
          <w:sz w:val="21"/>
        </w:rPr>
        <w:t xml:space="preserve">AI Diagnosis &amp; Patch Engine (diagnosis.js, code_fixer.js): </w:t>
      </w:r>
      <w:r>
        <w:rPr>
          <w:rFonts w:ascii="Arial" w:hAnsi="Arial"/>
          <w:color w:val="334155"/>
          <w:sz w:val="21"/>
        </w:rPr>
        <w:t>Analyzes error context using Groq Llama 3.3 (llama-3.3-70b-versatile) or Claude/GPT-4o to return root cause, confidence score, and unified diff patches.</w:t>
      </w:r>
    </w:p>
    <w:p>
      <w:pPr>
        <w:pStyle w:val="ListBullet"/>
        <w:spacing w:after="80"/>
      </w:pPr>
      <w:r>
        <w:rPr>
          <w:rFonts w:ascii="Arial" w:hAnsi="Arial"/>
          <w:b/>
          <w:color w:val="0F172A"/>
          <w:sz w:val="21"/>
        </w:rPr>
        <w:t xml:space="preserve">Git Manager &amp; PR Creator (git_client.js): </w:t>
      </w:r>
      <w:r>
        <w:rPr>
          <w:rFonts w:ascii="Arial" w:hAnsi="Arial"/>
          <w:color w:val="334155"/>
          <w:sz w:val="21"/>
        </w:rPr>
        <w:t>Creates dedicated branch fix/inc-&lt;id&gt; via simple-git, commits patch, and pushes Pull Request.</w:t>
      </w:r>
    </w:p>
    <w:p>
      <w:pPr>
        <w:pStyle w:val="ListBullet"/>
        <w:spacing w:after="80"/>
      </w:pPr>
      <w:r>
        <w:rPr>
          <w:rFonts w:ascii="Arial" w:hAnsi="Arial"/>
          <w:b/>
          <w:color w:val="0F172A"/>
          <w:sz w:val="21"/>
        </w:rPr>
        <w:t xml:space="preserve">Recovery Verifier (recovery.js): </w:t>
      </w:r>
      <w:r>
        <w:rPr>
          <w:rFonts w:ascii="Arial" w:hAnsi="Arial"/>
          <w:color w:val="334155"/>
          <w:sz w:val="21"/>
        </w:rPr>
        <w:t>Monitors log stream post-fix. Auto-resolves incident when zero recurrences are verified.</w:t>
      </w:r>
    </w:p>
    <w:p>
      <w:pPr>
        <w:pStyle w:val="Heading2"/>
        <w:spacing w:before="240" w:after="120"/>
      </w:pPr>
      <w:r>
        <w:rPr>
          <w:rFonts w:ascii="Arial" w:hAnsi="Arial"/>
          <w:b/>
          <w:color w:val="2563EB"/>
          <w:sz w:val="25"/>
        </w:rPr>
        <w:t>Module 3: Interface &amp; User Experience (User 3 Scope)</w:t>
      </w:r>
    </w:p>
    <w:p>
      <w:pPr>
        <w:pStyle w:val="ListBullet"/>
        <w:spacing w:after="80"/>
      </w:pPr>
      <w:r>
        <w:rPr>
          <w:rFonts w:ascii="Arial" w:hAnsi="Arial"/>
          <w:b/>
          <w:color w:val="0F172A"/>
          <w:sz w:val="21"/>
        </w:rPr>
        <w:t xml:space="preserve">Live Incident Feed (LiveFeed.jsx): </w:t>
      </w:r>
      <w:r>
        <w:rPr>
          <w:rFonts w:ascii="Arial" w:hAnsi="Arial"/>
          <w:color w:val="334155"/>
          <w:sz w:val="21"/>
        </w:rPr>
        <w:t>Real-time updating visual feed styled with Tailwind CSS severity badges.</w:t>
      </w:r>
    </w:p>
    <w:p>
      <w:pPr>
        <w:pStyle w:val="ListBullet"/>
        <w:spacing w:after="80"/>
      </w:pPr>
      <w:r>
        <w:rPr>
          <w:rFonts w:ascii="Arial" w:hAnsi="Arial"/>
          <w:b/>
          <w:color w:val="0F172A"/>
          <w:sz w:val="21"/>
        </w:rPr>
        <w:t xml:space="preserve">Code Diff Inspector (DiffViewer.jsx): </w:t>
      </w:r>
      <w:r>
        <w:rPr>
          <w:rFonts w:ascii="Arial" w:hAnsi="Arial"/>
          <w:color w:val="334155"/>
          <w:sz w:val="21"/>
        </w:rPr>
        <w:t>Line-by-line visual before/after code comparison modal.</w:t>
      </w:r>
    </w:p>
    <w:p>
      <w:pPr>
        <w:pStyle w:val="Heading2"/>
        <w:spacing w:before="240" w:after="120"/>
      </w:pPr>
      <w:r>
        <w:rPr>
          <w:rFonts w:ascii="Arial" w:hAnsi="Arial"/>
          <w:b/>
          <w:color w:val="2563EB"/>
          <w:sz w:val="25"/>
        </w:rPr>
        <w:t>Module 4: Auth, Access Control &amp; System Lead (User 4 Scope)</w:t>
      </w:r>
    </w:p>
    <w:p>
      <w:pPr>
        <w:pStyle w:val="ListBullet"/>
        <w:spacing w:after="80"/>
      </w:pPr>
      <w:r>
        <w:rPr>
          <w:rFonts w:ascii="Arial" w:hAnsi="Arial"/>
          <w:b/>
          <w:color w:val="0F172A"/>
          <w:sz w:val="21"/>
        </w:rPr>
        <w:t xml:space="preserve">JWT Auth &amp; RBAC (auth_service.js): </w:t>
      </w:r>
      <w:r>
        <w:rPr>
          <w:rFonts w:ascii="Arial" w:hAnsi="Arial"/>
          <w:color w:val="334155"/>
          <w:sz w:val="21"/>
        </w:rPr>
        <w:t>Issues authenticated JWT tokens carrying ADMIN, OPERATOR, and READ_ONLY role claims.</w:t>
      </w:r>
    </w:p>
    <w:p>
      <w:pPr>
        <w:pStyle w:val="ListBullet"/>
        <w:spacing w:after="80"/>
      </w:pPr>
      <w:r>
        <w:rPr>
          <w:rFonts w:ascii="Arial" w:hAnsi="Arial"/>
          <w:b/>
          <w:color w:val="0F172A"/>
          <w:sz w:val="21"/>
        </w:rPr>
        <w:t xml:space="preserve">Backend Settings API (settings_service.js): </w:t>
      </w:r>
      <w:r>
        <w:rPr>
          <w:rFonts w:ascii="Arial" w:hAnsi="Arial"/>
          <w:color w:val="334155"/>
          <w:sz w:val="21"/>
        </w:rPr>
        <w:t>Provides encrypted GET/PUT /api/settings endpoints for masked token and AI provider selection.</w:t>
      </w:r>
    </w:p>
    <w:p>
      <w:pPr>
        <w:pStyle w:val="Heading1"/>
        <w:spacing w:before="320" w:after="160"/>
      </w:pPr>
      <w:r>
        <w:rPr>
          <w:rFonts w:ascii="Arial" w:hAnsi="Arial"/>
          <w:b/>
          <w:color w:val="0F172A"/>
          <w:sz w:val="30"/>
        </w:rPr>
        <w:t>4. End-to-End System Workflow</w:t>
      </w:r>
    </w:p>
    <w:p>
      <w:pPr>
        <w:pStyle w:val="ListBullet"/>
        <w:spacing w:after="80"/>
      </w:pPr>
      <w:r>
        <w:rPr>
          <w:rFonts w:ascii="Arial" w:hAnsi="Arial"/>
          <w:b/>
          <w:color w:val="0F172A"/>
          <w:sz w:val="21"/>
        </w:rPr>
        <w:t xml:space="preserve">Step 1 (Ingestion &amp; Dedup): </w:t>
      </w:r>
      <w:r>
        <w:rPr>
          <w:rFonts w:ascii="Arial" w:hAnsi="Arial"/>
          <w:color w:val="334155"/>
          <w:sz w:val="21"/>
        </w:rPr>
        <w:t>An unhandled exception occurs on the target server. Module 1 reads log line over SSH, calculates SHA-256 fingerprint, and updates MongoDB.</w:t>
      </w:r>
    </w:p>
    <w:p>
      <w:pPr>
        <w:pStyle w:val="ListBullet"/>
        <w:spacing w:after="80"/>
      </w:pPr>
      <w:r>
        <w:rPr>
          <w:rFonts w:ascii="Arial" w:hAnsi="Arial"/>
          <w:b/>
          <w:color w:val="0F172A"/>
          <w:sz w:val="21"/>
        </w:rPr>
        <w:t xml:space="preserve">Step 2 (AI Patch Generation): </w:t>
      </w:r>
      <w:r>
        <w:rPr>
          <w:rFonts w:ascii="Arial" w:hAnsi="Arial"/>
          <w:color w:val="334155"/>
          <w:sz w:val="21"/>
        </w:rPr>
        <w:t>Module 2 sends stack trace to Groq Llama-3.3-70B (or Claude/GPT-4o), generates unified diff patch, and opens Git Pull Request.</w:t>
      </w:r>
    </w:p>
    <w:p>
      <w:pPr>
        <w:pStyle w:val="ListBullet"/>
        <w:spacing w:after="80"/>
      </w:pPr>
      <w:r>
        <w:rPr>
          <w:rFonts w:ascii="Arial" w:hAnsi="Arial"/>
          <w:b/>
          <w:color w:val="0F172A"/>
          <w:sz w:val="21"/>
        </w:rPr>
        <w:t xml:space="preserve">Step 3 (Live Stream &amp; Verification): </w:t>
      </w:r>
      <w:r>
        <w:rPr>
          <w:rFonts w:ascii="Arial" w:hAnsi="Arial"/>
          <w:color w:val="334155"/>
          <w:sz w:val="21"/>
        </w:rPr>
        <w:t>Module 3 presents live incident on React dashboard. Module 2 auto-resolves incident after zero-recurrence window.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