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ova-vs-qwen2--architecture-comparison"/>
    <w:p>
      <w:pPr>
        <w:pStyle w:val="Heading1"/>
      </w:pPr>
      <w:r>
        <w:t xml:space="preserve">Nova vs Qwen2 — Architecture Comparison</w:t>
      </w:r>
    </w:p>
    <w:bookmarkStart w:id="9" w:name="model-overview"/>
    <w:p>
      <w:pPr>
        <w:pStyle w:val="Heading2"/>
      </w:pPr>
      <w:r>
        <w:t xml:space="preserve">Model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 (Ours)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Qwen2-0.5B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Qwen2-7B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Hidden 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KV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 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GQA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FFN 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3072 (4× 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4864 (5.4× 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18944 (5.3× hidden)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Vocab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50,257 (GPT-2)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151,936 (custom BPE)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151,936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Seq 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Tied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rchitecture-diagram--nova-141m"/>
    <w:p>
      <w:pPr>
        <w:pStyle w:val="Heading2"/>
      </w:pPr>
      <w:r>
        <w:t xml:space="preserve">Architecture Diagram — Nova (141M)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INPUT["Input"]</w:t>
      </w:r>
      <w:r>
        <w:br/>
      </w:r>
      <w:r>
        <w:rPr>
          <w:rStyle w:val="VerbatimChar"/>
        </w:rPr>
        <w:t xml:space="preserve">        A["Token IDs&lt;br/&gt;(batch, seq)"]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EMBED["Embedding Layer"]</w:t>
      </w:r>
      <w:r>
        <w:br/>
      </w:r>
      <w:r>
        <w:rPr>
          <w:rStyle w:val="VerbatimChar"/>
        </w:rPr>
        <w:t xml:space="preserve">        B["nn.Embedding&lt;br/&gt;50257 × 768"]</w:t>
      </w:r>
      <w:r>
        <w:br/>
      </w:r>
      <w:r>
        <w:rPr>
          <w:rStyle w:val="VerbatimChar"/>
        </w:rPr>
        <w:t xml:space="preserve">        BD["Embed Dropout (0.1)"]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ROPE["RoPE Cache"]</w:t>
      </w:r>
      <w:r>
        <w:br/>
      </w:r>
      <w:r>
        <w:rPr>
          <w:rStyle w:val="VerbatimChar"/>
        </w:rPr>
        <w:t xml:space="preserve">        RC["build_rope_cache&lt;br/&gt;cos, sin → (seq, head_dim)"]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BLOCK["TransformerBlock × 12"]</w:t>
      </w:r>
      <w:r>
        <w:br/>
      </w:r>
      <w:r>
        <w:rPr>
          <w:rStyle w:val="VerbatimChar"/>
        </w:rPr>
        <w:t xml:space="preserve">        subgraph ATTN_BLOCK["Self-Attention"]</w:t>
      </w:r>
      <w:r>
        <w:br/>
      </w:r>
      <w:r>
        <w:rPr>
          <w:rStyle w:val="VerbatimChar"/>
        </w:rPr>
        <w:t xml:space="preserve">            AN["RMSNorm (768)"]</w:t>
      </w:r>
      <w:r>
        <w:br/>
      </w:r>
      <w:r>
        <w:rPr>
          <w:rStyle w:val="VerbatimChar"/>
        </w:rPr>
        <w:t xml:space="preserve">            subgraph GQA["Grouped Query Attention"]</w:t>
      </w:r>
      <w:r>
        <w:br/>
      </w:r>
      <w:r>
        <w:rPr>
          <w:rStyle w:val="VerbatimChar"/>
        </w:rPr>
        <w:t xml:space="preserve">                QP["Q Proj&lt;br/&gt;768 → 768&lt;br/&gt;(12 heads × 64)"]</w:t>
      </w:r>
      <w:r>
        <w:br/>
      </w:r>
      <w:r>
        <w:rPr>
          <w:rStyle w:val="VerbatimChar"/>
        </w:rPr>
        <w:t xml:space="preserve">                KP["K Proj&lt;br/&gt;768 → 192&lt;br/&gt;(3 heads × 64)"]</w:t>
      </w:r>
      <w:r>
        <w:br/>
      </w:r>
      <w:r>
        <w:rPr>
          <w:rStyle w:val="VerbatimChar"/>
        </w:rPr>
        <w:t xml:space="preserve">                VP["V Proj&lt;br/&gt;768 → 192&lt;br/&gt;(3 heads × 64)"]</w:t>
      </w:r>
      <w:r>
        <w:br/>
      </w:r>
      <w:r>
        <w:rPr>
          <w:rStyle w:val="VerbatimChar"/>
        </w:rPr>
        <w:t xml:space="preserve">                QN["Q RMSNorm (64)"]</w:t>
      </w:r>
      <w:r>
        <w:br/>
      </w:r>
      <w:r>
        <w:rPr>
          <w:rStyle w:val="VerbatimChar"/>
        </w:rPr>
        <w:t xml:space="preserve">                KN["K RMSNorm (64)"]</w:t>
      </w:r>
      <w:r>
        <w:br/>
      </w:r>
      <w:r>
        <w:rPr>
          <w:rStyle w:val="VerbatimChar"/>
        </w:rPr>
        <w:t xml:space="preserve">                ROPE_APP["Apply RoPE"]</w:t>
      </w:r>
      <w:r>
        <w:br/>
      </w:r>
      <w:r>
        <w:rPr>
          <w:rStyle w:val="VerbatimChar"/>
        </w:rPr>
        <w:t xml:space="preserve">                REP["Repeat KV ×4"]</w:t>
      </w:r>
      <w:r>
        <w:br/>
      </w:r>
      <w:r>
        <w:rPr>
          <w:rStyle w:val="VerbatimChar"/>
        </w:rPr>
        <w:t xml:space="preserve">                SDPA["Scaled Dot-Product Attention&lt;br/&gt;is_causal=True, dropout=0.1"]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OP["Out Proj&lt;br/&gt;768 → 768"]</w:t>
      </w:r>
      <w:r>
        <w:br/>
      </w:r>
      <w:r>
        <w:rPr>
          <w:rStyle w:val="VerbatimChar"/>
        </w:rPr>
        <w:t xml:space="preserve">            RD1["Resid Dropout (0.1)"]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RES1["➕ Residual Add"]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FFN_BLOCK["Feed-Forward Network"]</w:t>
      </w:r>
      <w:r>
        <w:br/>
      </w:r>
      <w:r>
        <w:rPr>
          <w:rStyle w:val="VerbatimChar"/>
        </w:rPr>
        <w:t xml:space="preserve">            FN["RMSNorm (768)"]</w:t>
      </w:r>
      <w:r>
        <w:br/>
      </w:r>
      <w:r>
        <w:rPr>
          <w:rStyle w:val="VerbatimChar"/>
        </w:rPr>
        <w:t xml:space="preserve">            subgraph SWIGLU["SwiGLU FFN"]</w:t>
      </w:r>
      <w:r>
        <w:br/>
      </w:r>
      <w:r>
        <w:rPr>
          <w:rStyle w:val="VerbatimChar"/>
        </w:rPr>
        <w:t xml:space="preserve">                WG["W_gate&lt;br/&gt;768 → 3072"]</w:t>
      </w:r>
      <w:r>
        <w:br/>
      </w:r>
      <w:r>
        <w:rPr>
          <w:rStyle w:val="VerbatimChar"/>
        </w:rPr>
        <w:t xml:space="preserve">                WU["W_up&lt;br/&gt;768 → 3072"]</w:t>
      </w:r>
      <w:r>
        <w:br/>
      </w:r>
      <w:r>
        <w:rPr>
          <w:rStyle w:val="VerbatimChar"/>
        </w:rPr>
        <w:t xml:space="preserve">                SILU["SiLU Activation"]</w:t>
      </w:r>
      <w:r>
        <w:br/>
      </w:r>
      <w:r>
        <w:rPr>
          <w:rStyle w:val="VerbatimChar"/>
        </w:rPr>
        <w:t xml:space="preserve">                MUL["⊗ Element-wise Multiply"]</w:t>
      </w:r>
      <w:r>
        <w:br/>
      </w:r>
      <w:r>
        <w:rPr>
          <w:rStyle w:val="VerbatimChar"/>
        </w:rPr>
        <w:t xml:space="preserve">                FD["FFN Dropout (0.1)"]</w:t>
      </w:r>
      <w:r>
        <w:br/>
      </w:r>
      <w:r>
        <w:rPr>
          <w:rStyle w:val="VerbatimChar"/>
        </w:rPr>
        <w:t xml:space="preserve">                WD["W_down&lt;br/&gt;3072 → 768"]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RES2["➕ Residual Add"]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OUTPUT["Output Head"]</w:t>
      </w:r>
      <w:r>
        <w:br/>
      </w:r>
      <w:r>
        <w:rPr>
          <w:rStyle w:val="VerbatimChar"/>
        </w:rPr>
        <w:t xml:space="preserve">        FNORM["RMSNorm (768)"]</w:t>
      </w:r>
      <w:r>
        <w:br/>
      </w:r>
      <w:r>
        <w:rPr>
          <w:rStyle w:val="VerbatimChar"/>
        </w:rPr>
        <w:t xml:space="preserve">        LM["LM Head&lt;br/&gt;768 → 50257&lt;br/&gt;(tied with Embedding)"]</w:t>
      </w:r>
      <w:r>
        <w:br/>
      </w:r>
      <w:r>
        <w:rPr>
          <w:rStyle w:val="VerbatimChar"/>
        </w:rPr>
        <w:t xml:space="preserve">        LOGITS["Logits&lt;br/&gt;(batch, seq, vocab)"]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B --&gt; BD --&gt; BLOCK</w:t>
      </w:r>
      <w:r>
        <w:br/>
      </w:r>
      <w:r>
        <w:rPr>
          <w:rStyle w:val="VerbatimChar"/>
        </w:rPr>
        <w:t xml:space="preserve">    RC -.-&gt; ROPE_APP</w:t>
      </w:r>
      <w:r>
        <w:br/>
      </w:r>
      <w:r>
        <w:rPr>
          <w:rStyle w:val="VerbatimChar"/>
        </w:rPr>
        <w:t xml:space="preserve">    AN --&gt; QP &amp; KP &amp; VP</w:t>
      </w:r>
      <w:r>
        <w:br/>
      </w:r>
      <w:r>
        <w:rPr>
          <w:rStyle w:val="VerbatimChar"/>
        </w:rPr>
        <w:t xml:space="preserve">    QP --&gt; QN --&gt; ROPE_APP</w:t>
      </w:r>
      <w:r>
        <w:br/>
      </w:r>
      <w:r>
        <w:rPr>
          <w:rStyle w:val="VerbatimChar"/>
        </w:rPr>
        <w:t xml:space="preserve">    KP --&gt; KN --&gt; ROPE_APP</w:t>
      </w:r>
      <w:r>
        <w:br/>
      </w:r>
      <w:r>
        <w:rPr>
          <w:rStyle w:val="VerbatimChar"/>
        </w:rPr>
        <w:t xml:space="preserve">    VP --&gt; REP</w:t>
      </w:r>
      <w:r>
        <w:br/>
      </w:r>
      <w:r>
        <w:rPr>
          <w:rStyle w:val="VerbatimChar"/>
        </w:rPr>
        <w:t xml:space="preserve">    ROPE_APP --&gt; REP --&gt; SDPA --&gt; OP --&gt; RD1 --&gt; RES1</w:t>
      </w:r>
      <w:r>
        <w:br/>
      </w:r>
      <w:r>
        <w:rPr>
          <w:rStyle w:val="VerbatimChar"/>
        </w:rPr>
        <w:t xml:space="preserve">    RES1 --&gt; FN --&gt; WG &amp; WU</w:t>
      </w:r>
      <w:r>
        <w:br/>
      </w:r>
      <w:r>
        <w:rPr>
          <w:rStyle w:val="VerbatimChar"/>
        </w:rPr>
        <w:t xml:space="preserve">    WG --&gt; SILU --&gt; MUL</w:t>
      </w:r>
      <w:r>
        <w:br/>
      </w:r>
      <w:r>
        <w:rPr>
          <w:rStyle w:val="VerbatimChar"/>
        </w:rPr>
        <w:t xml:space="preserve">    WU --&gt; MUL --&gt; FD --&gt; WD --&gt; RES2</w:t>
      </w:r>
      <w:r>
        <w:br/>
      </w:r>
      <w:r>
        <w:rPr>
          <w:rStyle w:val="VerbatimChar"/>
        </w:rPr>
        <w:t xml:space="preserve">    RES2 --&gt; FNORM --&gt; LM --&gt; LOGITS</w:t>
      </w:r>
    </w:p>
    <w:p>
      <w:r>
        <w:pict>
          <v:rect style="width:0;height:1.5pt" o:hralign="center" o:hrstd="t" o:hr="t"/>
        </w:pict>
      </w:r>
    </w:p>
    <w:bookmarkEnd w:id="10"/>
    <w:bookmarkStart w:id="18" w:name="key-architectural-differences"/>
    <w:p>
      <w:pPr>
        <w:pStyle w:val="Heading2"/>
      </w:pPr>
      <w:r>
        <w:t xml:space="preserve">Key Architectural Differences</w:t>
      </w:r>
    </w:p>
    <w:bookmarkStart w:id="11" w:name="X71614e4f675d6771ece2b1f9b8bde8419898eb5"/>
    <w:p>
      <w:pPr>
        <w:pStyle w:val="Heading3"/>
      </w:pPr>
      <w:r>
        <w:t xml:space="preserve">1. Attention — QKV Bias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QKV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bias=False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bias=True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 Proj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bias=False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bias=False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Qwen2 is unique among modern LLMs in using</w:t>
      </w:r>
      <w:r>
        <w:t xml:space="preserve"> </w:t>
      </w:r>
      <w:r>
        <w:rPr>
          <w:b/>
          <w:bCs/>
        </w:rPr>
        <w:t xml:space="preserve">bias in QKV projections</w:t>
      </w:r>
      <w:r>
        <w:t xml:space="preserve"> </w:t>
      </w:r>
      <w:r>
        <w:t xml:space="preserve">but not in the output projection. Most models (LLaMA, Mistral, Gemma) use no bias anywhere. The Qwen team found this helps with training stability.</w:t>
      </w:r>
    </w:p>
    <w:bookmarkEnd w:id="11"/>
    <w:bookmarkStart w:id="12" w:name="Xe98265decc0c6aa875902900fca10ce674548e5"/>
    <w:p>
      <w:pPr>
        <w:pStyle w:val="Heading3"/>
      </w:pPr>
      <w:r>
        <w:t xml:space="preserve">2. Attention — QK-Norm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QK-Norm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RMSNorm per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used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Nova uses</w:t>
      </w:r>
      <w:r>
        <w:t xml:space="preserve"> </w:t>
      </w:r>
      <w:r>
        <w:rPr>
          <w:b/>
          <w:bCs/>
        </w:rPr>
        <w:t xml:space="preserve">QK-Norm</w:t>
      </w:r>
      <w:r>
        <w:t xml:space="preserve"> </w:t>
      </w:r>
      <w:r>
        <w:t xml:space="preserve">(applying RMSNorm to Q and K after projection, before RoPE). This is a technique from Gemma/DeepSeek that prevents attention logit growth in deep networks. Qwen2 doesn't use it — instead relying on QKV bias for stability.</w:t>
      </w:r>
    </w:p>
    <w:bookmarkEnd w:id="12"/>
    <w:bookmarkStart w:id="13" w:name="X7e6eed545923f500da08683d7f204076cf647ca"/>
    <w:p>
      <w:pPr>
        <w:pStyle w:val="Heading3"/>
      </w:pPr>
      <w:r>
        <w:t xml:space="preserve">3. Feed-Forward Network — FFN Ratio</w:t>
      </w:r>
    </w:p>
    <w:p>
      <w:pPr>
        <w:pStyle w:val="FirstParagraph"/>
      </w:pPr>
      <w:r>
        <w:t xml:space="preserve">Both use</w:t>
      </w:r>
      <w:r>
        <w:t xml:space="preserve"> </w:t>
      </w:r>
      <w:r>
        <w:rPr>
          <w:b/>
          <w:bCs/>
        </w:rPr>
        <w:t xml:space="preserve">SwiGLU</w:t>
      </w:r>
      <w:r>
        <w:t xml:space="preserve"> </w:t>
      </w:r>
      <w:r>
        <w:t xml:space="preserve">(</w:t>
      </w:r>
      <w:r>
        <w:rPr>
          <w:rStyle w:val="VerbatimChar"/>
        </w:rPr>
        <w:t xml:space="preserve">SiLU(gate) ⊗ up → down</w:t>
      </w:r>
      <w:r>
        <w:t xml:space="preserve">), but the expansion ratio differs:</w:t>
      </w:r>
    </w:p>
    <w:p>
      <w:pPr>
        <w:pStyle w:val="SourceCode"/>
      </w:pPr>
      <w:r>
        <w:rPr>
          <w:rStyle w:val="VerbatimChar"/>
        </w:rPr>
        <w:t xml:space="preserve">Nova:  768 → 3072 → 768    (4.0× expansion, 3 matrices)</w:t>
      </w:r>
      <w:r>
        <w:br/>
      </w:r>
      <w:r>
        <w:rPr>
          <w:rStyle w:val="VerbatimChar"/>
        </w:rPr>
        <w:t xml:space="preserve">Qwen2: 896 → 4864 → 896    (5.4× expansion, 3 matrices)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The standard SwiGLU ratio is</w:t>
      </w:r>
      <w:r>
        <w:t xml:space="preserve"> </w:t>
      </w:r>
      <w:r>
        <w:rPr>
          <w:rStyle w:val="VerbatimChar"/>
        </w:rPr>
        <w:t xml:space="preserve">8/3 × hidden ≈ 2.67×</w:t>
      </w:r>
      <w:r>
        <w:t xml:space="preserve"> </w:t>
      </w:r>
      <w:r>
        <w:t xml:space="preserve">to match parameter count with a vanilla 4× MLP (since SwiGLU has 3 matrices vs 2). Nova uses 4× which is oversized for SwiGLU — each block's FFN has 50% more parameters than equivalent. Qwen2 uses an even larger 5.4× ratio, prioritizing model capacity.</w:t>
      </w:r>
    </w:p>
    <w:bookmarkEnd w:id="13"/>
    <w:bookmarkStart w:id="14" w:name="X6c924b0f2436906c807f078c653a778a7ad8769"/>
    <w:p>
      <w:pPr>
        <w:pStyle w:val="Heading3"/>
      </w:pPr>
      <w:r>
        <w:t xml:space="preserve">4. Positional Encoding</w:t>
      </w:r>
    </w:p>
    <w:p>
      <w:pPr>
        <w:pStyle w:val="FirstParagraph"/>
      </w:pPr>
      <w:r>
        <w:t xml:space="preserve">Both use</w:t>
      </w:r>
      <w:r>
        <w:t xml:space="preserve"> </w:t>
      </w:r>
      <w:r>
        <w:rPr>
          <w:b/>
          <w:bCs/>
        </w:rPr>
        <w:t xml:space="preserve">RoPE (Rotary Position Embedding)</w:t>
      </w:r>
      <w:r>
        <w:t xml:space="preserve">, but with very different configurations: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RoPE Base (θ)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131,072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Extended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YaRN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Qwen2 uses a much higher</w:t>
      </w:r>
      <w:r>
        <w:t xml:space="preserve"> </w:t>
      </w:r>
      <w:r>
        <w:rPr>
          <w:rStyle w:val="VerbatimChar"/>
        </w:rPr>
        <w:t xml:space="preserve">rope_theta</w:t>
      </w:r>
      <w:r>
        <w:t xml:space="preserve"> </w:t>
      </w:r>
      <w:r>
        <w:t xml:space="preserve">(1M vs 10K) which spreads the frequency spectrum for long-context support. Nova uses the original base from the "Attention Is All You Need" paper, sufficient for its 512-token context.</w:t>
      </w:r>
    </w:p>
    <w:bookmarkEnd w:id="14"/>
    <w:bookmarkStart w:id="15" w:name="X5afde5b32a8a01188e57a6773d43463800668c5"/>
    <w:p>
      <w:pPr>
        <w:pStyle w:val="Heading3"/>
      </w:pPr>
      <w:r>
        <w:t xml:space="preserve">5. Normalization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RMSNorm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Pre-Norm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Before LM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Before LM head</w:t>
            </w:r>
          </w:p>
        </w:tc>
      </w:tr>
    </w:tbl>
    <w:p>
      <w:pPr>
        <w:pStyle w:val="BodyText"/>
      </w:pPr>
      <w:r>
        <w:t xml:space="preserve">Both use identical normalization strategy —</w:t>
      </w:r>
      <w:r>
        <w:t xml:space="preserve"> </w:t>
      </w:r>
      <w:r>
        <w:rPr>
          <w:b/>
          <w:bCs/>
        </w:rPr>
        <w:t xml:space="preserve">Pre-RMSNorm</w:t>
      </w:r>
      <w:r>
        <w:t xml:space="preserve"> </w:t>
      </w:r>
      <w:r>
        <w:t xml:space="preserve">(normalize before attention and FFN, not after).</w:t>
      </w:r>
    </w:p>
    <w:bookmarkEnd w:id="15"/>
    <w:bookmarkStart w:id="16" w:name="Xffd58a5655051ea0169bd3c5fe36aea29a6fd53"/>
    <w:p>
      <w:pPr>
        <w:pStyle w:val="Heading3"/>
      </w:pPr>
      <w:r>
        <w:t xml:space="preserve">6. Initialization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Normal(0, 0.02)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Normal(0, 0.02)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÷ √(2N)</w:t>
            </w:r>
            <w:r>
              <w:t xml:space="preserve"> </w:t>
            </w:r>
            <w:r>
              <w:t xml:space="preserve">for output projections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Similar depth scaling</w:t>
            </w:r>
          </w:p>
        </w:tc>
      </w:tr>
    </w:tbl>
    <w:p>
      <w:pPr>
        <w:pStyle w:val="BodyText"/>
      </w:pPr>
      <w:r>
        <w:t xml:space="preserve">Both scale the output projection weights (</w:t>
      </w:r>
      <w:r>
        <w:rPr>
          <w:rStyle w:val="VerbatimChar"/>
        </w:rPr>
        <w:t xml:space="preserve">out_proj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w_down</w:t>
      </w:r>
      <w:r>
        <w:t xml:space="preserve">) by</w:t>
      </w:r>
      <w:r>
        <w:t xml:space="preserve"> </w:t>
      </w:r>
      <w:r>
        <w:rPr>
          <w:rStyle w:val="VerbatimChar"/>
        </w:rPr>
        <w:t xml:space="preserve">1/√(2×num_layers)</w:t>
      </w:r>
      <w:r>
        <w:t xml:space="preserve"> </w:t>
      </w:r>
      <w:r>
        <w:t xml:space="preserve">to prevent residual stream growth in deeper networks.</w:t>
      </w:r>
    </w:p>
    <w:bookmarkEnd w:id="16"/>
    <w:bookmarkStart w:id="17" w:name="X2f3fc7f66795f789cc5be9955b8d514bc42d9c7"/>
    <w:p>
      <w:pPr>
        <w:pStyle w:val="Heading3"/>
      </w:pPr>
      <w:r>
        <w:t xml:space="preserve">7. Regularization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(embed + attn + FFN)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(no dropout)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</w:tbl>
    <w:p>
      <w:pPr>
        <w:pStyle w:val="BodyText"/>
      </w:pPr>
      <w:r>
        <w:t xml:space="preserve">Important</w:t>
      </w:r>
    </w:p>
    <w:p>
      <w:pPr>
        <w:pStyle w:val="BodyText"/>
      </w:pPr>
      <w:r>
        <w:t xml:space="preserve">Qwen2 uses</w:t>
      </w:r>
      <w:r>
        <w:t xml:space="preserve"> </w:t>
      </w:r>
      <w:r>
        <w:rPr>
          <w:b/>
          <w:bCs/>
        </w:rPr>
        <w:t xml:space="preserve">zero dropout</w:t>
      </w:r>
      <w:r>
        <w:t xml:space="preserve"> </w:t>
      </w:r>
      <w:r>
        <w:t xml:space="preserve">because it's trained on trillions of tokens — overfitting isn't a concern at that data scale. Nova needs dropout because it's trained on only ~112M tokens with 141M parameters (token:parameter ratio ≈ 0.8:1 vs Qwen2's ~3600:1).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arameter-breakdown--nova-141m"/>
    <w:p>
      <w:pPr>
        <w:pStyle w:val="Heading2"/>
      </w:pPr>
      <w:r>
        <w:t xml:space="preserve">Parameter Breakdown — Nova (141M)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50257 × 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38,597,376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 Block (×12):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Q 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× 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589,824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K 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× 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147,456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V 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× 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147,456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Out 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× 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589,824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QK Norm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×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Attn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× 3072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2,359,296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× 3072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2,359,296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3072 × 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2,359,296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FFN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8,554,112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6.1%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12 Blocks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102,649,344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RMSNorm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LM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× 50257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(tied)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141,247,488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data-flow-comparison"/>
    <w:p>
      <w:pPr>
        <w:pStyle w:val="Heading2"/>
      </w:pPr>
      <w:r>
        <w:t xml:space="preserve">Data Flow Comparison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Nova["Nova (Our Model)"]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N1["Embed + Dropout"] --&gt; N2["12× Block&lt;br/&gt;(Pre-RMSNorm → GQA w/ QK-Norm → Residual&lt;br/&gt; Pre-RMSNorm → SwiGLU → Residual)"]</w:t>
      </w:r>
      <w:r>
        <w:br/>
      </w:r>
      <w:r>
        <w:rPr>
          <w:rStyle w:val="VerbatimChar"/>
        </w:rPr>
        <w:t xml:space="preserve">        N2 --&gt; N3["RMSNorm → LM Head (tied)"]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Qwen["Qwen2-0.5B"]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Q1["Embed (no dropout)"] --&gt; Q2["24× Block&lt;br/&gt;(Pre-RMSNorm → GQA w/ QKV-Bias → Residual&lt;br/&gt; Pre-RMSNorm → SwiGLU → Residual)"]</w:t>
      </w:r>
      <w:r>
        <w:br/>
      </w:r>
      <w:r>
        <w:rPr>
          <w:rStyle w:val="VerbatimChar"/>
        </w:rPr>
        <w:t xml:space="preserve">        Q2 --&gt; Q3["RMSNorm → LM Head (tied)"]</w:t>
      </w:r>
      <w:r>
        <w:br/>
      </w:r>
      <w:r>
        <w:rPr>
          <w:rStyle w:val="VerbatimChar"/>
        </w:rPr>
        <w:t xml:space="preserve">    end</w:t>
      </w:r>
    </w:p>
    <w:bookmarkStart w:id="20" w:name="summary-of-design-choices"/>
    <w:p>
      <w:pPr>
        <w:pStyle w:val="Heading3"/>
      </w:pPr>
      <w:r>
        <w:t xml:space="preserve">Summary of Design Choices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Nova's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Qwen2's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Stability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QK-Norm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QKV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QK-Norm is newer, prevents logit growth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(oversized for SwiGLU)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FFN capacity = more memorization 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GPT-2 (50K vocab)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BPE (152K vocab)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vocab = better compression but more embed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context needs higher RoPE 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Dropout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Necessary at low data scales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vs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Wider (768), Shallow (12L)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Narrower (896), Deep (24L)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Deeper models learn more abstract features</w:t>
            </w:r>
          </w:p>
        </w:tc>
      </w:tr>
    </w:tbl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2026-07-20T10:56:42Z</dcterms:created>
  <dcterms:modified xsi:type="dcterms:W3CDTF">2026-07-20T10:56:42Z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