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929f5f3f19e923755f83a7f76de4355f8883cf"/>
    <w:p>
      <w:pPr>
        <w:pStyle w:val="Heading1"/>
      </w:pPr>
      <w:r>
        <w:t xml:space="preserve">Nova — 141M Parameter Transformer Language Model</w:t>
      </w:r>
    </w:p>
    <w:bookmarkStart w:id="9" w:name="architecture-overview"/>
    <w:p>
      <w:pPr>
        <w:pStyle w:val="Heading2"/>
      </w:pPr>
      <w:r>
        <w:t xml:space="preserve">Architecture Overview</w:t>
      </w:r>
    </w:p>
    <w:p>
      <w:pPr>
        <w:pStyle w:val="FirstParagraph"/>
      </w:pPr>
      <w:r>
        <w:t xml:space="preserve">Nova is a decoder-only transformer language model with 141 million parameters, designed for causal language modeling. It follows a modern GPT-style architecture with several contemporary improvements over the original transformer design. The model is trained on the TinyStories dataset using a GPT-2 tokenizer with a vocabulary of 50,257 tokens.</w:t>
      </w:r>
    </w:p>
    <w:bookmarkEnd w:id="9"/>
    <w:bookmarkStart w:id="10" w:name="model-specifications"/>
    <w:p>
      <w:pPr>
        <w:pStyle w:val="Heading2"/>
      </w:pPr>
      <w:r>
        <w:t xml:space="preserve">Model Specifications</w:t>
      </w:r>
    </w:p>
    <w:p>
      <w:pPr>
        <w:pStyle w:val="Compact"/>
        <w:numPr>
          <w:ilvl w:val="0"/>
          <w:numId w:val="1001"/>
        </w:numPr>
      </w:pPr>
      <w:r>
        <w:t xml:space="preserve">Total Parameters: 141,247,488</w:t>
      </w:r>
    </w:p>
    <w:p>
      <w:pPr>
        <w:pStyle w:val="Compact"/>
        <w:numPr>
          <w:ilvl w:val="0"/>
          <w:numId w:val="1001"/>
        </w:numPr>
      </w:pPr>
      <w:r>
        <w:t xml:space="preserve">Hidden Dimension: 768</w:t>
      </w:r>
    </w:p>
    <w:p>
      <w:pPr>
        <w:pStyle w:val="Compact"/>
        <w:numPr>
          <w:ilvl w:val="0"/>
          <w:numId w:val="1001"/>
        </w:numPr>
      </w:pPr>
      <w:r>
        <w:t xml:space="preserve">Number of Layers: 12</w:t>
      </w:r>
    </w:p>
    <w:p>
      <w:pPr>
        <w:pStyle w:val="Compact"/>
        <w:numPr>
          <w:ilvl w:val="0"/>
          <w:numId w:val="1001"/>
        </w:numPr>
      </w:pPr>
      <w:r>
        <w:t xml:space="preserve">Attention Heads: 12 query heads, 3 key-value heads</w:t>
      </w:r>
    </w:p>
    <w:p>
      <w:pPr>
        <w:pStyle w:val="Compact"/>
        <w:numPr>
          <w:ilvl w:val="0"/>
          <w:numId w:val="1001"/>
        </w:numPr>
      </w:pPr>
      <w:r>
        <w:t xml:space="preserve">Head Dimension: 64</w:t>
      </w:r>
    </w:p>
    <w:p>
      <w:pPr>
        <w:pStyle w:val="Compact"/>
        <w:numPr>
          <w:ilvl w:val="0"/>
          <w:numId w:val="1001"/>
        </w:numPr>
      </w:pPr>
      <w:r>
        <w:t xml:space="preserve">FFN Intermediate Dimension: 3,072</w:t>
      </w:r>
    </w:p>
    <w:p>
      <w:pPr>
        <w:pStyle w:val="Compact"/>
        <w:numPr>
          <w:ilvl w:val="0"/>
          <w:numId w:val="1001"/>
        </w:numPr>
      </w:pPr>
      <w:r>
        <w:t xml:space="preserve">Maximum Sequence Length: 512 tokens</w:t>
      </w:r>
    </w:p>
    <w:p>
      <w:pPr>
        <w:pStyle w:val="Compact"/>
        <w:numPr>
          <w:ilvl w:val="0"/>
          <w:numId w:val="1001"/>
        </w:numPr>
      </w:pPr>
      <w:r>
        <w:t xml:space="preserve">Vocabulary Size: 50,257</w:t>
      </w:r>
    </w:p>
    <w:p>
      <w:pPr>
        <w:pStyle w:val="Compact"/>
        <w:numPr>
          <w:ilvl w:val="0"/>
          <w:numId w:val="1001"/>
        </w:numPr>
      </w:pPr>
      <w:r>
        <w:t xml:space="preserve">Precision: BFloat16</w:t>
      </w:r>
    </w:p>
    <w:bookmarkEnd w:id="10"/>
    <w:bookmarkStart w:id="22" w:name="layer-by-layer-architecture"/>
    <w:p>
      <w:pPr>
        <w:pStyle w:val="Heading2"/>
      </w:pPr>
      <w:r>
        <w:t xml:space="preserve">Layer-by-Layer Architecture</w:t>
      </w:r>
    </w:p>
    <w:bookmarkStart w:id="11" w:name="X2dab04145349935df20c31fc0d51885cf0b1810"/>
    <w:p>
      <w:pPr>
        <w:pStyle w:val="Heading3"/>
      </w:pPr>
      <w:r>
        <w:t xml:space="preserve">1. Token Embedding</w:t>
      </w:r>
    </w:p>
    <w:p>
      <w:pPr>
        <w:pStyle w:val="FirstParagraph"/>
      </w:pPr>
      <w:r>
        <w:t xml:space="preserve">The input to the model is a sequence of integer token IDs. These are mapped to dense vectors through a learned embedding table of size 50,257 by 768. Each token is converted into a 768-dimensional vector. After embedding lookup, a dropout layer with probability 0.1 is applied for regularization. The embedding weights are tied with the final language modeling head, meaning the same weight matrix is used for both input embedding and output prediction. This reduces total parameter count and encourages the model to learn consistent token representations.</w:t>
      </w:r>
    </w:p>
    <w:bookmarkEnd w:id="11"/>
    <w:bookmarkStart w:id="19" w:name="X561e32ae45574a9d9fe98f2a666d8f04a1e8d98"/>
    <w:p>
      <w:pPr>
        <w:pStyle w:val="Heading3"/>
      </w:pPr>
      <w:r>
        <w:t xml:space="preserve">2. Transformer Block (Repeated 12 Times)</w:t>
      </w:r>
    </w:p>
    <w:p>
      <w:pPr>
        <w:pStyle w:val="FirstParagraph"/>
      </w:pPr>
      <w:r>
        <w:t xml:space="preserve">The core of the model consists of 12 identical transformer blocks stacked sequentially. Each block contains two sub-layers: a self-attention mechanism and a feed-forward network. Both sub-layers use a pre-normalization pattern, where the input is normalized before being passed to the sub-layer, and a residual connection adds the sub-layer output back to the original input.</w:t>
      </w:r>
    </w:p>
    <w:bookmarkStart w:id="12" w:name="X712f8b731aa6a9d883884b19e127b8c185fbbea"/>
    <w:p>
      <w:pPr>
        <w:pStyle w:val="Heading4"/>
      </w:pPr>
      <w:r>
        <w:t xml:space="preserve">2a. Pre-Attention RMS Normalization</w:t>
      </w:r>
    </w:p>
    <w:p>
      <w:pPr>
        <w:pStyle w:val="FirstParagraph"/>
      </w:pPr>
      <w:r>
        <w:t xml:space="preserve">Before entering the attention mechanism, the hidden states are normalized using Root Mean Square Layer Normalization (RMSNorm). Unlike standard LayerNorm, RMSNorm does not subtract the mean — it only divides by the root mean square of the activations and scales by a learned parameter. This is computationally cheaper and has been shown to perform comparably. The normalization operates over the 768-dimensional hidden state.</w:t>
      </w:r>
    </w:p>
    <w:bookmarkEnd w:id="12"/>
    <w:bookmarkStart w:id="13" w:name="Xf7acfdeb615ff1140abdf68c506a7cf6737f6f7"/>
    <w:p>
      <w:pPr>
        <w:pStyle w:val="Heading4"/>
      </w:pPr>
      <w:r>
        <w:t xml:space="preserve">2b. Grouped Query Attention (GQA)</w:t>
      </w:r>
    </w:p>
    <w:p>
      <w:pPr>
        <w:pStyle w:val="FirstParagraph"/>
      </w:pPr>
      <w:r>
        <w:t xml:space="preserve">The attention mechanism uses Grouped Query Attention, which is a memory-efficient variant of multi-head attention. Instead of having separate key and value heads for each query head, multiple query heads share the same key-value pair.</w:t>
      </w:r>
    </w:p>
    <w:p>
      <w:pPr>
        <w:pStyle w:val="BodyText"/>
      </w:pPr>
      <w:r>
        <w:t xml:space="preserve">The input is projected into queries, keys, and values through three separate linear projections with no bias terms:</w:t>
      </w:r>
    </w:p>
    <w:p>
      <w:pPr>
        <w:pStyle w:val="Compact"/>
        <w:numPr>
          <w:ilvl w:val="0"/>
          <w:numId w:val="1002"/>
        </w:numPr>
      </w:pPr>
      <w:r>
        <w:t xml:space="preserve">Query projection: 768 to 768 (12 heads, each 64 dimensions)</w:t>
      </w:r>
    </w:p>
    <w:p>
      <w:pPr>
        <w:pStyle w:val="Compact"/>
        <w:numPr>
          <w:ilvl w:val="0"/>
          <w:numId w:val="1002"/>
        </w:numPr>
      </w:pPr>
      <w:r>
        <w:t xml:space="preserve">Key projection: 768 to 192 (3 heads, each 64 dimensions)</w:t>
      </w:r>
    </w:p>
    <w:p>
      <w:pPr>
        <w:pStyle w:val="Compact"/>
        <w:numPr>
          <w:ilvl w:val="0"/>
          <w:numId w:val="1002"/>
        </w:numPr>
      </w:pPr>
      <w:r>
        <w:t xml:space="preserve">Value projection: 768 to 192 (3 heads, each 64 dimensions)</w:t>
      </w:r>
    </w:p>
    <w:p>
      <w:pPr>
        <w:pStyle w:val="FirstParagraph"/>
      </w:pPr>
      <w:r>
        <w:t xml:space="preserve">Each group of 4 query heads shares 1 key-value head, giving a 4:1 grouping ratio. This reduces the memory footprint of the KV cache during inference by 4 times compared to standard multi-head attention, while maintaining nearly identical model quality.</w:t>
      </w:r>
    </w:p>
    <w:bookmarkEnd w:id="13"/>
    <w:bookmarkStart w:id="14" w:name="X601cce61d77104a0ef7e27144f4e7419e54a5ed"/>
    <w:p>
      <w:pPr>
        <w:pStyle w:val="Heading4"/>
      </w:pPr>
      <w:r>
        <w:t xml:space="preserve">2c. QK-Normalization</w:t>
      </w:r>
    </w:p>
    <w:p>
      <w:pPr>
        <w:pStyle w:val="FirstParagraph"/>
      </w:pPr>
      <w:r>
        <w:t xml:space="preserve">After the query and key projections, both are independently normalized using per-head RMSNorm layers. The normalization is applied per attention head over the 64-dimensional head space. This technique prevents the dot-product attention logits from growing unboundedly as training progresses, which is a known source of instability in deep transformers. The Q and K normalization layers each have their own learned scale parameters.</w:t>
      </w:r>
    </w:p>
    <w:bookmarkEnd w:id="14"/>
    <w:bookmarkStart w:id="15" w:name="X6e4f394cfdd4c7f8782097ebf3b771851d45c7a"/>
    <w:p>
      <w:pPr>
        <w:pStyle w:val="Heading4"/>
      </w:pPr>
      <w:r>
        <w:t xml:space="preserve">2d. Rotary Position Embeddings (RoPE)</w:t>
      </w:r>
    </w:p>
    <w:p>
      <w:pPr>
        <w:pStyle w:val="FirstParagraph"/>
      </w:pPr>
      <w:r>
        <w:t xml:space="preserve">Positional information is injected through Rotary Position Embeddings, applied to the normalized queries and keys. RoPE encodes position by rotating pairs of dimensions in the query and key vectors by angles that depend on the token's position in the sequence. For a position index p and dimension pair index k, the rotation angle is computed as:</w:t>
      </w:r>
    </w:p>
    <w:p>
      <w:pPr>
        <w:pStyle w:val="SourceCode"/>
      </w:pPr>
      <w:r>
        <w:rPr>
          <w:rStyle w:val="VerbatimChar"/>
        </w:rPr>
        <w:t xml:space="preserve">theta_k = p / (10000 ^ (2k / head_dim))</w:t>
      </w:r>
    </w:p>
    <w:p>
      <w:pPr>
        <w:pStyle w:val="FirstParagraph"/>
      </w:pPr>
      <w:r>
        <w:t xml:space="preserve">The rotation is applied to consecutive pairs of dimensions: elements at even indices are paired with elements at odd indices, and the pair is rotated by the computed angle. This encoding allows the model to naturally capture relative positional relationships — the dot product between a rotated query at position i and a rotated key at position j depends only on the relative distance (i - j), not the absolute positions. The cosine and sine values are precomputed for all positions and cached for efficiency.</w:t>
      </w:r>
    </w:p>
    <w:bookmarkEnd w:id="15"/>
    <w:bookmarkStart w:id="16" w:name="X7549216b9394f60338cc68b5db5f52fe8698f0f"/>
    <w:p>
      <w:pPr>
        <w:pStyle w:val="Heading4"/>
      </w:pPr>
      <w:r>
        <w:t xml:space="preserve">2e. KV Repetition and Scaled Dot-Product Attention</w:t>
      </w:r>
    </w:p>
    <w:p>
      <w:pPr>
        <w:pStyle w:val="FirstParagraph"/>
      </w:pPr>
      <w:r>
        <w:t xml:space="preserve">The 3 key-value heads are expanded to 12 by repeating each KV head 4 times to match the number of query heads. The attention computation then proceeds as standard scaled dot-product attention:</w:t>
      </w:r>
    </w:p>
    <w:p>
      <w:pPr>
        <w:pStyle w:val="SourceCode"/>
      </w:pPr>
      <w:r>
        <w:rPr>
          <w:rStyle w:val="VerbatimChar"/>
        </w:rPr>
        <w:t xml:space="preserve">Attention(Q, K, V) = softmax(Q · K^T / sqrt(d_k)) · V</w:t>
      </w:r>
    </w:p>
    <w:p>
      <w:pPr>
        <w:pStyle w:val="FirstParagraph"/>
      </w:pPr>
      <w:r>
        <w:t xml:space="preserve">where d_k = 64 is the head dimension. A causal mask is applied to prevent each position from attending to future positions, making this a left-to-right autoregressive model. Attention dropout with probability 0.1 is applied to the attention weights during training.</w:t>
      </w:r>
    </w:p>
    <w:p>
      <w:pPr>
        <w:pStyle w:val="BodyText"/>
      </w:pPr>
      <w:r>
        <w:t xml:space="preserve">The attention output from all heads is concatenated and projected back to 768 dimensions through an output projection (no bias), followed by residual dropout at probability 0.1. The result is added back to the input through a residual connection.</w:t>
      </w:r>
    </w:p>
    <w:bookmarkEnd w:id="16"/>
    <w:bookmarkStart w:id="17" w:name="X062e0d8d7df4f3b82c2b1dac40c6a63eae52848"/>
    <w:p>
      <w:pPr>
        <w:pStyle w:val="Heading4"/>
      </w:pPr>
      <w:r>
        <w:t xml:space="preserve">2f. Pre-FFN RMS Normalization</w:t>
      </w:r>
    </w:p>
    <w:p>
      <w:pPr>
        <w:pStyle w:val="FirstParagraph"/>
      </w:pPr>
      <w:r>
        <w:t xml:space="preserve">Before entering the feed-forward network, the hidden states undergo another RMSNorm normalization, identical in structure to the pre-attention normalization.</w:t>
      </w:r>
    </w:p>
    <w:bookmarkEnd w:id="17"/>
    <w:bookmarkStart w:id="18" w:name="Xf20b7dfd0e1c730d6573e409c37a5cdb3d98244"/>
    <w:p>
      <w:pPr>
        <w:pStyle w:val="Heading4"/>
      </w:pPr>
      <w:r>
        <w:t xml:space="preserve">2g. SwiGLU Feed-Forward Network</w:t>
      </w:r>
    </w:p>
    <w:p>
      <w:pPr>
        <w:pStyle w:val="FirstParagraph"/>
      </w:pPr>
      <w:r>
        <w:t xml:space="preserve">The feed-forward network uses the SwiGLU activation function, which is a gated variant that has been shown to outperform standard ReLU and GELU activations in transformer models. The computation involves three linear projections with no bias:</w:t>
      </w:r>
    </w:p>
    <w:p>
      <w:pPr>
        <w:pStyle w:val="Compact"/>
        <w:numPr>
          <w:ilvl w:val="0"/>
          <w:numId w:val="1003"/>
        </w:numPr>
      </w:pPr>
      <w:r>
        <w:t xml:space="preserve">Gate projection (W_gate): 768 to 3,072</w:t>
      </w:r>
    </w:p>
    <w:p>
      <w:pPr>
        <w:pStyle w:val="Compact"/>
        <w:numPr>
          <w:ilvl w:val="0"/>
          <w:numId w:val="1003"/>
        </w:numPr>
      </w:pPr>
      <w:r>
        <w:t xml:space="preserve">Up projection (W_up): 768 to 3,072</w:t>
      </w:r>
    </w:p>
    <w:p>
      <w:pPr>
        <w:pStyle w:val="Compact"/>
        <w:numPr>
          <w:ilvl w:val="0"/>
          <w:numId w:val="1003"/>
        </w:numPr>
      </w:pPr>
      <w:r>
        <w:t xml:space="preserve">Down projection (W_down): 3,072 to 768</w:t>
      </w:r>
    </w:p>
    <w:p>
      <w:pPr>
        <w:pStyle w:val="FirstParagraph"/>
      </w:pPr>
      <w:r>
        <w:t xml:space="preserve">The forward computation is:</w:t>
      </w:r>
    </w:p>
    <w:p>
      <w:pPr>
        <w:pStyle w:val="SourceCode"/>
      </w:pPr>
      <w:r>
        <w:rPr>
          <w:rStyle w:val="VerbatimChar"/>
        </w:rPr>
        <w:t xml:space="preserve">FFN(x) = W_down( dropout( SiLU(W_gate(x)) * W_up(x) ) )</w:t>
      </w:r>
    </w:p>
    <w:p>
      <w:pPr>
        <w:pStyle w:val="FirstParagraph"/>
      </w:pPr>
      <w:r>
        <w:t xml:space="preserve">The SiLU (Sigmoid Linear Unit) activation, also known as Swish, computes x * sigmoid(x). The gate and up projections are computed in parallel, then the activated gate output is multiplied element-wise with the up projection output. Dropout at probability 0.1 is applied after this multiplication and before the down projection. The result is added back to the input through a residual connection.</w:t>
      </w:r>
    </w:p>
    <w:bookmarkEnd w:id="18"/>
    <w:bookmarkEnd w:id="19"/>
    <w:bookmarkStart w:id="20" w:name="Xc85b0f3a4df16be6e249589a7f4ba7acb5a19e9"/>
    <w:p>
      <w:pPr>
        <w:pStyle w:val="Heading3"/>
      </w:pPr>
      <w:r>
        <w:t xml:space="preserve">3. Final RMS Normalization</w:t>
      </w:r>
    </w:p>
    <w:p>
      <w:pPr>
        <w:pStyle w:val="FirstParagraph"/>
      </w:pPr>
      <w:r>
        <w:t xml:space="preserve">After passing through all 12 transformer blocks, the hidden states undergo one final RMSNorm normalization. This stabilizes the representation before the output projection.</w:t>
      </w:r>
    </w:p>
    <w:bookmarkEnd w:id="20"/>
    <w:bookmarkStart w:id="21" w:name="Xdcfc275bb343670d65d10f1ba860e298dfeaa50"/>
    <w:p>
      <w:pPr>
        <w:pStyle w:val="Heading3"/>
      </w:pPr>
      <w:r>
        <w:t xml:space="preserve">4. Language Modeling Head</w:t>
      </w:r>
    </w:p>
    <w:p>
      <w:pPr>
        <w:pStyle w:val="FirstParagraph"/>
      </w:pPr>
      <w:r>
        <w:t xml:space="preserve">The normalized hidden states are projected to vocabulary logits through a linear layer of size 768 by 50,257 (no bias). This layer's weight matrix is tied with the input embedding matrix — they are the same tensor in memory. The output is a tensor of shape (batch_size, sequence_length, 50,257) representing the unnormalized log-probabilities over the vocabulary for each position.</w:t>
      </w:r>
    </w:p>
    <w:bookmarkEnd w:id="21"/>
    <w:bookmarkEnd w:id="22"/>
    <w:bookmarkStart w:id="23" w:name="weight-initialization"/>
    <w:p>
      <w:pPr>
        <w:pStyle w:val="Heading2"/>
      </w:pPr>
      <w:r>
        <w:t xml:space="preserve">Weight Initialization</w:t>
      </w:r>
    </w:p>
    <w:p>
      <w:pPr>
        <w:pStyle w:val="FirstParagraph"/>
      </w:pPr>
      <w:r>
        <w:t xml:space="preserve">All weights are initialized using a normal distribution with mean 0 and standard deviation 0.02. Output projection weights (the attention out_proj and FFN w_down) receive additional scaling by a factor of 1 / sqrt(2 * num_layers), which is approximately 0.204 for a 12-layer model. This scaling prevents the residual stream magnitude from growing with depth, as each layer's contribution is proportionally reduced. Embedding weights use the same normal initialization. All normalization layer weights are initialized to 1, and all biases (where they exist) are initialized to 0.</w:t>
      </w:r>
    </w:p>
    <w:bookmarkEnd w:id="23"/>
    <w:bookmarkStart w:id="24" w:name="regularization"/>
    <w:p>
      <w:pPr>
        <w:pStyle w:val="Heading2"/>
      </w:pPr>
      <w:r>
        <w:t xml:space="preserve">Regularization</w:t>
      </w:r>
    </w:p>
    <w:p>
      <w:pPr>
        <w:pStyle w:val="FirstParagraph"/>
      </w:pPr>
      <w:r>
        <w:t xml:space="preserve">The model employs three forms of regularization:</w:t>
      </w:r>
    </w:p>
    <w:p>
      <w:pPr>
        <w:numPr>
          <w:ilvl w:val="0"/>
          <w:numId w:val="1004"/>
        </w:numPr>
      </w:pPr>
      <w:r>
        <w:t xml:space="preserve">Dropout (p=0.1) is applied at four points in each block: after the embedding lookup, within the attention weights, after the attention output projection, and within the feed-forward network after the gated activation.</w:t>
      </w:r>
    </w:p>
    <w:p>
      <w:pPr>
        <w:numPr>
          <w:ilvl w:val="0"/>
          <w:numId w:val="1004"/>
        </w:numPr>
      </w:pPr>
      <w:r>
        <w:t xml:space="preserve">Weight decay of 0.1 is applied to all 2D weight matrices (linear projections and embeddings) through the AdamW optimizer. One-dimensional parameters such as normalization scale weights are excluded from weight decay.</w:t>
      </w:r>
    </w:p>
    <w:p>
      <w:pPr>
        <w:numPr>
          <w:ilvl w:val="0"/>
          <w:numId w:val="1004"/>
        </w:numPr>
      </w:pPr>
      <w:r>
        <w:t xml:space="preserve">Gradient clipping with a maximum norm of 1.0 prevents gradient explosion during training.</w:t>
      </w:r>
    </w:p>
    <w:bookmarkEnd w:id="24"/>
    <w:bookmarkStart w:id="25" w:name="training-configuration"/>
    <w:p>
      <w:pPr>
        <w:pStyle w:val="Heading2"/>
      </w:pPr>
      <w:r>
        <w:t xml:space="preserve">Training Configuration</w:t>
      </w:r>
    </w:p>
    <w:p>
      <w:pPr>
        <w:pStyle w:val="Compact"/>
        <w:numPr>
          <w:ilvl w:val="0"/>
          <w:numId w:val="1005"/>
        </w:numPr>
      </w:pPr>
      <w:r>
        <w:t xml:space="preserve">Optimizer: AdamW with betas (0.9, 0.95)</w:t>
      </w:r>
    </w:p>
    <w:p>
      <w:pPr>
        <w:pStyle w:val="Compact"/>
        <w:numPr>
          <w:ilvl w:val="0"/>
          <w:numId w:val="1005"/>
        </w:numPr>
      </w:pPr>
      <w:r>
        <w:t xml:space="preserve">Peak Learning Rate: 2.0e-4</w:t>
      </w:r>
    </w:p>
    <w:p>
      <w:pPr>
        <w:pStyle w:val="Compact"/>
        <w:numPr>
          <w:ilvl w:val="0"/>
          <w:numId w:val="1005"/>
        </w:numPr>
      </w:pPr>
      <w:r>
        <w:t xml:space="preserve">Minimum Learning Rate: 2.0e-5</w:t>
      </w:r>
    </w:p>
    <w:p>
      <w:pPr>
        <w:pStyle w:val="Compact"/>
        <w:numPr>
          <w:ilvl w:val="0"/>
          <w:numId w:val="1005"/>
        </w:numPr>
      </w:pPr>
      <w:r>
        <w:t xml:space="preserve">Learning Rate Schedule: Linear warmup for 500 steps, then cosine decay</w:t>
      </w:r>
    </w:p>
    <w:p>
      <w:pPr>
        <w:pStyle w:val="Compact"/>
        <w:numPr>
          <w:ilvl w:val="0"/>
          <w:numId w:val="1005"/>
        </w:numPr>
      </w:pPr>
      <w:r>
        <w:t xml:space="preserve">Batch Size: 16 sequences per micro-batch</w:t>
      </w:r>
    </w:p>
    <w:p>
      <w:pPr>
        <w:pStyle w:val="Compact"/>
        <w:numPr>
          <w:ilvl w:val="0"/>
          <w:numId w:val="1005"/>
        </w:numPr>
      </w:pPr>
      <w:r>
        <w:t xml:space="preserve">Gradient Accumulation: 4 steps (effective batch size: 64 sequences, 32,768 tokens)</w:t>
      </w:r>
    </w:p>
    <w:p>
      <w:pPr>
        <w:pStyle w:val="Compact"/>
        <w:numPr>
          <w:ilvl w:val="0"/>
          <w:numId w:val="1005"/>
        </w:numPr>
      </w:pPr>
      <w:r>
        <w:t xml:space="preserve">Training Epochs: 3</w:t>
      </w:r>
    </w:p>
    <w:p>
      <w:pPr>
        <w:pStyle w:val="Compact"/>
        <w:numPr>
          <w:ilvl w:val="0"/>
          <w:numId w:val="1005"/>
        </w:numPr>
      </w:pPr>
      <w:r>
        <w:t xml:space="preserve">Mixed Precision: BFloat16 autocast</w:t>
      </w:r>
    </w:p>
    <w:p>
      <w:pPr>
        <w:pStyle w:val="Compact"/>
        <w:numPr>
          <w:ilvl w:val="0"/>
          <w:numId w:val="1005"/>
        </w:numPr>
      </w:pPr>
      <w:r>
        <w:t xml:space="preserve">Multi-GPU: nn.DataParallel across available GPUs</w:t>
      </w:r>
    </w:p>
    <w:bookmarkEnd w:id="25"/>
    <w:bookmarkStart w:id="26" w:name="parameter-distribution"/>
    <w:p>
      <w:pPr>
        <w:pStyle w:val="Heading2"/>
      </w:pPr>
      <w:r>
        <w:t xml:space="preserve">Parameter Distribution</w:t>
      </w:r>
    </w:p>
    <w:p>
      <w:pPr>
        <w:pStyle w:val="FirstParagraph"/>
      </w:pPr>
      <w:r>
        <w:t xml:space="preserve">The 141M parameters are distributed as follows:</w:t>
      </w:r>
    </w:p>
    <w:p>
      <w:pPr>
        <w:pStyle w:val="Compact"/>
        <w:numPr>
          <w:ilvl w:val="0"/>
          <w:numId w:val="1006"/>
        </w:numPr>
      </w:pPr>
      <w:r>
        <w:t xml:space="preserve">Token Embedding: 38,597,376 parameters (27.3%)</w:t>
      </w:r>
    </w:p>
    <w:p>
      <w:pPr>
        <w:pStyle w:val="Compact"/>
        <w:numPr>
          <w:ilvl w:val="0"/>
          <w:numId w:val="1006"/>
        </w:numPr>
      </w:pPr>
      <w:r>
        <w:t xml:space="preserve">12 Transformer Blocks: 102,649,344 parameters (72.7%), consisting of:</w:t>
      </w:r>
    </w:p>
    <w:p>
      <w:pPr>
        <w:pStyle w:val="Compact"/>
        <w:numPr>
          <w:ilvl w:val="1"/>
          <w:numId w:val="1007"/>
        </w:numPr>
      </w:pPr>
      <w:r>
        <w:t xml:space="preserve">Attention (Q, K, V, Out projections + QK norms): 1,474,688 per block</w:t>
      </w:r>
    </w:p>
    <w:p>
      <w:pPr>
        <w:pStyle w:val="Compact"/>
        <w:numPr>
          <w:ilvl w:val="1"/>
          <w:numId w:val="1007"/>
        </w:numPr>
      </w:pPr>
      <w:r>
        <w:t xml:space="preserve">Feed-Forward (Gate, Up, Down projections): 7,077,888 per block</w:t>
      </w:r>
    </w:p>
    <w:p>
      <w:pPr>
        <w:pStyle w:val="Compact"/>
        <w:numPr>
          <w:ilvl w:val="1"/>
          <w:numId w:val="1007"/>
        </w:numPr>
      </w:pPr>
      <w:r>
        <w:t xml:space="preserve">Layer Norms: 1,536 per block</w:t>
      </w:r>
    </w:p>
    <w:p>
      <w:pPr>
        <w:pStyle w:val="Compact"/>
        <w:numPr>
          <w:ilvl w:val="0"/>
          <w:numId w:val="1006"/>
        </w:numPr>
      </w:pPr>
      <w:r>
        <w:t xml:space="preserve">Final RMSNorm: 768 parameters (less than 0.01%)</w:t>
      </w:r>
    </w:p>
    <w:p>
      <w:pPr>
        <w:pStyle w:val="Compact"/>
        <w:numPr>
          <w:ilvl w:val="0"/>
          <w:numId w:val="1006"/>
        </w:numPr>
      </w:pPr>
      <w:r>
        <w:t xml:space="preserve">Language Modeling Head: Tied with embedding (0 additional parameters)</w:t>
      </w:r>
    </w:p>
    <w:p>
      <w:pPr>
        <w:pStyle w:val="FirstParagraph"/>
      </w:pPr>
      <w:r>
        <w:t xml:space="preserve">The feed-forward network dominates each block at 82.7% of block parameters, with attention comprising 17.2% and normalization comprising 0.02%.</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2026-07-20T11:27:27Z</dcterms:created>
  <dcterms:modified xsi:type="dcterms:W3CDTF">2026-07-20T11:27:27Z</dcterms:modified>
</cp:coreProperties>
</file>

<file path=docProps/custom.xml><?xml version="1.0" encoding="utf-8"?>
<Properties xmlns="http://schemas.openxmlformats.org/officeDocument/2006/custom-properties" xmlns:vt="http://schemas.openxmlformats.org/officeDocument/2006/docPropsVTypes"/>
</file>