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Loss Prevention business requirements and functionality</w:t>
      </w:r>
    </w:p>
    <w:p>
      <w:pPr>
        <w:pStyle w:val="Subtitle"/>
      </w:pPr>
      <w:r>
        <w:t>MVP delivery and product roadmap</w:t>
      </w:r>
    </w:p>
    <w:p>
      <w:r>
        <w:t>Product overview  |  Status at 13 October 2026</w:t>
      </w:r>
    </w:p>
    <w:p>
      <w:r>
        <w:t>The software helps loss prevention teams turn transaction data into information they can act on. It brings data into one place, makes it searchable through reports and dashboards, highlights activity worth reviewing, and gives users the tools to share findings. The MVP establishes this core analytical workflow; the roadmap extends it into easier customer setup, broader collaboration and connected investigations.</w:t>
      </w:r>
    </w:p>
    <w:p>
      <w:pPr>
        <w:pStyle w:val="Heading2"/>
      </w:pPr>
      <w:r>
        <w:t>What the MVP is intended to deliver</w:t>
      </w:r>
    </w:p>
    <w:p>
      <w:pPr>
        <w:ind w:left="173" w:hanging="173"/>
      </w:pPr>
      <w:r>
        <w:t>•  Bring supported transaction exports into the system, organise their fields and trace records back to the source file.</w:t>
      </w:r>
    </w:p>
    <w:p>
      <w:pPr>
        <w:ind w:left="173" w:hanging="173"/>
      </w:pPr>
      <w:r>
        <w:t>•  Let analysts create reusable reports, explore patterns and build dashboards without requesting a bespoke report for every question.</w:t>
      </w:r>
    </w:p>
    <w:p>
      <w:pPr>
        <w:ind w:left="173" w:hanging="173"/>
      </w:pPr>
      <w:r>
        <w:t>•  Help teams prioritise exceptions through configurable rules, data-distance analysis and assisted report creation.</w:t>
      </w:r>
    </w:p>
    <w:p>
      <w:pPr>
        <w:ind w:left="173" w:hanging="173"/>
      </w:pPr>
      <w:r>
        <w:t>•  Provide user administration, appropriate access, basic notifications, retention controls and the guidance needed to use the software.</w:t>
      </w:r>
    </w:p>
    <w:p>
      <w:pPr>
        <w:pStyle w:val="Heading2"/>
      </w:pPr>
      <w:r>
        <w:t>Delivery horizons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600"/>
        <w:gridCol w:w="4435"/>
      </w:tblGrid>
      <w:tr>
        <w:trPr>
          <w:cantSplit/>
          <w:tblHeader/>
        </w:trPr>
        <w:tc>
          <w:tcPr>
            <w:tcW w:type="dxa" w:w="1800"/>
            <w:vAlign w:val="center"/>
            <w:tcMar>
              <w:top w:w="80" w:type="dxa"/>
              <w:bottom w:w="80" w:type="dxa"/>
              <w:left w:w="100" w:type="dxa"/>
              <w:right w:w="100" w:type="dxa"/>
            </w:tcMar>
            <w:shd w:fill="DCE6F1"/>
          </w:tcPr>
          <w:p>
            <w:pPr>
              <w:keepNext w:val="0"/>
              <w:spacing w:after="40" w:before="40" w:line="247" w:lineRule="auto"/>
            </w:pPr>
            <w:r>
              <w:rPr>
                <w:rFonts w:ascii="Arial" w:hAnsi="Arial" w:eastAsia="Arial" w:cs="Arial"/>
                <w:b/>
                <w:color w:val="000000"/>
                <w:sz w:val="18"/>
              </w:rPr>
              <w:t>Stage</w:t>
            </w:r>
          </w:p>
        </w:tc>
        <w:tc>
          <w:tcPr>
            <w:tcW w:type="dxa" w:w="3600"/>
            <w:vAlign w:val="center"/>
            <w:tcMar>
              <w:top w:w="80" w:type="dxa"/>
              <w:bottom w:w="80" w:type="dxa"/>
              <w:left w:w="100" w:type="dxa"/>
              <w:right w:w="100" w:type="dxa"/>
            </w:tcMar>
            <w:shd w:fill="DCE6F1"/>
          </w:tcPr>
          <w:p>
            <w:pPr>
              <w:keepNext w:val="0"/>
              <w:spacing w:after="40" w:before="40" w:line="247" w:lineRule="auto"/>
            </w:pPr>
            <w:r>
              <w:rPr>
                <w:rFonts w:ascii="Arial" w:hAnsi="Arial" w:eastAsia="Arial" w:cs="Arial"/>
                <w:b/>
                <w:color w:val="000000"/>
                <w:sz w:val="18"/>
              </w:rPr>
              <w:t>Indicative timing</w:t>
            </w:r>
          </w:p>
        </w:tc>
        <w:tc>
          <w:tcPr>
            <w:tcW w:type="dxa" w:w="4435"/>
            <w:vAlign w:val="center"/>
            <w:tcMar>
              <w:top w:w="80" w:type="dxa"/>
              <w:bottom w:w="80" w:type="dxa"/>
              <w:left w:w="100" w:type="dxa"/>
              <w:right w:w="100" w:type="dxa"/>
            </w:tcMar>
            <w:shd w:fill="DCE6F1"/>
          </w:tcPr>
          <w:p>
            <w:pPr>
              <w:keepNext w:val="0"/>
              <w:spacing w:after="40" w:before="40" w:line="247" w:lineRule="auto"/>
            </w:pPr>
            <w:r>
              <w:rPr>
                <w:rFonts w:ascii="Arial" w:hAnsi="Arial" w:eastAsia="Arial" w:cs="Arial"/>
                <w:b/>
                <w:color w:val="000000"/>
                <w:sz w:val="18"/>
              </w:rPr>
              <w:t>Business outcome</w:t>
            </w:r>
          </w:p>
        </w:tc>
      </w:tr>
      <w:tr>
        <w:trPr>
          <w:cantSplit/>
        </w:trPr>
        <w:tc>
          <w:tcPr>
            <w:tcW w:type="dxa" w:w="1800"/>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MVP</w:t>
            </w:r>
          </w:p>
        </w:tc>
        <w:tc>
          <w:tcPr>
            <w:tcW w:type="dxa" w:w="3600"/>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45-day delivery period from 1 October 2026; target mid-November 2026.</w:t>
            </w:r>
          </w:p>
        </w:tc>
        <w:tc>
          <w:tcPr>
            <w:tcW w:type="dxa" w:w="4435"/>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A usable core workflow covering data, analysis, reporting and administration, with outstanding MVP items completed and validated.</w:t>
            </w:r>
          </w:p>
        </w:tc>
      </w:tr>
      <w:tr>
        <w:trPr>
          <w:cantSplit/>
        </w:trPr>
        <w:tc>
          <w:tcPr>
            <w:tcW w:type="dxa" w:w="1800"/>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Initial product roadmap</w:t>
            </w:r>
          </w:p>
        </w:tc>
        <w:tc>
          <w:tcPr>
            <w:tcW w:type="dxa" w:w="3600"/>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Months 3 to 6 from kickoff, approximately January to March 2027.</w:t>
            </w:r>
          </w:p>
        </w:tc>
        <w:tc>
          <w:tcPr>
            <w:tcW w:type="dxa" w:w="4435"/>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Easier onboarding and release management, customer-specific configuration, stronger reporting connections and broader access options.</w:t>
            </w:r>
          </w:p>
        </w:tc>
      </w:tr>
      <w:tr>
        <w:trPr>
          <w:cantSplit/>
        </w:trPr>
        <w:tc>
          <w:tcPr>
            <w:tcW w:type="dxa" w:w="1800"/>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Further development</w:t>
            </w:r>
          </w:p>
        </w:tc>
        <w:tc>
          <w:tcPr>
            <w:tcW w:type="dxa" w:w="3600"/>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Sequenced after the initial roadmap; dates to be agreed.</w:t>
            </w:r>
          </w:p>
        </w:tc>
        <w:tc>
          <w:tcPr>
            <w:tcW w:type="dxa" w:w="4435"/>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Case handling, receipts, connected investigation journeys and richer behavioural and AI-assisted insight.</w:t>
            </w:r>
          </w:p>
        </w:tc>
      </w:tr>
    </w:tbl>
    <w:p>
      <w:pPr>
        <w:spacing w:after="0"/>
      </w:pPr>
      <w:r/>
    </w:p>
    <w:p>
      <w:r>
        <w:t>The first delivery backlog is targeted at the 45-day MVP. Later priorities and timing will be refined through customer feedback, representative data and agreed implementation scope.</w:t>
      </w:r>
    </w:p>
    <w:p>
      <w:pPr>
        <w:pStyle w:val="Heading2"/>
      </w:pPr>
      <w:r>
        <w:t>How to read completeness</w:t>
      </w:r>
    </w:p>
    <w:p>
      <w:r>
        <w:t>Implemented means the feature is present and needs release validation. Partially implemented means a material part of the intended workflow still needs work. Validation pending means existing behavior must be demonstrated with representative data or the target environment. Planned means future development. These descriptions do not imply a percentage complete or a measured production-readiness score.</w:t>
      </w:r>
    </w:p>
    <w:p>
      <w:r>
        <w:t>Sections 2 to 7 describe the MVP and its remaining work. Sections 8 to 10 describe the 3–6 month roadmap. Sections 11 and 12 describe further product development.</w:t>
      </w:r>
    </w:p>
    <w:p>
      <w:r>
        <w:br w:type="page"/>
      </w:r>
    </w:p>
    <w:p>
      <w:pPr>
        <w:pStyle w:val="Heading1"/>
      </w:pPr>
      <w:r>
        <w:t>2  MVP delivery scope and completeness</w:t>
      </w:r>
    </w:p>
    <w:p>
      <w:r>
        <w:t>The MVP combines existing functionality with a defined completion backlog. Each item below links to a fuller business description in the following sections. A feature marked partially implemented remains in the MVP target; its missing work has not been silently moved into the future roadmap.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59"/>
        <w:gridCol w:w="2131"/>
        <w:gridCol w:w="2477"/>
        <w:gridCol w:w="3168"/>
      </w:tblGrid>
      <w:tr>
        <w:trPr>
          <w:cantSplit/>
          <w:tblHeader/>
        </w:trPr>
        <w:tc>
          <w:tcPr>
            <w:tcW w:type="dxa" w:w="2059"/>
            <w:vAlign w:val="center"/>
            <w:tcMar>
              <w:top w:w="80" w:type="dxa"/>
              <w:bottom w:w="80" w:type="dxa"/>
              <w:left w:w="100" w:type="dxa"/>
              <w:right w:w="100" w:type="dxa"/>
            </w:tcMar>
            <w:shd w:fill="DCE6F1"/>
          </w:tcPr>
          <w:p>
            <w:pPr>
              <w:keepNext w:val="0"/>
              <w:spacing w:after="40" w:before="40" w:line="247" w:lineRule="auto"/>
            </w:pPr>
            <w:r>
              <w:rPr>
                <w:rFonts w:ascii="Arial" w:hAnsi="Arial" w:eastAsia="Arial" w:cs="Arial"/>
                <w:b/>
                <w:color w:val="000000"/>
                <w:sz w:val="18"/>
              </w:rPr>
              <w:t>ID and capability</w:t>
            </w:r>
          </w:p>
        </w:tc>
        <w:tc>
          <w:tcPr>
            <w:tcW w:type="dxa" w:w="2131"/>
            <w:vAlign w:val="center"/>
            <w:tcMar>
              <w:top w:w="80" w:type="dxa"/>
              <w:bottom w:w="80" w:type="dxa"/>
              <w:left w:w="100" w:type="dxa"/>
              <w:right w:w="100" w:type="dxa"/>
            </w:tcMar>
            <w:shd w:fill="DCE6F1"/>
          </w:tcPr>
          <w:p>
            <w:pPr>
              <w:keepNext w:val="0"/>
              <w:spacing w:after="40" w:before="40" w:line="247" w:lineRule="auto"/>
            </w:pPr>
            <w:r>
              <w:rPr>
                <w:rFonts w:ascii="Arial" w:hAnsi="Arial" w:eastAsia="Arial" w:cs="Arial"/>
                <w:b/>
                <w:color w:val="000000"/>
                <w:sz w:val="18"/>
              </w:rPr>
              <w:t>Product areas affected</w:t>
            </w:r>
          </w:p>
        </w:tc>
        <w:tc>
          <w:tcPr>
            <w:tcW w:type="dxa" w:w="2477"/>
            <w:vAlign w:val="center"/>
            <w:tcMar>
              <w:top w:w="80" w:type="dxa"/>
              <w:bottom w:w="80" w:type="dxa"/>
              <w:left w:w="100" w:type="dxa"/>
              <w:right w:w="100" w:type="dxa"/>
            </w:tcMar>
            <w:shd w:fill="DCE6F1"/>
          </w:tcPr>
          <w:p>
            <w:pPr>
              <w:keepNext w:val="0"/>
              <w:spacing w:after="40" w:before="40" w:line="247" w:lineRule="auto"/>
            </w:pPr>
            <w:r>
              <w:rPr>
                <w:rFonts w:ascii="Arial" w:hAnsi="Arial" w:eastAsia="Arial" w:cs="Arial"/>
                <w:b/>
                <w:color w:val="000000"/>
                <w:sz w:val="18"/>
              </w:rPr>
              <w:t>Current completeness</w:t>
            </w:r>
          </w:p>
        </w:tc>
        <w:tc>
          <w:tcPr>
            <w:tcW w:type="dxa" w:w="3168"/>
            <w:vAlign w:val="center"/>
            <w:tcMar>
              <w:top w:w="80" w:type="dxa"/>
              <w:bottom w:w="80" w:type="dxa"/>
              <w:left w:w="100" w:type="dxa"/>
              <w:right w:w="100" w:type="dxa"/>
            </w:tcMar>
            <w:shd w:fill="DCE6F1"/>
          </w:tcPr>
          <w:p>
            <w:pPr>
              <w:keepNext w:val="0"/>
              <w:spacing w:after="40" w:before="40" w:line="247" w:lineRule="auto"/>
            </w:pPr>
            <w:r>
              <w:rPr>
                <w:rFonts w:ascii="Arial" w:hAnsi="Arial" w:eastAsia="Arial" w:cs="Arial"/>
                <w:b/>
                <w:color w:val="000000"/>
                <w:sz w:val="18"/>
              </w:rPr>
              <w:t>MVP completion focus</w:t>
            </w:r>
          </w:p>
        </w:tc>
      </w:tr>
      <w:tr>
        <w:trPr>
          <w:cantSplit/>
        </w:trPr>
        <w:tc>
          <w:tcPr>
            <w:tcW w:type="dxa" w:w="2059"/>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M01 Data intake and traceability</w:t>
            </w:r>
          </w:p>
        </w:tc>
        <w:tc>
          <w:tcPr>
            <w:tcW w:type="dxa" w:w="2131"/>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Data ingestion, transaction data, load monitoring</w:t>
            </w:r>
          </w:p>
        </w:tc>
        <w:tc>
          <w:tcPr>
            <w:tcW w:type="dxa" w:w="2477"/>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Partially implemented</w:t>
            </w:r>
          </w:p>
        </w:tc>
        <w:tc>
          <w:tcPr>
            <w:tcW w:type="dxa" w:w="3168"/>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Validate formats, source tracking and replay; complete streaming and reliable file handling.</w:t>
            </w:r>
          </w:p>
        </w:tc>
      </w:tr>
      <w:tr>
        <w:trPr>
          <w:cantSplit/>
        </w:trPr>
        <w:tc>
          <w:tcPr>
            <w:tcW w:type="dxa" w:w="2059"/>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M02 Mappings and lookups</w:t>
            </w:r>
          </w:p>
        </w:tc>
        <w:tc>
          <w:tcPr>
            <w:tcW w:type="dxa" w:w="2131"/>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Settings, mappings, data preparation</w:t>
            </w:r>
          </w:p>
        </w:tc>
        <w:tc>
          <w:tcPr>
            <w:tcW w:type="dxa" w:w="2477"/>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Mappings implemented; lookups partial</w:t>
            </w:r>
          </w:p>
        </w:tc>
        <w:tc>
          <w:tcPr>
            <w:tcW w:type="dxa" w:w="3168"/>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Complete initial lookup-table behavior and validate consistent source-to-business field definitions.</w:t>
            </w:r>
          </w:p>
        </w:tc>
      </w:tr>
      <w:tr>
        <w:trPr>
          <w:cantSplit/>
        </w:trPr>
        <w:tc>
          <w:tcPr>
            <w:tcW w:type="dxa" w:w="2059"/>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M03 Report design and workspaces</w:t>
            </w:r>
          </w:p>
        </w:tc>
        <w:tc>
          <w:tcPr>
            <w:tcW w:type="dxa" w:w="2131"/>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Workspaces, Report Designer, results, heatmaps</w:t>
            </w:r>
          </w:p>
        </w:tc>
        <w:tc>
          <w:tcPr>
            <w:tcW w:type="dxa" w:w="2477"/>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Implemented; validation pending</w:t>
            </w:r>
          </w:p>
        </w:tc>
        <w:tc>
          <w:tcPr>
            <w:tcW w:type="dxa" w:w="3168"/>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Prove calculations, tab management, formatting and drilldown on representative data.</w:t>
            </w:r>
          </w:p>
        </w:tc>
      </w:tr>
      <w:tr>
        <w:trPr>
          <w:cantSplit/>
        </w:trPr>
        <w:tc>
          <w:tcPr>
            <w:tcW w:type="dxa" w:w="2059"/>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M04 Dashboards</w:t>
            </w:r>
          </w:p>
        </w:tc>
        <w:tc>
          <w:tcPr>
            <w:tcW w:type="dxa" w:w="2131"/>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Dashboard editor, charts, tables, text blocks</w:t>
            </w:r>
          </w:p>
        </w:tc>
        <w:tc>
          <w:tcPr>
            <w:tcW w:type="dxa" w:w="2477"/>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Implemented; validation pending</w:t>
            </w:r>
          </w:p>
        </w:tc>
        <w:tc>
          <w:tcPr>
            <w:tcW w:type="dxa" w:w="3168"/>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Validate component maintenance, filters and consistency with source reports.</w:t>
            </w:r>
          </w:p>
        </w:tc>
      </w:tr>
      <w:tr>
        <w:trPr>
          <w:cantSplit/>
        </w:trPr>
        <w:tc>
          <w:tcPr>
            <w:tcW w:type="dxa" w:w="2059"/>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M05 Rules and data-distance analysis</w:t>
            </w:r>
          </w:p>
        </w:tc>
        <w:tc>
          <w:tcPr>
            <w:tcW w:type="dxa" w:w="2131"/>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Settings, rule engine, ingestion, data-distance views</w:t>
            </w:r>
          </w:p>
        </w:tc>
        <w:tc>
          <w:tcPr>
            <w:tcW w:type="dxa" w:w="2477"/>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Core analysis implemented; automatic rule execution incomplete</w:t>
            </w:r>
          </w:p>
        </w:tc>
        <w:tc>
          <w:tcPr>
            <w:tcW w:type="dxa" w:w="3168"/>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Complete the ingestion switch and execution path; validate outcomes and analysis usability.</w:t>
            </w:r>
          </w:p>
        </w:tc>
      </w:tr>
      <w:tr>
        <w:trPr>
          <w:cantSplit/>
        </w:trPr>
        <w:tc>
          <w:tcPr>
            <w:tcW w:type="dxa" w:w="2059"/>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M06 Assisted reports and natural-language queries</w:t>
            </w:r>
          </w:p>
        </w:tc>
        <w:tc>
          <w:tcPr>
            <w:tcW w:type="dxa" w:w="2131"/>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AI analysis, report creation, query results</w:t>
            </w:r>
          </w:p>
        </w:tc>
        <w:tc>
          <w:tcPr>
            <w:tcW w:type="dxa" w:w="2477"/>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Partially implemented</w:t>
            </w:r>
          </w:p>
        </w:tc>
        <w:tc>
          <w:tcPr>
            <w:tcW w:type="dxa" w:w="3168"/>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Validate the complete question-to-result journey, processing feedback and output accuracy.</w:t>
            </w:r>
          </w:p>
        </w:tc>
      </w:tr>
      <w:tr>
        <w:trPr>
          <w:cantSplit/>
        </w:trPr>
        <w:tc>
          <w:tcPr>
            <w:tcW w:type="dxa" w:w="2059"/>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M07 Users and access</w:t>
            </w:r>
          </w:p>
        </w:tc>
        <w:tc>
          <w:tcPr>
            <w:tcW w:type="dxa" w:w="2131"/>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Login, user settings, roles, groups, reports and dashboards</w:t>
            </w:r>
          </w:p>
        </w:tc>
        <w:tc>
          <w:tcPr>
            <w:tcW w:type="dxa" w:w="2477"/>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Identity implemented; data restrictions partial</w:t>
            </w:r>
          </w:p>
        </w:tc>
        <w:tc>
          <w:tcPr>
            <w:tcW w:type="dxa" w:w="3168"/>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Complete server-enforced restrictions; validate permissions, session expiry and password recovery.</w:t>
            </w:r>
          </w:p>
        </w:tc>
      </w:tr>
      <w:tr>
        <w:trPr>
          <w:cantSplit/>
        </w:trPr>
        <w:tc>
          <w:tcPr>
            <w:tcW w:type="dxa" w:w="2059"/>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M08 Basic notifications</w:t>
            </w:r>
          </w:p>
        </w:tc>
        <w:tc>
          <w:tcPr>
            <w:tcW w:type="dxa" w:w="2131"/>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Notifications, users and groups</w:t>
            </w:r>
          </w:p>
        </w:tc>
        <w:tc>
          <w:tcPr>
            <w:tcW w:type="dxa" w:w="2477"/>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Implemented; validation pending</w:t>
            </w:r>
          </w:p>
        </w:tc>
        <w:tc>
          <w:tcPr>
            <w:tcW w:type="dxa" w:w="3168"/>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Validate intended recipients, message visibility, read state and replies.</w:t>
            </w:r>
          </w:p>
        </w:tc>
      </w:tr>
      <w:tr>
        <w:trPr>
          <w:cantSplit/>
        </w:trPr>
        <w:tc>
          <w:tcPr>
            <w:tcW w:type="dxa" w:w="2059"/>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M09 Retention</w:t>
            </w:r>
          </w:p>
        </w:tc>
        <w:tc>
          <w:tcPr>
            <w:tcW w:type="dxa" w:w="2131"/>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Data settings, transaction storage, reporting</w:t>
            </w:r>
          </w:p>
        </w:tc>
        <w:tc>
          <w:tcPr>
            <w:tcW w:type="dxa" w:w="2477"/>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Implemented in part; validation pending</w:t>
            </w:r>
          </w:p>
        </w:tc>
        <w:tc>
          <w:tcPr>
            <w:tcW w:type="dxa" w:w="3168"/>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Agree retention period and prove expiry behavior, including changes to the policy.</w:t>
            </w:r>
          </w:p>
        </w:tc>
      </w:tr>
      <w:tr>
        <w:trPr>
          <w:cantSplit/>
        </w:trPr>
        <w:tc>
          <w:tcPr>
            <w:tcW w:type="dxa" w:w="2059"/>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M10 Release readiness</w:t>
            </w:r>
          </w:p>
        </w:tc>
        <w:tc>
          <w:tcPr>
            <w:tcW w:type="dxa" w:w="2131"/>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All user areas, deployment, support and documentation</w:t>
            </w:r>
          </w:p>
        </w:tc>
        <w:tc>
          <w:tcPr>
            <w:tcW w:type="dxa" w:w="2477"/>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In progress; evidence required</w:t>
            </w:r>
          </w:p>
        </w:tc>
        <w:tc>
          <w:tcPr>
            <w:tcW w:type="dxa" w:w="3168"/>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Complete data testing, user feedback, logging/audit, security review, deployment and guidance.</w:t>
            </w:r>
          </w:p>
        </w:tc>
      </w:tr>
    </w:tbl>
    <w:p>
      <w:pPr>
        <w:spacing w:after="0"/>
      </w:pPr>
      <w:r/>
    </w:p>
    <w:p>
      <w:r>
        <w:t>The main remaining implementation work is in lookup tables, automatic ingestion-time rules, streaming/file recovery, data restrictions and the end-to-end AI journey. Existing reports, dashboards, identity and notifications still need integrated validation; presence in the software does not by itself establish completion of the business workflow.</w:t>
      </w:r>
    </w:p>
    <w:p>
      <w:r>
        <w:br w:type="page"/>
      </w:r>
    </w:p>
    <w:p>
      <w:pPr>
        <w:pStyle w:val="Heading1"/>
      </w:pPr>
      <w:r>
        <w:t>3  MVP data integration and business definitions</w:t>
      </w:r>
    </w:p>
    <w:p>
      <w:pPr>
        <w:pStyle w:val="Heading2"/>
      </w:pPr>
      <w:r>
        <w:t>M01  Receive transaction data and retain its origin</w:t>
      </w:r>
    </w:p>
    <w:p>
      <w:r>
        <w:rPr>
          <w:b/>
        </w:rPr>
        <w:t xml:space="preserve">Product areas  </w:t>
      </w:r>
      <w:r>
        <w:t>Data ingestion settings, scheduled loads, transaction data and load monitoring.</w:t>
      </w:r>
    </w:p>
    <w:p>
      <w:r>
        <w:rPr>
          <w:b/>
        </w:rPr>
        <w:t xml:space="preserve">Completeness  </w:t>
      </w:r>
      <w:r>
        <w:t>Core imports, scheduling, source tracking and processed-file records are present. Streaming and robust recovery are incomplete or require validation.</w:t>
      </w:r>
    </w:p>
    <w:p>
      <w:r>
        <w:rPr>
          <w:b/>
        </w:rPr>
        <w:t xml:space="preserve">Business requirement  </w:t>
      </w:r>
      <w:r>
        <w:t>Bring transaction exports into one analytical store, reduce manual re-entry and let users understand where their data came from.</w:t>
      </w:r>
    </w:p>
    <w:p>
      <w:r>
        <w:rPr>
          <w:b/>
        </w:rPr>
        <w:t xml:space="preserve">Functionality and how it works  </w:t>
      </w:r>
      <w:r>
        <w:t>An administrator configures an SFTP or filesystem source and selects CSV, XML or JSON. The service processes the files, stores transaction records and adds source-file information. Processed-file records support load checking. The target workflow moves successfully handled SFTP files to a processed location and supports controlled reprocessing.</w:t>
      </w:r>
    </w:p>
    <w:p>
      <w:r>
        <w:rPr>
          <w:b/>
        </w:rPr>
        <w:t xml:space="preserve">Business value  </w:t>
      </w:r>
      <w:r>
        <w:t>A team can analyse new transactions without assembling separate spreadsheets. When a result looks wrong, the analyst can trace it to the originating file and investigate missing or duplicate data.</w:t>
      </w:r>
    </w:p>
    <w:p>
      <w:r>
        <w:rPr>
          <w:b/>
        </w:rPr>
        <w:t xml:space="preserve">To complete for MVP  </w:t>
      </w:r>
      <w:r>
        <w:t>Demonstrate all required file types and schedules with representative samples; reconcile counts and totals; finish or validate streaming, safe processed-file movement, partial-failure recovery and replay. Current duplicate checks depend on filenames, so duplicate and renamed-file scenarios need explicit handling.</w:t>
      </w:r>
    </w:p>
    <w:p>
      <w:pPr>
        <w:pStyle w:val="Heading2"/>
      </w:pPr>
      <w:r>
        <w:t>M02  Make source fields meaningful to the business</w:t>
      </w:r>
    </w:p>
    <w:p>
      <w:r>
        <w:rPr>
          <w:b/>
        </w:rPr>
        <w:t xml:space="preserve">Product areas  </w:t>
      </w:r>
      <w:r>
        <w:t>Settings, mappings, lookup tables, ingestion and report field selection.</w:t>
      </w:r>
    </w:p>
    <w:p>
      <w:r>
        <w:rPr>
          <w:b/>
        </w:rPr>
        <w:t xml:space="preserve">Completeness  </w:t>
      </w:r>
      <w:r>
        <w:t>Mapping maintenance is implemented. Lookup-related metadata exists, but a complete lookup-table workflow remains outstanding.</w:t>
      </w:r>
    </w:p>
    <w:p>
      <w:r>
        <w:rPr>
          <w:b/>
        </w:rPr>
        <w:t xml:space="preserve">Business requirement  </w:t>
      </w:r>
      <w:r>
        <w:t>Give users consistent field names, types and business labels even when input files use different terminology or codes.</w:t>
      </w:r>
    </w:p>
    <w:p>
      <w:r>
        <w:rPr>
          <w:b/>
        </w:rPr>
        <w:t xml:space="preserve">Functionality and how it works  </w:t>
      </w:r>
      <w:r>
        <w:t>Administrators add, rename or remove field mappings and define the fields presented for reporting. Initial lookup tables will associate source values with meaningful reference values, such as translating a store code into a store name. The mapping and lookup rules then make those values usable consistently in reports.</w:t>
      </w:r>
    </w:p>
    <w:p>
      <w:r>
        <w:rPr>
          <w:b/>
        </w:rPr>
        <w:t xml:space="preserve">Business value  </w:t>
      </w:r>
      <w:r>
        <w:t>Analysts spend less time interpreting technical field names. Reports can compare like-for-like information across feeds, reducing ambiguity and avoidable reporting errors.</w:t>
      </w:r>
    </w:p>
    <w:p>
      <w:r>
        <w:rPr>
          <w:b/>
        </w:rPr>
        <w:t xml:space="preserve">To complete for MVP  </w:t>
      </w:r>
      <w:r>
        <w:t>Complete the first usable lookup capability, including how entries are maintained and applied. Agree behavior for missing values and duplicate keys, and validate mapping changes against existing reports. Broader lookup administration remains a later extension rather than a reason to omit the initial MVP capability.</w:t>
      </w:r>
    </w:p>
    <w:p>
      <w:pPr>
        <w:pStyle w:val="Heading2"/>
      </w:pPr>
      <w:r>
        <w:t>Illustrative business flow</w:t>
      </w:r>
    </w:p>
    <w:p>
      <w:r>
        <w:t>A daily export contains store code 104 and a refund amount. Ingestion records the source file; mapping exposes understandable report fields; an agreed lookup supplies the store label. The analyst can then report on refunds using business terms while retaining the route back to the original record.</w:t>
      </w:r>
    </w:p>
    <w:p>
      <w:r>
        <w:br w:type="page"/>
      </w:r>
    </w:p>
    <w:p>
      <w:pPr>
        <w:pStyle w:val="Heading1"/>
      </w:pPr>
      <w:r>
        <w:t>4  MVP reporting and management dashboards</w:t>
      </w:r>
    </w:p>
    <w:p>
      <w:pPr>
        <w:pStyle w:val="Heading2"/>
      </w:pPr>
      <w:r>
        <w:t>M03  Explore and explain transactional patterns</w:t>
      </w:r>
    </w:p>
    <w:p>
      <w:r>
        <w:rPr>
          <w:b/>
        </w:rPr>
        <w:t xml:space="preserve">Product areas  </w:t>
      </w:r>
      <w:r>
        <w:t>Workspaces, Report Designer, report results, conditional formatting, heatmaps and drilldown.</w:t>
      </w:r>
    </w:p>
    <w:p>
      <w:r>
        <w:rPr>
          <w:b/>
        </w:rPr>
        <w:t xml:space="preserve">Completeness  </w:t>
      </w:r>
      <w:r>
        <w:t>The core reporting and workspace features are implemented. Calculation accuracy, usability and restricted-user behavior require integrated validation.</w:t>
      </w:r>
    </w:p>
    <w:p>
      <w:r>
        <w:rPr>
          <w:b/>
        </w:rPr>
        <w:t xml:space="preserve">Business requirement  </w:t>
      </w:r>
      <w:r>
        <w:t>Let analysts ask their own data questions, reuse useful reports and investigate unusual values without repeated development requests.</w:t>
      </w:r>
    </w:p>
    <w:p>
      <w:r>
        <w:rPr>
          <w:b/>
        </w:rPr>
        <w:t xml:space="preserve">Functionality and how it works  </w:t>
      </w:r>
      <w:r>
        <w:t>Users create, rename, delete and search workspaces. Within reports they add, rename, delete or duplicate tabs, switch between design and view, build expressions, and apply prefix/suffix formatting. Conditional formatting draws attention to selected results; heatmaps show concentrations and drilldown exposes the supporting detail.</w:t>
      </w:r>
    </w:p>
    <w:p>
      <w:r>
        <w:rPr>
          <w:b/>
        </w:rPr>
        <w:t xml:space="preserve">Business value  </w:t>
      </w:r>
      <w:r>
        <w:t>For example, an analyst can compare refunds by store and cashier, highlight unusual totals and inspect the transactions behind a hotspot. Reusable definitions support consistent analysis across the team.</w:t>
      </w:r>
    </w:p>
    <w:p>
      <w:r>
        <w:rPr>
          <w:b/>
        </w:rPr>
        <w:t xml:space="preserve">To complete for MVP  </w:t>
      </w:r>
      <w:r>
        <w:t>Validate expressions, totals, date handling and formatting on representative data. Confirm saved reports and duplicated tabs retain their intended behavior, heatmap drilldowns preserve context, and all results respect the user’s authorised data scope.</w:t>
      </w:r>
    </w:p>
    <w:p>
      <w:pPr>
        <w:pStyle w:val="Heading2"/>
      </w:pPr>
      <w:r>
        <w:t>M04  Provide a reusable view of key measures</w:t>
      </w:r>
    </w:p>
    <w:p>
      <w:r>
        <w:rPr>
          <w:b/>
        </w:rPr>
        <w:t xml:space="preserve">Product areas  </w:t>
      </w:r>
      <w:r>
        <w:t>Dashboard editor, chart components, tabular reports and text blocks.</w:t>
      </w:r>
    </w:p>
    <w:p>
      <w:r>
        <w:rPr>
          <w:b/>
        </w:rPr>
        <w:t xml:space="preserve">Completeness  </w:t>
      </w:r>
      <w:r>
        <w:t>Core dashboard creation and editing are implemented. End-to-end data consistency and role behavior need validation.</w:t>
      </w:r>
    </w:p>
    <w:p>
      <w:r>
        <w:rPr>
          <w:b/>
        </w:rPr>
        <w:t xml:space="preserve">Business requirement  </w:t>
      </w:r>
      <w:r>
        <w:t>Give managers an accessible overview of important measures and exceptions without rebuilding the same analysis each time.</w:t>
      </w:r>
    </w:p>
    <w:p>
      <w:r>
        <w:rPr>
          <w:b/>
        </w:rPr>
        <w:t xml:space="preserve">Functionality and how it works  </w:t>
      </w:r>
      <w:r>
        <w:t>Authorised users add, edit or delete charts, tables and explanatory text, arranging them into a dashboard. Conditions on tabular reports narrow the information displayed. The same underlying transaction data supplies the dashboard and the reports used for further examination.</w:t>
      </w:r>
    </w:p>
    <w:p>
      <w:r>
        <w:rPr>
          <w:b/>
        </w:rPr>
        <w:t xml:space="preserve">Business value  </w:t>
      </w:r>
      <w:r>
        <w:t>A manager can review a consistent set of loss prevention indicators and direct attention to areas that need investigation. Text blocks can explain what a measure means or how it should be interpreted.</w:t>
      </w:r>
    </w:p>
    <w:p>
      <w:r>
        <w:rPr>
          <w:b/>
        </w:rPr>
        <w:t xml:space="preserve">To complete for MVP  </w:t>
      </w:r>
      <w:r>
        <w:t>Validate every component type and its saved configuration. Reconcile charts and tables with the underlying results, confirm filters behave consistently and test permitted versus restricted actions. Extended region, store and district dashboard policies are a later roadmap item; the MVP still needs its basic user restrictions to work correctly.</w:t>
      </w:r>
    </w:p>
    <w:p>
      <w:pPr>
        <w:pStyle w:val="Heading2"/>
      </w:pPr>
      <w:r>
        <w:t>Business outcome</w:t>
      </w:r>
    </w:p>
    <w:p>
      <w:r>
        <w:t>Together, workspaces, reports and dashboards provide a repeatable analysis cycle: define a question, save the analysis, monitor the result and examine the underlying evidence when something needs attention.</w:t>
      </w:r>
    </w:p>
    <w:p>
      <w:r>
        <w:br w:type="page"/>
      </w:r>
    </w:p>
    <w:p>
      <w:pPr>
        <w:pStyle w:val="Heading1"/>
      </w:pPr>
      <w:r>
        <w:t>5  MVP exception detection and assisted analysis</w:t>
      </w:r>
    </w:p>
    <w:p>
      <w:pPr>
        <w:pStyle w:val="Heading2"/>
      </w:pPr>
      <w:r>
        <w:t>M05  Prioritise transactions that warrant review</w:t>
      </w:r>
    </w:p>
    <w:p>
      <w:r>
        <w:rPr>
          <w:b/>
        </w:rPr>
        <w:t xml:space="preserve">Product areas  </w:t>
      </w:r>
      <w:r>
        <w:t>Rule settings, rule execution, data ingestion, report results and data-distance analysis.</w:t>
      </w:r>
    </w:p>
    <w:p>
      <w:r>
        <w:rPr>
          <w:b/>
        </w:rPr>
        <w:t xml:space="preserve">Completeness  </w:t>
      </w:r>
      <w:r>
        <w:t>Generic rules and data-distance functionality are present. Automatic rule execution during ingestion remains incomplete; rule and distance outcomes need representative-data validation.</w:t>
      </w:r>
    </w:p>
    <w:p>
      <w:r>
        <w:rPr>
          <w:b/>
        </w:rPr>
        <w:t xml:space="preserve">Business requirement  </w:t>
      </w:r>
      <w:r>
        <w:t>Help investigators focus on potentially unusual activity instead of reviewing every transaction equally.</w:t>
      </w:r>
    </w:p>
    <w:p>
      <w:r>
        <w:rPr>
          <w:b/>
        </w:rPr>
        <w:t xml:space="preserve">Functionality and how it works  </w:t>
      </w:r>
      <w:r>
        <w:t>Users define business conditions and apply enabled rules to transaction records. The MVP target includes a switch to apply rules automatically during ingestion. Data-distance views provide another way to explore records that differ from a selected comparison, complementing the rules and ordinary reports.</w:t>
      </w:r>
    </w:p>
    <w:p>
      <w:r>
        <w:rPr>
          <w:b/>
        </w:rPr>
        <w:t xml:space="preserve">Business value  </w:t>
      </w:r>
      <w:r>
        <w:t>A refund, void or value-based condition can produce a shortlist for review. Distance analysis can help users explore less obvious differences. Both can reduce the amount of data an analyst must examine first; neither establishes fraud without investigation.</w:t>
      </w:r>
    </w:p>
    <w:p>
      <w:r>
        <w:rPr>
          <w:b/>
        </w:rPr>
        <w:t xml:space="preserve">To complete for MVP  </w:t>
      </w:r>
      <w:r>
        <w:t>Complete and prove the ingestion-time rule path and its on/off behavior. Check positive, negative and boundary examples, repeated processing and usable presentation of results. Validate the existing data-distance screens and explain their output. Further KNN validation and behavioural profiling remain later work.</w:t>
      </w:r>
    </w:p>
    <w:p>
      <w:pPr>
        <w:pStyle w:val="Heading2"/>
      </w:pPr>
      <w:r>
        <w:t>M06  Help users build reports and ask data questions</w:t>
      </w:r>
    </w:p>
    <w:p>
      <w:r>
        <w:rPr>
          <w:b/>
        </w:rPr>
        <w:t xml:space="preserve">Product areas  </w:t>
      </w:r>
      <w:r>
        <w:t>AI report generation, natural-language query interface, processing feedback and report results.</w:t>
      </w:r>
    </w:p>
    <w:p>
      <w:r>
        <w:rPr>
          <w:b/>
        </w:rPr>
        <w:t xml:space="preserve">Completeness  </w:t>
      </w:r>
      <w:r>
        <w:t>Report-generation and natural-language interfaces exist, including progress and batching behavior. The complete integration and accuracy of generated results still need work and validation.</w:t>
      </w:r>
    </w:p>
    <w:p>
      <w:r>
        <w:rPr>
          <w:b/>
        </w:rPr>
        <w:t xml:space="preserve">Business requirement  </w:t>
      </w:r>
      <w:r>
        <w:t>Reduce the technical knowledge needed to start an analysis and make useful reporting accessible to more business users.</w:t>
      </w:r>
    </w:p>
    <w:p>
      <w:r>
        <w:rPr>
          <w:b/>
        </w:rPr>
        <w:t xml:space="preserve">Functionality and how it works  </w:t>
      </w:r>
      <w:r>
        <w:t>A user describes the information they want, such as high-value refunds by store. The assisted-analysis functions propose report or query structures using the available fields. Progress feedback shows work taking place, while batching helps organise larger processing tasks. The user reviews the generated result and refines it before relying on it.</w:t>
      </w:r>
    </w:p>
    <w:p>
      <w:r>
        <w:rPr>
          <w:b/>
        </w:rPr>
        <w:t xml:space="preserve">Business value  </w:t>
      </w:r>
      <w:r>
        <w:t>Users can reach an initial report more quickly and spend more time interpreting results. The feature is most useful as an assisted starting point that remains connected to the source data.</w:t>
      </w:r>
    </w:p>
    <w:p>
      <w:r>
        <w:rPr>
          <w:b/>
        </w:rPr>
        <w:t xml:space="preserve">To complete for MVP  </w:t>
      </w:r>
      <w:r>
        <w:t>Demonstrate a reliable question-to-result journey in the intended environment. Check generated fields, filters and totals, handle unavailable services or unsupported requests, and validate results against known examples. Advanced controls for token limits or creativity are optional enhancements, not mandatory MVP completion items.</w:t>
      </w:r>
    </w:p>
    <w:p>
      <w:pPr>
        <w:pStyle w:val="Heading2"/>
      </w:pPr>
      <w:r>
        <w:t>Expected user experience</w:t>
      </w:r>
    </w:p>
    <w:p>
      <w:r>
        <w:t>An investigator can start with a saved report, a rule result or an assisted question, then examine transaction evidence. The MVP supports analysis and prioritisation; connected case assignment and recorded investigation outcomes follow in later development.</w:t>
      </w:r>
    </w:p>
    <w:p>
      <w:r>
        <w:br w:type="page"/>
      </w:r>
    </w:p>
    <w:p>
      <w:pPr>
        <w:pStyle w:val="Heading1"/>
      </w:pPr>
      <w:r>
        <w:t>6  MVP administration collaboration and retention</w:t>
      </w:r>
    </w:p>
    <w:p>
      <w:pPr>
        <w:pStyle w:val="Heading2"/>
      </w:pPr>
      <w:r>
        <w:t>M07  Give users appropriate access</w:t>
      </w:r>
    </w:p>
    <w:p>
      <w:r>
        <w:rPr>
          <w:b/>
        </w:rPr>
        <w:t xml:space="preserve">Product areas  </w:t>
      </w:r>
      <w:r>
        <w:t>Login, user administration, groups, roles, report queries and dashboards.</w:t>
      </w:r>
    </w:p>
    <w:p>
      <w:r>
        <w:rPr>
          <w:b/>
        </w:rPr>
        <w:t xml:space="preserve">Completeness  </w:t>
      </w:r>
      <w:r>
        <w:t>Login, configurable session expiry, user/role management and email password recovery exist. Data restrictions are partially implemented.</w:t>
      </w:r>
    </w:p>
    <w:p>
      <w:r>
        <w:rPr>
          <w:b/>
        </w:rPr>
        <w:t xml:space="preserve">Business requirement  </w:t>
      </w:r>
      <w:r>
        <w:t>Allow users to access the functions and transaction information appropriate to their responsibilities.</w:t>
      </w:r>
    </w:p>
    <w:p>
      <w:r>
        <w:rPr>
          <w:b/>
        </w:rPr>
        <w:t xml:space="preserve">Functionality and how it works  </w:t>
      </w:r>
      <w:r>
        <w:t>Administrators maintain users, roles and groups, and can associate a user with a field/value restriction. Users sign in, work within their permitted functions and recover access through the password-reset journey.</w:t>
      </w:r>
    </w:p>
    <w:p>
      <w:r>
        <w:rPr>
          <w:b/>
        </w:rPr>
        <w:t xml:space="preserve">Business value  </w:t>
      </w:r>
      <w:r>
        <w:t>Supports delegated use, reduces administrator effort and protects the separation of responsibilities between analysts, managers and administrators.</w:t>
      </w:r>
    </w:p>
    <w:p>
      <w:r>
        <w:rPr>
          <w:b/>
        </w:rPr>
        <w:t xml:space="preserve">To complete for MVP  </w:t>
      </w:r>
      <w:r>
        <w:t>Complete server-enforced data restrictions, align visible controls with permissions and test direct data access as well as the screens. Validate user maintenance, session expiry and email password recovery in the target environment.</w:t>
      </w:r>
    </w:p>
    <w:p>
      <w:pPr>
        <w:pStyle w:val="Heading2"/>
      </w:pPr>
      <w:r>
        <w:t>M08  Keep users informed through basic notifications</w:t>
      </w:r>
    </w:p>
    <w:p>
      <w:r>
        <w:rPr>
          <w:b/>
        </w:rPr>
        <w:t xml:space="preserve">Product areas  </w:t>
      </w:r>
      <w:r>
        <w:t>Notification views, message actions, users and groups.</w:t>
      </w:r>
    </w:p>
    <w:p>
      <w:r>
        <w:rPr>
          <w:b/>
        </w:rPr>
        <w:t xml:space="preserve">Completeness  </w:t>
      </w:r>
      <w:r>
        <w:t>Basic notifications, read state and replies are implemented; audience and workflow validation remain.</w:t>
      </w:r>
    </w:p>
    <w:p>
      <w:r>
        <w:rPr>
          <w:b/>
        </w:rPr>
        <w:t xml:space="preserve">Business requirement  </w:t>
      </w:r>
      <w:r>
        <w:t>Provide a visible place for messages that need attention and reduce reliance on informal communication.</w:t>
      </w:r>
    </w:p>
    <w:p>
      <w:r>
        <w:rPr>
          <w:b/>
        </w:rPr>
        <w:t xml:space="preserve">Functionality and how it works  </w:t>
      </w:r>
      <w:r>
        <w:t>Users receive or view relevant notifications, mark them read and use supported reply actions. Users and groups provide the foundation for organising audiences.</w:t>
      </w:r>
    </w:p>
    <w:p>
      <w:r>
        <w:rPr>
          <w:b/>
        </w:rPr>
        <w:t xml:space="preserve">Business value  </w:t>
      </w:r>
      <w:r>
        <w:t>Helps teams share information and see which messages have been viewed.</w:t>
      </w:r>
    </w:p>
    <w:p>
      <w:r>
        <w:rPr>
          <w:b/>
        </w:rPr>
        <w:t xml:space="preserve">To complete for MVP  </w:t>
      </w:r>
      <w:r>
        <w:t>Validate recipients, visibility, read/reply behavior and removal. Automatic load or rule alerts, richer escalation and store/region/district targeting are later extensions.</w:t>
      </w:r>
    </w:p>
    <w:p>
      <w:pPr>
        <w:pStyle w:val="Heading2"/>
      </w:pPr>
      <w:r>
        <w:t>M09  Manage how long transaction data is kept</w:t>
      </w:r>
    </w:p>
    <w:p>
      <w:r>
        <w:rPr>
          <w:b/>
        </w:rPr>
        <w:t xml:space="preserve">Product areas  </w:t>
      </w:r>
      <w:r>
        <w:t>Retention configuration, transaction storage and historical reporting.</w:t>
      </w:r>
    </w:p>
    <w:p>
      <w:r>
        <w:rPr>
          <w:b/>
        </w:rPr>
        <w:t xml:space="preserve">Completeness  </w:t>
      </w:r>
      <w:r>
        <w:t>Retention setup exists. Effective expiry and changes to an existing policy still require validation.</w:t>
      </w:r>
    </w:p>
    <w:p>
      <w:r>
        <w:rPr>
          <w:b/>
        </w:rPr>
        <w:t xml:space="preserve">Business requirement  </w:t>
      </w:r>
      <w:r>
        <w:t>Retain enough history for analysis while avoiding unnecessary data accumulation.</w:t>
      </w:r>
    </w:p>
    <w:p>
      <w:r>
        <w:rPr>
          <w:b/>
        </w:rPr>
        <w:t xml:space="preserve">Functionality and how it works  </w:t>
      </w:r>
      <w:r>
        <w:t>A configured retention period determines which older transactions expire. The business must select the period according to its investigation needs; the current 90-day default is a setting to review, not a fixed business requirement.</w:t>
      </w:r>
    </w:p>
    <w:p>
      <w:r>
        <w:rPr>
          <w:b/>
        </w:rPr>
        <w:t xml:space="preserve">Business value  </w:t>
      </w:r>
      <w:r>
        <w:t>Supports predictable history, storage use and reporting performance.</w:t>
      </w:r>
    </w:p>
    <w:p>
      <w:r>
        <w:rPr>
          <w:b/>
        </w:rPr>
        <w:t xml:space="preserve">To complete for MVP  </w:t>
      </w:r>
      <w:r>
        <w:t>Agree the period, prove expiry on valid transaction dates and confirm policy changes take effect. Explain the impact on old imports, historical reports, backups and any evidence that must be retained separately.</w:t>
      </w:r>
    </w:p>
    <w:p>
      <w:r>
        <w:br w:type="page"/>
      </w:r>
    </w:p>
    <w:p>
      <w:pPr>
        <w:pStyle w:val="Heading1"/>
      </w:pPr>
      <w:r>
        <w:t>7  MVP completion and delivery readiness</w:t>
      </w:r>
    </w:p>
    <w:p>
      <w:pPr>
        <w:pStyle w:val="Heading2"/>
      </w:pPr>
      <w:r>
        <w:t>M10  Make the core workflow usable and supportable</w:t>
      </w:r>
    </w:p>
    <w:p>
      <w:r>
        <w:rPr>
          <w:b/>
        </w:rPr>
        <w:t xml:space="preserve">Product areas  </w:t>
      </w:r>
      <w:r>
        <w:t>All product areas, deployment, logging, administration, user guidance and support.</w:t>
      </w:r>
    </w:p>
    <w:p>
      <w:r>
        <w:rPr>
          <w:b/>
        </w:rPr>
        <w:t xml:space="preserve">Completeness  </w:t>
      </w:r>
      <w:r>
        <w:t>Core application code and documentation are present. Integrated readiness evidence and several completion activities remain outstanding.</w:t>
      </w:r>
    </w:p>
    <w:p>
      <w:r>
        <w:rPr>
          <w:b/>
        </w:rPr>
        <w:t xml:space="preserve">Business requirement  </w:t>
      </w:r>
      <w:r>
        <w:t>Enable users to carry out the intended tasks consistently, and make problems understandable when they occur.</w:t>
      </w:r>
    </w:p>
    <w:p>
      <w:r>
        <w:rPr>
          <w:b/>
        </w:rPr>
        <w:t xml:space="preserve">Functionality and how it works  </w:t>
      </w:r>
      <w:r>
        <w:t>The release work combines early UI review, representative-data testing, reproducible user feedback, permissions review, logging/audit, security hardening and focused code cleanup. Deployment must support the chosen environment, with evaluation and production kept separate. User guidance and short videos explain the main workflows.</w:t>
      </w:r>
    </w:p>
    <w:p>
      <w:r>
        <w:rPr>
          <w:b/>
        </w:rPr>
        <w:t xml:space="preserve">Business value  </w:t>
      </w:r>
      <w:r>
        <w:t>Reduces avoidable user friction, inconsistent results and support effort, while making rollout and diagnosis more predictable.</w:t>
      </w:r>
    </w:p>
    <w:p>
      <w:r>
        <w:rPr>
          <w:b/>
        </w:rPr>
        <w:t xml:space="preserve">To complete for MVP  </w:t>
      </w:r>
      <w:r>
        <w:t>Resolve the outstanding MVP feature gaps; validate the whole workflow with customer-shaped data; finish required logging/audit and secure configuration; demonstrate deployment and provide usable guides. Optimisation needs should be assessed from measured data rather than assumed.</w:t>
      </w:r>
    </w:p>
    <w:p>
      <w:pPr>
        <w:pStyle w:val="Heading2"/>
      </w:pPr>
      <w:r>
        <w:t>Practical sequence within the 45 day delivery period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5"/>
        <w:gridCol w:w="4061"/>
        <w:gridCol w:w="3730"/>
      </w:tblGrid>
      <w:tr>
        <w:trPr>
          <w:cantSplit/>
          <w:tblHeader/>
        </w:trPr>
        <w:tc>
          <w:tcPr>
            <w:tcW w:type="dxa" w:w="2045"/>
            <w:vAlign w:val="center"/>
            <w:tcMar>
              <w:top w:w="80" w:type="dxa"/>
              <w:bottom w:w="80" w:type="dxa"/>
              <w:left w:w="100" w:type="dxa"/>
              <w:right w:w="100" w:type="dxa"/>
            </w:tcMar>
            <w:shd w:fill="DCE6F1"/>
          </w:tcPr>
          <w:p>
            <w:pPr>
              <w:keepNext w:val="0"/>
              <w:spacing w:after="40" w:before="40" w:line="247" w:lineRule="auto"/>
            </w:pPr>
            <w:r>
              <w:rPr>
                <w:rFonts w:ascii="Arial" w:hAnsi="Arial" w:eastAsia="Arial" w:cs="Arial"/>
                <w:b/>
                <w:color w:val="000000"/>
                <w:sz w:val="18"/>
              </w:rPr>
              <w:t>Period</w:t>
            </w:r>
          </w:p>
        </w:tc>
        <w:tc>
          <w:tcPr>
            <w:tcW w:type="dxa" w:w="4061"/>
            <w:vAlign w:val="center"/>
            <w:tcMar>
              <w:top w:w="80" w:type="dxa"/>
              <w:bottom w:w="80" w:type="dxa"/>
              <w:left w:w="100" w:type="dxa"/>
              <w:right w:w="100" w:type="dxa"/>
            </w:tcMar>
            <w:shd w:fill="DCE6F1"/>
          </w:tcPr>
          <w:p>
            <w:pPr>
              <w:keepNext w:val="0"/>
              <w:spacing w:after="40" w:before="40" w:line="247" w:lineRule="auto"/>
            </w:pPr>
            <w:r>
              <w:rPr>
                <w:rFonts w:ascii="Arial" w:hAnsi="Arial" w:eastAsia="Arial" w:cs="Arial"/>
                <w:b/>
                <w:color w:val="000000"/>
                <w:sz w:val="18"/>
              </w:rPr>
              <w:t>Delivery focus</w:t>
            </w:r>
          </w:p>
        </w:tc>
        <w:tc>
          <w:tcPr>
            <w:tcW w:type="dxa" w:w="3730"/>
            <w:vAlign w:val="center"/>
            <w:tcMar>
              <w:top w:w="80" w:type="dxa"/>
              <w:bottom w:w="80" w:type="dxa"/>
              <w:left w:w="100" w:type="dxa"/>
              <w:right w:w="100" w:type="dxa"/>
            </w:tcMar>
            <w:shd w:fill="DCE6F1"/>
          </w:tcPr>
          <w:p>
            <w:pPr>
              <w:keepNext w:val="0"/>
              <w:spacing w:after="40" w:before="40" w:line="247" w:lineRule="auto"/>
            </w:pPr>
            <w:r>
              <w:rPr>
                <w:rFonts w:ascii="Arial" w:hAnsi="Arial" w:eastAsia="Arial" w:cs="Arial"/>
                <w:b/>
                <w:color w:val="000000"/>
                <w:sz w:val="18"/>
              </w:rPr>
              <w:t>Visible outcome</w:t>
            </w:r>
          </w:p>
        </w:tc>
      </w:tr>
      <w:tr>
        <w:trPr>
          <w:cantSplit/>
        </w:trPr>
        <w:tc>
          <w:tcPr>
            <w:tcW w:type="dxa" w:w="2045"/>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Early October</w:t>
            </w:r>
          </w:p>
        </w:tc>
        <w:tc>
          <w:tcPr>
            <w:tcW w:type="dxa" w:w="4061"/>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Confirm user journeys, review the UI and obtain representative data.</w:t>
            </w:r>
          </w:p>
        </w:tc>
        <w:tc>
          <w:tcPr>
            <w:tcW w:type="dxa" w:w="3730"/>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Agreed examples of what users need to do and what correct results look like.</w:t>
            </w:r>
          </w:p>
        </w:tc>
      </w:tr>
      <w:tr>
        <w:trPr>
          <w:cantSplit/>
        </w:trPr>
        <w:tc>
          <w:tcPr>
            <w:tcW w:type="dxa" w:w="2045"/>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Mid to late October</w:t>
            </w:r>
          </w:p>
        </w:tc>
        <w:tc>
          <w:tcPr>
            <w:tcW w:type="dxa" w:w="4061"/>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Complete lookups, automated rules, file handling, restrictions and AI integration gaps.</w:t>
            </w:r>
          </w:p>
        </w:tc>
        <w:tc>
          <w:tcPr>
            <w:tcW w:type="dxa" w:w="3730"/>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End-to-end demonstrations of the remaining MVP workflows.</w:t>
            </w:r>
          </w:p>
        </w:tc>
      </w:tr>
      <w:tr>
        <w:trPr>
          <w:cantSplit/>
        </w:trPr>
        <w:tc>
          <w:tcPr>
            <w:tcW w:type="dxa" w:w="2045"/>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Late October to early November</w:t>
            </w:r>
          </w:p>
        </w:tc>
        <w:tc>
          <w:tcPr>
            <w:tcW w:type="dxa" w:w="4061"/>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Validate reports, dashboards, permissions, retention and failure handling together.</w:t>
            </w:r>
          </w:p>
        </w:tc>
        <w:tc>
          <w:tcPr>
            <w:tcW w:type="dxa" w:w="3730"/>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Reconciled results and a tracked list of defects with reproducible steps.</w:t>
            </w:r>
          </w:p>
        </w:tc>
      </w:tr>
      <w:tr>
        <w:trPr>
          <w:cantSplit/>
        </w:trPr>
        <w:tc>
          <w:tcPr>
            <w:tcW w:type="dxa" w:w="2045"/>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By mid-November</w:t>
            </w:r>
          </w:p>
        </w:tc>
        <w:tc>
          <w:tcPr>
            <w:tcW w:type="dxa" w:w="4061"/>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Finish priority corrections, deployment checks, documentation and user walkthroughs.</w:t>
            </w:r>
          </w:p>
        </w:tc>
        <w:tc>
          <w:tcPr>
            <w:tcW w:type="dxa" w:w="3730"/>
            <w:vAlign w:val="center"/>
            <w:tcMar>
              <w:top w:w="80" w:type="dxa"/>
              <w:bottom w:w="80" w:type="dxa"/>
              <w:left w:w="100" w:type="dxa"/>
              <w:right w:w="100" w:type="dxa"/>
            </w:tcMar>
            <w:shd w:fill="FFFFFF"/>
          </w:tcPr>
          <w:p>
            <w:pPr>
              <w:keepNext w:val="0"/>
              <w:spacing w:after="40" w:before="40" w:line="247" w:lineRule="auto"/>
            </w:pPr>
            <w:r>
              <w:rPr>
                <w:rFonts w:ascii="Arial" w:hAnsi="Arial" w:eastAsia="Arial" w:cs="Arial"/>
                <w:b w:val="0"/>
                <w:color w:val="000000"/>
                <w:sz w:val="18"/>
              </w:rPr>
              <w:t>MVP release demonstrated against the agreed business scenarios.</w:t>
            </w:r>
          </w:p>
        </w:tc>
      </w:tr>
    </w:tbl>
    <w:p>
      <w:pPr>
        <w:spacing w:after="0"/>
      </w:pPr>
      <w:r/>
    </w:p>
    <w:p>
      <w:r>
        <w:t>The release demonstration should show a configured source feeding usable data, meaningful mappings, reports and dashboards with correct results, working access restrictions, the intended rule behavior, basic collaboration and predictable retention. Any remaining limitation must be clear to the users affected.</w:t>
      </w:r>
    </w:p>
    <w:p>
      <w:r>
        <w:t>Representative datasets and user feedback are key dependencies. If the initial delivery backlog exceeds the available capacity, agree any scope change explicitly rather than relabelling unfinished work as complete.</w:t>
      </w:r>
    </w:p>
    <w:p>
      <w:r>
        <w:br w:type="page"/>
      </w:r>
    </w:p>
    <w:p>
      <w:pPr>
        <w:pStyle w:val="Heading1"/>
      </w:pPr>
      <w:r>
        <w:t>8  Roadmap for onboarding customer setup and identity</w:t>
      </w:r>
    </w:p>
    <w:p>
      <w:r>
        <w:t>Initial roadmap horizon: months 3 to 6, approximately January to March 2027. These developments build on the MVP. The operating descriptions explain the intended business experience; detailed scope and priorities will be refined with users.</w:t>
      </w:r>
    </w:p>
    <w:p>
      <w:pPr>
        <w:pStyle w:val="Heading2"/>
      </w:pPr>
      <w:r>
        <w:t>R01  Simplify first time setup</w:t>
      </w:r>
    </w:p>
    <w:p>
      <w:r>
        <w:rPr>
          <w:b/>
        </w:rPr>
        <w:t xml:space="preserve">Product areas  </w:t>
      </w:r>
      <w:r>
        <w:t>Setup wizard, database seeding, initial administration and optional licensing.</w:t>
      </w:r>
    </w:p>
    <w:p>
      <w:r>
        <w:rPr>
          <w:b/>
        </w:rPr>
        <w:t xml:space="preserve">Completeness  </w:t>
      </w:r>
      <w:r>
        <w:t>Planned extension. Database setup materials exist; guided provisioning remains future work.</w:t>
      </w:r>
    </w:p>
    <w:p>
      <w:r>
        <w:rPr>
          <w:b/>
        </w:rPr>
        <w:t xml:space="preserve">Business requirement  </w:t>
      </w:r>
      <w:r>
        <w:t>Make a new customer environment usable without repeated manual configuration.</w:t>
      </w:r>
    </w:p>
    <w:p>
      <w:r>
        <w:rPr>
          <w:b/>
        </w:rPr>
        <w:t xml:space="preserve">How it will work  </w:t>
      </w:r>
      <w:r>
        <w:t>A guided setup process will collect required settings and seed standard data and configuration. Licence-driven setup can be considered where it supports an agreed onboarding model.</w:t>
      </w:r>
    </w:p>
    <w:p>
      <w:r>
        <w:rPr>
          <w:b/>
        </w:rPr>
        <w:t xml:space="preserve">Business value  </w:t>
      </w:r>
      <w:r>
        <w:t>Shorter onboarding, fewer missed settings and less dependence on developer intervention.</w:t>
      </w:r>
    </w:p>
    <w:p>
      <w:r>
        <w:rPr>
          <w:b/>
        </w:rPr>
        <w:t xml:space="preserve">Delivery outcome  </w:t>
      </w:r>
      <w:r>
        <w:t>A new environment can be configured through a repeatable process with clear validation and recovery when a setup step fails.</w:t>
      </w:r>
    </w:p>
    <w:p>
      <w:pPr>
        <w:pStyle w:val="Heading2"/>
      </w:pPr>
      <w:r>
        <w:t>R02  Separate and brand customer environments</w:t>
      </w:r>
    </w:p>
    <w:p>
      <w:r>
        <w:rPr>
          <w:b/>
        </w:rPr>
        <w:t xml:space="preserve">Product areas  </w:t>
      </w:r>
      <w:r>
        <w:t>Multi-tenancy, customer configuration, application branding and database selection.</w:t>
      </w:r>
    </w:p>
    <w:p>
      <w:r>
        <w:rPr>
          <w:b/>
        </w:rPr>
        <w:t xml:space="preserve">Completeness  </w:t>
      </w:r>
      <w:r>
        <w:t>Planned. Existing user permissions do not establish a complete multi-customer model.</w:t>
      </w:r>
    </w:p>
    <w:p>
      <w:r>
        <w:rPr>
          <w:b/>
        </w:rPr>
        <w:t xml:space="preserve">Business requirement  </w:t>
      </w:r>
      <w:r>
        <w:t>Serve different customers with the right identity, settings and data boundaries.</w:t>
      </w:r>
    </w:p>
    <w:p>
      <w:r>
        <w:rPr>
          <w:b/>
        </w:rPr>
        <w:t xml:space="preserve">How it will work  </w:t>
      </w:r>
      <w:r>
        <w:t>The application will resolve the customer from the agreed context, such as the access URL, select the correct data/configuration and apply the customer’s branding. Authorised administrators will add, edit, delete or reset branding. The design must establish where settings are held and how they are resolved.</w:t>
      </w:r>
    </w:p>
    <w:p>
      <w:r>
        <w:rPr>
          <w:b/>
        </w:rPr>
        <w:t xml:space="preserve">Business value  </w:t>
      </w:r>
      <w:r>
        <w:t>Supports repeatable customer rollout and a recognisable customer experience while keeping each customer’s information appropriately separated.</w:t>
      </w:r>
    </w:p>
    <w:p>
      <w:r>
        <w:rPr>
          <w:b/>
        </w:rPr>
        <w:t xml:space="preserve">Delivery outcome  </w:t>
      </w:r>
      <w:r>
        <w:t>Customer selection, branding and data routing work together and isolation is demonstrated before additional customers are introduced.</w:t>
      </w:r>
    </w:p>
    <w:p>
      <w:pPr>
        <w:pStyle w:val="Heading2"/>
      </w:pPr>
      <w:r>
        <w:t>R03  Integrate customer sign in</w:t>
      </w:r>
    </w:p>
    <w:p>
      <w:r>
        <w:rPr>
          <w:b/>
        </w:rPr>
        <w:t xml:space="preserve">Product areas  </w:t>
      </w:r>
      <w:r>
        <w:t>Login, single sign-on, identity administration and account recovery.</w:t>
      </w:r>
    </w:p>
    <w:p>
      <w:r>
        <w:rPr>
          <w:b/>
        </w:rPr>
        <w:t xml:space="preserve">Completeness  </w:t>
      </w:r>
      <w:r>
        <w:t>SSO is planned. Email-based forgot-password capability is already present and belongs in MVP validation.</w:t>
      </w:r>
    </w:p>
    <w:p>
      <w:r>
        <w:rPr>
          <w:b/>
        </w:rPr>
        <w:t xml:space="preserve">Business requirement  </w:t>
      </w:r>
      <w:r>
        <w:t>Allow staff to use the organisation’s established identity process where required.</w:t>
      </w:r>
    </w:p>
    <w:p>
      <w:r>
        <w:rPr>
          <w:b/>
        </w:rPr>
        <w:t xml:space="preserve">How it will work  </w:t>
      </w:r>
      <w:r>
        <w:t>SSO will connect the selected identity provider to application access and role assignment. The existing password-recovery journey remains available where local accounts are used.</w:t>
      </w:r>
    </w:p>
    <w:p>
      <w:r>
        <w:rPr>
          <w:b/>
        </w:rPr>
        <w:t xml:space="preserve">Business value  </w:t>
      </w:r>
      <w:r>
        <w:t>Reduces duplicate account administration and supports a consistent access lifecycle.</w:t>
      </w:r>
    </w:p>
    <w:p>
      <w:r>
        <w:rPr>
          <w:b/>
        </w:rPr>
        <w:t xml:space="preserve">Delivery outcome  </w:t>
      </w:r>
      <w:r>
        <w:t>Validate sign-in, role mapping, removal of access and the agreed recovery/fallback arrangements. Build on existing password recovery rather than treating it as an entirely new feature.</w:t>
      </w:r>
    </w:p>
    <w:p>
      <w:r>
        <w:br w:type="page"/>
      </w:r>
    </w:p>
    <w:p>
      <w:pPr>
        <w:pStyle w:val="Heading1"/>
      </w:pPr>
      <w:r>
        <w:t>9  Roadmap for reporting and operational communication</w:t>
      </w:r>
    </w:p>
    <w:p>
      <w:pPr>
        <w:pStyle w:val="Heading2"/>
      </w:pPr>
      <w:r>
        <w:t>R04  Connect related reports and extend visual analysis</w:t>
      </w:r>
    </w:p>
    <w:p>
      <w:r>
        <w:rPr>
          <w:b/>
        </w:rPr>
        <w:t xml:space="preserve">Product areas  </w:t>
      </w:r>
      <w:r>
        <w:t>Report Designer, report navigation, charts and dashboard analysis.</w:t>
      </w:r>
    </w:p>
    <w:p>
      <w:r>
        <w:rPr>
          <w:b/>
        </w:rPr>
        <w:t xml:space="preserve">Completeness  </w:t>
      </w:r>
      <w:r>
        <w:t>Core reporting is implemented. Linked reports and additional charting are planned extensions.</w:t>
      </w:r>
    </w:p>
    <w:p>
      <w:r>
        <w:rPr>
          <w:b/>
        </w:rPr>
        <w:t xml:space="preserve">Business requirement  </w:t>
      </w:r>
      <w:r>
        <w:t>Let analysts follow a finding into a related analysis without rebuilding filters or starting again.</w:t>
      </w:r>
    </w:p>
    <w:p>
      <w:r>
        <w:rPr>
          <w:b/>
        </w:rPr>
        <w:t xml:space="preserve">How it will work  </w:t>
      </w:r>
      <w:r>
        <w:t>Users will switch between linked reports while retaining relevant context. Additional chart types will be introduced where they help answer a business question.</w:t>
      </w:r>
    </w:p>
    <w:p>
      <w:r>
        <w:rPr>
          <w:b/>
        </w:rPr>
        <w:t xml:space="preserve">Business value  </w:t>
      </w:r>
      <w:r>
        <w:t>Reduces navigation effort and makes follow-up analysis more consistent.</w:t>
      </w:r>
    </w:p>
    <w:p>
      <w:r>
        <w:rPr>
          <w:b/>
        </w:rPr>
        <w:t xml:space="preserve">Delivery outcome  </w:t>
      </w:r>
      <w:r>
        <w:t>Demonstrate linked journeys with correct filter/context transfer and useful chart choices, while preserving permissions and result accuracy.</w:t>
      </w:r>
    </w:p>
    <w:p>
      <w:pPr>
        <w:pStyle w:val="Heading2"/>
      </w:pPr>
      <w:r>
        <w:t>R05  Extend lookup table administration</w:t>
      </w:r>
    </w:p>
    <w:p>
      <w:r>
        <w:rPr>
          <w:b/>
        </w:rPr>
        <w:t xml:space="preserve">Product areas  </w:t>
      </w:r>
      <w:r>
        <w:t>Settings, reference data, mappings and reports.</w:t>
      </w:r>
    </w:p>
    <w:p>
      <w:r>
        <w:rPr>
          <w:b/>
        </w:rPr>
        <w:t xml:space="preserve">Completeness  </w:t>
      </w:r>
      <w:r>
        <w:t>Initial lookup delivery remains an MVP gap. Broader management is a roadmap extension.</w:t>
      </w:r>
    </w:p>
    <w:p>
      <w:r>
        <w:rPr>
          <w:b/>
        </w:rPr>
        <w:t xml:space="preserve">Business requirement  </w:t>
      </w:r>
      <w:r>
        <w:t>Keep reference values accurate as the business and incoming data change.</w:t>
      </w:r>
    </w:p>
    <w:p>
      <w:r>
        <w:rPr>
          <w:b/>
        </w:rPr>
        <w:t xml:space="preserve">How it will work  </w:t>
      </w:r>
      <w:r>
        <w:t>Extend the agreed MVP lookup workflow with the management depth users need, such as easier maintenance and clearer validation of source-to-business values. Detailed maintenance and change behavior will be agreed before implementation.</w:t>
      </w:r>
    </w:p>
    <w:p>
      <w:r>
        <w:rPr>
          <w:b/>
        </w:rPr>
        <w:t xml:space="preserve">Business value  </w:t>
      </w:r>
      <w:r>
        <w:t>Reduces recurring data preparation and avoids inconsistent labels in reporting.</w:t>
      </w:r>
    </w:p>
    <w:p>
      <w:r>
        <w:rPr>
          <w:b/>
        </w:rPr>
        <w:t xml:space="preserve">Delivery outcome  </w:t>
      </w:r>
      <w:r>
        <w:t>Users can maintain reference data predictably and understand how changes affect dependent analysis. Define this increment separately from the initial MVP lookup capability.</w:t>
      </w:r>
    </w:p>
    <w:p>
      <w:pPr>
        <w:pStyle w:val="Heading2"/>
      </w:pPr>
      <w:r>
        <w:t>R06  Improve targeting of information and alerts</w:t>
      </w:r>
    </w:p>
    <w:p>
      <w:r>
        <w:rPr>
          <w:b/>
        </w:rPr>
        <w:t xml:space="preserve">Product areas  </w:t>
      </w:r>
      <w:r>
        <w:t>Alerts, notifications, groups, roles and dashboard data policies.</w:t>
      </w:r>
    </w:p>
    <w:p>
      <w:r>
        <w:rPr>
          <w:b/>
        </w:rPr>
        <w:t xml:space="preserve">Completeness  </w:t>
      </w:r>
      <w:r>
        <w:t>Basic notifications and role structures exist. Extended alert workflows and regional dashboard policies are planned.</w:t>
      </w:r>
    </w:p>
    <w:p>
      <w:r>
        <w:rPr>
          <w:b/>
        </w:rPr>
        <w:t xml:space="preserve">Business requirement  </w:t>
      </w:r>
      <w:r>
        <w:t>Give each team the information relevant to its responsibility and make important events easier to act on.</w:t>
      </w:r>
    </w:p>
    <w:p>
      <w:r>
        <w:rPr>
          <w:b/>
        </w:rPr>
        <w:t xml:space="preserve">How it will work  </w:t>
      </w:r>
      <w:r>
        <w:t>Extend notification behavior and audience control. Dashboard rules will limit information by store, district or region. Later messages can cover data-loading events, user communication and location-specific updates.</w:t>
      </w:r>
    </w:p>
    <w:p>
      <w:r>
        <w:rPr>
          <w:b/>
        </w:rPr>
        <w:t xml:space="preserve">Business value  </w:t>
      </w:r>
      <w:r>
        <w:t>Reduces irrelevant messages and helps local and regional managers focus on actionable information.</w:t>
      </w:r>
    </w:p>
    <w:p>
      <w:r>
        <w:rPr>
          <w:b/>
        </w:rPr>
        <w:t xml:space="preserve">Delivery outcome  </w:t>
      </w:r>
      <w:r>
        <w:t>Users receive the intended events and see the correct dashboard scope. Validate audience rules, event triggers and access boundaries together. MVP user/field restrictions must already work; this extends the business policy model.</w:t>
      </w:r>
    </w:p>
    <w:p>
      <w:pPr>
        <w:pStyle w:val="Heading2"/>
      </w:pPr>
      <w:r>
        <w:t>Example</w:t>
      </w:r>
    </w:p>
    <w:p>
      <w:r>
        <w:t>A regional manager opens a dashboard limited to their region, follows a refund measure into a linked report and receives a relevant operational notification. Each step preserves the same authorised context, rather than requiring the manager to select it again.</w:t>
      </w:r>
    </w:p>
    <w:p>
      <w:r>
        <w:br w:type="page"/>
      </w:r>
    </w:p>
    <w:p>
      <w:pPr>
        <w:pStyle w:val="Heading1"/>
      </w:pPr>
      <w:r>
        <w:t>10  Roadmap for reliable releases and customer improvement</w:t>
      </w:r>
    </w:p>
    <w:p>
      <w:pPr>
        <w:pStyle w:val="Heading2"/>
      </w:pPr>
      <w:r>
        <w:t>R07  Make software changes easier to deliver safely</w:t>
      </w:r>
    </w:p>
    <w:p>
      <w:r>
        <w:rPr>
          <w:b/>
        </w:rPr>
        <w:t xml:space="preserve">Product areas  </w:t>
      </w:r>
      <w:r>
        <w:t>Development workflow, build and test pipeline, environment deployment and operations.</w:t>
      </w:r>
    </w:p>
    <w:p>
      <w:r>
        <w:rPr>
          <w:b/>
        </w:rPr>
        <w:t xml:space="preserve">Completeness  </w:t>
      </w:r>
      <w:r>
        <w:t>Planned automation. Setup and deployment guidance exist; automated delivery and test coverage require further work.</w:t>
      </w:r>
    </w:p>
    <w:p>
      <w:r>
        <w:rPr>
          <w:b/>
        </w:rPr>
        <w:t xml:space="preserve">Business requirement  </w:t>
      </w:r>
      <w:r>
        <w:t>Introduce improvements consistently without avoidable disruption to the people using the software.</w:t>
      </w:r>
    </w:p>
    <w:p>
      <w:r>
        <w:rPr>
          <w:b/>
        </w:rPr>
        <w:t xml:space="preserve">How it will work  </w:t>
      </w:r>
      <w:r>
        <w:t>An agreed branching strategy will organise development and releases. Automated builds, unit tests and deployment steps will check changes and promote the selected release into the intended environment. Failures should be visible before changes reach users.</w:t>
      </w:r>
    </w:p>
    <w:p>
      <w:r>
        <w:rPr>
          <w:b/>
        </w:rPr>
        <w:t xml:space="preserve">Business value  </w:t>
      </w:r>
      <w:r>
        <w:t>Reduces repetitive release effort, gives earlier feedback on defects and makes deployments more repeatable as the product grows.</w:t>
      </w:r>
    </w:p>
    <w:p>
      <w:r>
        <w:rPr>
          <w:b/>
        </w:rPr>
        <w:t xml:space="preserve">Delivery outcome  </w:t>
      </w:r>
      <w:r>
        <w:t>Demonstrate a change passing the agreed checks and deployment stages, with clear version identification, failure handling and a recovery procedure.</w:t>
      </w:r>
    </w:p>
    <w:p>
      <w:pPr>
        <w:pStyle w:val="Heading2"/>
      </w:pPr>
      <w:r>
        <w:t>R08  Turn customer feedback into useful improvements</w:t>
      </w:r>
    </w:p>
    <w:p>
      <w:r>
        <w:rPr>
          <w:b/>
        </w:rPr>
        <w:t xml:space="preserve">Product areas  </w:t>
      </w:r>
      <w:r>
        <w:t>All user journeys, defect management, usability and backlog prioritisation.</w:t>
      </w:r>
    </w:p>
    <w:p>
      <w:r>
        <w:rPr>
          <w:b/>
        </w:rPr>
        <w:t xml:space="preserve">Completeness  </w:t>
      </w:r>
      <w:r>
        <w:t>Ongoing activity beginning during MVP testing and continuing through the roadmap.</w:t>
      </w:r>
    </w:p>
    <w:p>
      <w:r>
        <w:rPr>
          <w:b/>
        </w:rPr>
        <w:t xml:space="preserve">Business requirement  </w:t>
      </w:r>
      <w:r>
        <w:t>Ensure development addresses observed customer problems and the tasks that matter most.</w:t>
      </w:r>
    </w:p>
    <w:p>
      <w:r>
        <w:rPr>
          <w:b/>
        </w:rPr>
        <w:t xml:space="preserve">How it will work  </w:t>
      </w:r>
      <w:r>
        <w:t>Collect feedback with reproducible steps and expected versus actual results. Classify defects, usability changes and feature requests, then prioritise them by user impact and dependencies. Review recurring issues to identify where guidance, configuration or product behavior needs improvement.</w:t>
      </w:r>
    </w:p>
    <w:p>
      <w:r>
        <w:rPr>
          <w:b/>
        </w:rPr>
        <w:t xml:space="preserve">Business value  </w:t>
      </w:r>
      <w:r>
        <w:t>Helps the product become easier to use and avoids spending capacity on features with little practical benefit.</w:t>
      </w:r>
    </w:p>
    <w:p>
      <w:r>
        <w:rPr>
          <w:b/>
        </w:rPr>
        <w:t xml:space="preserve">Delivery outcome  </w:t>
      </w:r>
      <w:r>
        <w:t>Maintain a prioritised feedback backlog, show users how important issues were addressed and revise future dates when agreed priorities change.</w:t>
      </w:r>
    </w:p>
    <w:p>
      <w:pPr>
        <w:pStyle w:val="Heading2"/>
      </w:pPr>
      <w:r>
        <w:t>Deployment direction supporting the roadmap</w:t>
      </w:r>
    </w:p>
    <w:p>
      <w:r>
        <w:t>The deployment options include cloud-hosted services, managed database services or customer infrastructure. Event-driven processing, database hosting and multiple application instances should be selected according to the actual workload, availability needs and operating cost. The aim is reliable access and manageable operations; a particular hosting product is not itself a business outcome.</w:t>
      </w:r>
    </w:p>
    <w:p>
      <w:r>
        <w:t>Keep sales/evaluation and production environments separate. Establish a working deployment baseline for the MVP, then use the roadmap to automate and simplify it. Any cost or performance improvement should be demonstrated using representative usage.</w:t>
      </w:r>
    </w:p>
    <w:p>
      <w:pPr>
        <w:pStyle w:val="Heading2"/>
      </w:pPr>
      <w:r>
        <w:t>What this phase adds to the MVP</w:t>
      </w:r>
    </w:p>
    <w:p>
      <w:r>
        <w:t>The MVP establishes usable functions. This phase makes those functions easier to provision, configure for customers, connect to identity systems, extend through reporting and maintain through repeatable releases. Customer feedback determines which increments deliver the greatest practical value first.</w:t>
      </w:r>
    </w:p>
    <w:p>
      <w:r>
        <w:br w:type="page"/>
      </w:r>
    </w:p>
    <w:p>
      <w:pPr>
        <w:pStyle w:val="Heading1"/>
      </w:pPr>
      <w:r>
        <w:t>11  Further development for connected investigations</w:t>
      </w:r>
    </w:p>
    <w:p>
      <w:r>
        <w:t>These initiatives form the next development horizon after the initial roadmap. Their dates and detailed workflows need to be agreed with loss prevention users. Existing reports, notifications and rules provide the foundations; complete case workflows are future scope.</w:t>
      </w:r>
    </w:p>
    <w:p>
      <w:pPr>
        <w:pStyle w:val="Heading2"/>
      </w:pPr>
      <w:r>
        <w:t>N01  Manage cases with configurable information</w:t>
      </w:r>
    </w:p>
    <w:p>
      <w:r>
        <w:rPr>
          <w:b/>
        </w:rPr>
        <w:t xml:space="preserve">Product areas  </w:t>
      </w:r>
      <w:r>
        <w:t>Case management, case forms, assignment, notes and evidence.</w:t>
      </w:r>
    </w:p>
    <w:p>
      <w:r>
        <w:rPr>
          <w:b/>
        </w:rPr>
        <w:t xml:space="preserve">Completeness  </w:t>
      </w:r>
      <w:r>
        <w:t>Planned capability.</w:t>
      </w:r>
    </w:p>
    <w:p>
      <w:r>
        <w:rPr>
          <w:b/>
        </w:rPr>
        <w:t xml:space="preserve">Business requirement  </w:t>
      </w:r>
      <w:r>
        <w:t>Give investigations a clear owner, consistent information and a recorded outcome.</w:t>
      </w:r>
    </w:p>
    <w:p>
      <w:r>
        <w:rPr>
          <w:b/>
        </w:rPr>
        <w:t xml:space="preserve">How it will work  </w:t>
      </w:r>
      <w:r>
        <w:t>A case management tool will bring together the details needed to manage an investigation. Configurable forms will allow the business to adapt the information captured. The detailed states, assignment rules and evidence requirements will be designed with investigators.</w:t>
      </w:r>
    </w:p>
    <w:p>
      <w:r>
        <w:rPr>
          <w:b/>
        </w:rPr>
        <w:t xml:space="preserve">Business value  </w:t>
      </w:r>
      <w:r>
        <w:t>Improves continuity when work passes between people and gives managers visibility of investigation progress.</w:t>
      </w:r>
    </w:p>
    <w:p>
      <w:r>
        <w:rPr>
          <w:b/>
        </w:rPr>
        <w:t xml:space="preserve">Delivery outcome  </w:t>
      </w:r>
      <w:r>
        <w:t>An investigator can take an agreed example from case creation to a recorded outcome, with appropriate access and usable evidence.</w:t>
      </w:r>
    </w:p>
    <w:p>
      <w:pPr>
        <w:pStyle w:val="Heading2"/>
      </w:pPr>
      <w:r>
        <w:t>N02  Guide work and communicate operational events</w:t>
      </w:r>
    </w:p>
    <w:p>
      <w:r>
        <w:rPr>
          <w:b/>
        </w:rPr>
        <w:t xml:space="preserve">Product areas  </w:t>
      </w:r>
      <w:r>
        <w:t>Workflow or blueprint tools, report distribution, notifications and location-based audiences.</w:t>
      </w:r>
    </w:p>
    <w:p>
      <w:r>
        <w:rPr>
          <w:b/>
        </w:rPr>
        <w:t xml:space="preserve">Completeness  </w:t>
      </w:r>
      <w:r>
        <w:t>Planned extension of the reporting and notification foundations.</w:t>
      </w:r>
    </w:p>
    <w:p>
      <w:r>
        <w:rPr>
          <w:b/>
        </w:rPr>
        <w:t xml:space="preserve">Business requirement  </w:t>
      </w:r>
      <w:r>
        <w:t>Make recurring follow-up and communication more consistent.</w:t>
      </w:r>
    </w:p>
    <w:p>
      <w:r>
        <w:rPr>
          <w:b/>
        </w:rPr>
        <w:t xml:space="preserve">How it will work  </w:t>
      </w:r>
      <w:r>
        <w:t>Blueprints or workflows will define how reports and follow-up steps are routed. Richer notifications can cover data loading, user messages and store, region or district-specific information, building on the earlier targeting work.</w:t>
      </w:r>
    </w:p>
    <w:p>
      <w:r>
        <w:rPr>
          <w:b/>
        </w:rPr>
        <w:t xml:space="preserve">Business value  </w:t>
      </w:r>
      <w:r>
        <w:t>Reduces manual handoffs and helps teams understand what needs to happen next.</w:t>
      </w:r>
    </w:p>
    <w:p>
      <w:r>
        <w:rPr>
          <w:b/>
        </w:rPr>
        <w:t xml:space="preserve">Delivery outcome  </w:t>
      </w:r>
      <w:r>
        <w:t>Complete a representative workflow with clear recipients, ownership and failure behavior. Agree which actions are automated and where a person makes the decision.</w:t>
      </w:r>
    </w:p>
    <w:p>
      <w:pPr>
        <w:pStyle w:val="Heading2"/>
      </w:pPr>
      <w:r>
        <w:t>N03  Connect reports receipts and investigation context</w:t>
      </w:r>
    </w:p>
    <w:p>
      <w:r>
        <w:rPr>
          <w:b/>
        </w:rPr>
        <w:t xml:space="preserve">Product areas  </w:t>
      </w:r>
      <w:r>
        <w:t>Receipt view, transactions, linked reports and investigation navigation.</w:t>
      </w:r>
    </w:p>
    <w:p>
      <w:r>
        <w:rPr>
          <w:b/>
        </w:rPr>
        <w:t xml:space="preserve">Completeness  </w:t>
      </w:r>
      <w:r>
        <w:t>Planned. Report drilldown exists, but a connected receipt-to-case journey is future work.</w:t>
      </w:r>
    </w:p>
    <w:p>
      <w:r>
        <w:rPr>
          <w:b/>
        </w:rPr>
        <w:t xml:space="preserve">Business requirement  </w:t>
      </w:r>
      <w:r>
        <w:t>Help investigators understand an event without repeatedly reconstructing its context.</w:t>
      </w:r>
    </w:p>
    <w:p>
      <w:r>
        <w:rPr>
          <w:b/>
        </w:rPr>
        <w:t xml:space="preserve">How it will work  </w:t>
      </w:r>
      <w:r>
        <w:t>Receipt views will present available basket and transaction details. A fluid investigation experience will connect the relevant report, transaction, receipt and case while retaining useful context.</w:t>
      </w:r>
    </w:p>
    <w:p>
      <w:r>
        <w:rPr>
          <w:b/>
        </w:rPr>
        <w:t xml:space="preserve">Business value  </w:t>
      </w:r>
      <w:r>
        <w:t>Reduces time spent switching tools and makes supporting evidence easier to interpret.</w:t>
      </w:r>
    </w:p>
    <w:p>
      <w:r>
        <w:rPr>
          <w:b/>
        </w:rPr>
        <w:t xml:space="preserve">Delivery outcome  </w:t>
      </w:r>
      <w:r>
        <w:t>Validate receipt reconstruction against source data and demonstrate a complete investigation journey without losing filters or access restrictions.</w:t>
      </w:r>
    </w:p>
    <w:p>
      <w:r>
        <w:br w:type="page"/>
      </w:r>
    </w:p>
    <w:p>
      <w:pPr>
        <w:pStyle w:val="Heading1"/>
      </w:pPr>
      <w:r>
        <w:t>12  Further development for analytical insight</w:t>
      </w:r>
    </w:p>
    <w:p>
      <w:pPr>
        <w:pStyle w:val="Heading2"/>
      </w:pPr>
      <w:r>
        <w:t>N04  Summarise activity while preserving detail</w:t>
      </w:r>
    </w:p>
    <w:p>
      <w:r>
        <w:rPr>
          <w:b/>
        </w:rPr>
        <w:t xml:space="preserve">Product areas  </w:t>
      </w:r>
      <w:r>
        <w:t>Summarised data views, reports, dashboards and drill-through.</w:t>
      </w:r>
    </w:p>
    <w:p>
      <w:r>
        <w:rPr>
          <w:b/>
        </w:rPr>
        <w:t xml:space="preserve">Completeness  </w:t>
      </w:r>
      <w:r>
        <w:t>Planned extension of existing reporting and aggregation.</w:t>
      </w:r>
    </w:p>
    <w:p>
      <w:r>
        <w:rPr>
          <w:b/>
        </w:rPr>
        <w:t xml:space="preserve">Business requirement  </w:t>
      </w:r>
      <w:r>
        <w:t>Allow users to identify important patterns quickly and then inspect their supporting transactions.</w:t>
      </w:r>
    </w:p>
    <w:p>
      <w:r>
        <w:rPr>
          <w:b/>
        </w:rPr>
        <w:t xml:space="preserve">How it will work  </w:t>
      </w:r>
      <w:r>
        <w:t>Summarised views will group detailed activity into useful measures at an appropriate business level. Users can move from the summary into the records that explain it.</w:t>
      </w:r>
    </w:p>
    <w:p>
      <w:r>
        <w:rPr>
          <w:b/>
        </w:rPr>
        <w:t xml:space="preserve">Business value  </w:t>
      </w:r>
      <w:r>
        <w:t>Makes large datasets easier to prioritise and supports a consistent overview for management.</w:t>
      </w:r>
    </w:p>
    <w:p>
      <w:r>
        <w:rPr>
          <w:b/>
        </w:rPr>
        <w:t xml:space="preserve">Delivery outcome  </w:t>
      </w:r>
      <w:r>
        <w:t>Agree the measures and refresh behavior, reconcile summaries with their details and validate the drill-through experience.</w:t>
      </w:r>
    </w:p>
    <w:p>
      <w:pPr>
        <w:pStyle w:val="Heading2"/>
      </w:pPr>
      <w:r>
        <w:t>N05  Develop behavioural and similarity based signals</w:t>
      </w:r>
    </w:p>
    <w:p>
      <w:r>
        <w:rPr>
          <w:b/>
        </w:rPr>
        <w:t xml:space="preserve">Product areas  </w:t>
      </w:r>
      <w:r>
        <w:t>Data-distance analysis, KNN validation, behavioural profiles and investigation results.</w:t>
      </w:r>
    </w:p>
    <w:p>
      <w:r>
        <w:rPr>
          <w:b/>
        </w:rPr>
        <w:t xml:space="preserve">Completeness  </w:t>
      </w:r>
      <w:r>
        <w:t>Existing distance analysis provides a starting point. Further KNN validation and behavioural profiling remain roadmap work.</w:t>
      </w:r>
    </w:p>
    <w:p>
      <w:r>
        <w:rPr>
          <w:b/>
        </w:rPr>
        <w:t xml:space="preserve">Business requirement  </w:t>
      </w:r>
      <w:r>
        <w:t>Identify unusual patterns that may not be captured by fixed business thresholds.</w:t>
      </w:r>
    </w:p>
    <w:p>
      <w:r>
        <w:rPr>
          <w:b/>
        </w:rPr>
        <w:t xml:space="preserve">How it will work  </w:t>
      </w:r>
      <w:r>
        <w:t>Validate nearest-neighbour techniques against representative data and expected examples. Behavioural profiles can compare activity with an entity’s history or a relevant peer group, subject to an agreed design.</w:t>
      </w:r>
    </w:p>
    <w:p>
      <w:r>
        <w:rPr>
          <w:b/>
        </w:rPr>
        <w:t xml:space="preserve">Business value  </w:t>
      </w:r>
      <w:r>
        <w:t>May help analysts recognise less obvious changes or outliers and decide where further review is useful.</w:t>
      </w:r>
    </w:p>
    <w:p>
      <w:r>
        <w:rPr>
          <w:b/>
        </w:rPr>
        <w:t xml:space="preserve">Delivery outcome  </w:t>
      </w:r>
      <w:r>
        <w:t>Demonstrate understandable signals and assess false positives with users. Compare usefulness against existing methods before making claims about improved detection.</w:t>
      </w:r>
    </w:p>
    <w:p>
      <w:pPr>
        <w:pStyle w:val="Heading2"/>
      </w:pPr>
      <w:r>
        <w:t>N06  Generate role specific dashboards with AI assistance</w:t>
      </w:r>
    </w:p>
    <w:p>
      <w:r>
        <w:rPr>
          <w:b/>
        </w:rPr>
        <w:t xml:space="preserve">Product areas  </w:t>
      </w:r>
      <w:r>
        <w:t>AI assistance, dashboard design, reporting definitions and role-specific views.</w:t>
      </w:r>
    </w:p>
    <w:p>
      <w:r>
        <w:rPr>
          <w:b/>
        </w:rPr>
        <w:t xml:space="preserve">Completeness  </w:t>
      </w:r>
      <w:r>
        <w:t>Planned capability, extending the MVP assisted-report foundations.</w:t>
      </w:r>
    </w:p>
    <w:p>
      <w:r>
        <w:rPr>
          <w:b/>
        </w:rPr>
        <w:t xml:space="preserve">Business requirement  </w:t>
      </w:r>
      <w:r>
        <w:t>Reduce the time needed to create a useful overview for a particular business role.</w:t>
      </w:r>
    </w:p>
    <w:p>
      <w:r>
        <w:rPr>
          <w:b/>
        </w:rPr>
        <w:t xml:space="preserve">How it will work  </w:t>
      </w:r>
      <w:r>
        <w:t>Users will request a dashboard appropriate to an executive, regional or store-level view. The system will propose editable measures and visual components using authorised data and agreed reporting definitions.</w:t>
      </w:r>
    </w:p>
    <w:p>
      <w:r>
        <w:rPr>
          <w:b/>
        </w:rPr>
        <w:t xml:space="preserve">Business value  </w:t>
      </w:r>
      <w:r>
        <w:t>Can shorten initial dashboard setup while keeping the result adaptable to the person using it.</w:t>
      </w:r>
    </w:p>
    <w:p>
      <w:r>
        <w:rPr>
          <w:b/>
        </w:rPr>
        <w:t xml:space="preserve">Delivery outcome  </w:t>
      </w:r>
      <w:r>
        <w:t>Agree the supported dashboard types, validate the generated measures and permissions, and keep users able to inspect and edit the result.</w:t>
      </w:r>
    </w:p>
    <w:p>
      <w:pPr>
        <w:pStyle w:val="Heading2"/>
      </w:pPr>
      <w:r>
        <w:t>Business direction</w:t>
      </w:r>
    </w:p>
    <w:p>
      <w:r>
        <w:t>The progression is from transaction analysis in the MVP, to easier customer operation in the initial roadmap, then to connected investigations and richer insight. Each stage should demonstrate a useful user outcome before broader functionality is added.</w:t>
      </w: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1909" w:h="16834"/>
      <w:pgMar w:top="1138" w:right="1037" w:bottom="1051" w:left="1037" w:header="504" w:footer="56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Arial" w:hAnsi="Arial"/>
        <w:sz w:val="16"/>
      </w:rPr>
      <w:t xml:space="preserve">Loss Prevention  |  13 October 2026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20" w:line="259" w:lineRule="auto"/>
    </w:pPr>
    <w:rPr>
      <w:rFonts w:ascii="Arial" w:hAnsi="Arial" w:eastAsia="Arial" w:cs="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color w:val="000000"/>
    </w:rPr>
  </w:style>
  <w:style w:type="character" w:customStyle="1" w:styleId="HeaderChar">
    <w:name w:val="Header Char"/>
    <w:basedOn w:val="DefaultParagraphFont"/>
    <w:link w:val="Header"/>
    <w:uiPriority w:val="99"/>
    <w:rsid w:val="00E618BF"/>
    <w:rPr>
      <w:rFonts w:ascii="Arial" w:hAnsi="Arial" w:eastAsia="Arial" w:cs="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color w:val="000000"/>
    </w:rPr>
  </w:style>
  <w:style w:type="character" w:customStyle="1" w:styleId="FooterChar">
    <w:name w:val="Footer Char"/>
    <w:basedOn w:val="DefaultParagraphFont"/>
    <w:link w:val="Footer"/>
    <w:uiPriority w:val="99"/>
    <w:rsid w:val="00E618BF"/>
    <w:rPr>
      <w:rFonts w:ascii="Arial" w:hAnsi="Arial" w:eastAsia="Arial" w:cs="Arial"/>
    </w:rPr>
  </w:style>
  <w:style w:type="paragraph" w:styleId="Heading1">
    <w:name w:val="heading 1"/>
    <w:basedOn w:val="Normal"/>
    <w:next w:val="Normal"/>
    <w:link w:val="Heading1Char"/>
    <w:uiPriority w:val="9"/>
    <w:qFormat/>
    <w:rsid w:val="00FC693F"/>
    <w:pPr>
      <w:keepNext/>
      <w:keepLines/>
      <w:spacing w:before="200" w:after="120"/>
      <w:outlineLvl w:val="0"/>
    </w:pPr>
    <w:rPr>
      <w:rFonts w:ascii="Arial" w:hAnsi="Arial" w:eastAsia="Arial" w:cs="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Arial" w:hAnsi="Arial" w:eastAsia="Arial" w:cs="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Arial" w:hAnsi="Arial" w:eastAsia="Arial" w:cs="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i/>
      <w:iCs/>
      <w:color w:val="000000"/>
      <w:sz w:val="20"/>
      <w:szCs w:val="20"/>
    </w:rPr>
  </w:style>
  <w:style w:type="character" w:default="1" w:styleId="DefaultParagraphFont">
    <w:name w:val="Default Paragraph Font"/>
    <w:uiPriority w:val="1"/>
    <w:semiHidden/>
    <w:unhideWhenUsed/>
    <w:rPr>
      <w:rFonts w:ascii="Arial" w:hAnsi="Arial" w:eastAsia="Arial" w:cs="Arial"/>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cs="Arial"/>
      <w:color w:val="000000"/>
    </w:rPr>
  </w:style>
  <w:style w:type="character" w:customStyle="1" w:styleId="Heading1Char">
    <w:name w:val="Heading 1 Char"/>
    <w:basedOn w:val="DefaultParagraphFont"/>
    <w:link w:val="Heading1"/>
    <w:uiPriority w:val="9"/>
    <w:rsid w:val="00FC693F"/>
    <w:rPr>
      <w:rFonts w:ascii="Arial" w:hAnsi="Arial" w:eastAsia="Arial" w:cs="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eastAsia="Arial" w:cs="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eastAsia="Arial" w:cs="Arial"/>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Arial" w:hAnsi="Arial" w:eastAsia="Arial" w:cs="Arial"/>
      <w:b/>
      <w:color w:val="000000"/>
      <w:spacing w:val="5"/>
      <w:kern w:val="28"/>
      <w:sz w:val="56"/>
      <w:szCs w:val="52"/>
    </w:rPr>
  </w:style>
  <w:style w:type="character" w:customStyle="1" w:styleId="TitleChar">
    <w:name w:val="Title Char"/>
    <w:basedOn w:val="DefaultParagraphFont"/>
    <w:link w:val="Title"/>
    <w:uiPriority w:val="10"/>
    <w:rsid w:val="00FC693F"/>
    <w:rPr>
      <w:rFonts w:ascii="Arial" w:hAnsi="Arial" w:eastAsia="Arial" w:cs="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20"/>
    </w:pPr>
    <w:rPr>
      <w:rFonts w:ascii="Arial" w:hAnsi="Arial" w:eastAsia="Arial" w:cs="Arial"/>
      <w:i/>
      <w:iCs/>
      <w:color w:val="000000"/>
      <w:spacing w:val="15"/>
      <w:sz w:val="24"/>
      <w:szCs w:val="24"/>
    </w:rPr>
  </w:style>
  <w:style w:type="character" w:customStyle="1" w:styleId="SubtitleChar">
    <w:name w:val="Subtitle Char"/>
    <w:basedOn w:val="DefaultParagraphFont"/>
    <w:link w:val="Subtitle"/>
    <w:uiPriority w:val="11"/>
    <w:rsid w:val="00FC693F"/>
    <w:rPr>
      <w:rFonts w:ascii="Arial" w:hAnsi="Arial" w:eastAsia="Arial" w:cs="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cs="Arial"/>
      <w:color w:val="000000"/>
    </w:rPr>
  </w:style>
  <w:style w:type="paragraph" w:styleId="BodyText">
    <w:name w:val="Body Text"/>
    <w:basedOn w:val="Normal"/>
    <w:link w:val="BodyTextChar"/>
    <w:uiPriority w:val="99"/>
    <w:unhideWhenUsed/>
    <w:rsid w:val="00AA1D8D"/>
    <w:pPr>
      <w:spacing w:after="120"/>
    </w:pPr>
    <w:rPr>
      <w:rFonts w:ascii="Arial" w:hAnsi="Arial" w:eastAsia="Arial" w:cs="Arial"/>
      <w:color w:val="000000"/>
    </w:rPr>
  </w:style>
  <w:style w:type="character" w:customStyle="1" w:styleId="BodyTextChar">
    <w:name w:val="Body Text Char"/>
    <w:basedOn w:val="DefaultParagraphFont"/>
    <w:link w:val="BodyText"/>
    <w:uiPriority w:val="99"/>
    <w:rsid w:val="00AA1D8D"/>
    <w:rPr>
      <w:rFonts w:ascii="Arial" w:hAnsi="Arial" w:eastAsia="Arial" w:cs="Arial"/>
    </w:rPr>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color w:val="000000"/>
    </w:rPr>
  </w:style>
  <w:style w:type="character" w:customStyle="1" w:styleId="BodyText2Char">
    <w:name w:val="Body Text 2 Char"/>
    <w:basedOn w:val="DefaultParagraphFont"/>
    <w:link w:val="BodyText2"/>
    <w:uiPriority w:val="99"/>
    <w:rsid w:val="00AA1D8D"/>
    <w:rPr>
      <w:rFonts w:ascii="Arial" w:hAnsi="Arial" w:eastAsia="Arial" w:cs="Arial"/>
    </w:rPr>
  </w:style>
  <w:style w:type="paragraph" w:styleId="BodyText3">
    <w:name w:val="Body Text 3"/>
    <w:basedOn w:val="Normal"/>
    <w:link w:val="BodyText3Char"/>
    <w:uiPriority w:val="99"/>
    <w:unhideWhenUsed/>
    <w:rsid w:val="00AA1D8D"/>
    <w:pPr>
      <w:spacing w:after="120"/>
    </w:pPr>
    <w:rPr>
      <w:rFonts w:ascii="Arial" w:hAnsi="Arial" w:eastAsia="Arial" w:cs="Arial"/>
      <w:color w:val="000000"/>
      <w:sz w:val="16"/>
      <w:szCs w:val="16"/>
    </w:rPr>
  </w:style>
  <w:style w:type="character" w:customStyle="1" w:styleId="BodyText3Char">
    <w:name w:val="Body Text 3 Char"/>
    <w:basedOn w:val="DefaultParagraphFont"/>
    <w:link w:val="BodyText3"/>
    <w:uiPriority w:val="99"/>
    <w:rsid w:val="00AA1D8D"/>
    <w:rPr>
      <w:rFonts w:ascii="Arial" w:hAnsi="Arial" w:eastAsia="Arial" w:cs="Arial"/>
      <w:sz w:val="16"/>
      <w:szCs w:val="16"/>
    </w:rPr>
  </w:style>
  <w:style w:type="paragraph" w:styleId="List">
    <w:name w:val="List"/>
    <w:basedOn w:val="Normal"/>
    <w:uiPriority w:val="99"/>
    <w:unhideWhenUsed/>
    <w:rsid w:val="00AA1D8D"/>
    <w:pPr>
      <w:ind w:left="360" w:hanging="360"/>
      <w:contextualSpacing/>
    </w:pPr>
    <w:rPr>
      <w:rFonts w:ascii="Arial" w:hAnsi="Arial" w:eastAsia="Arial" w:cs="Arial"/>
      <w:color w:val="000000"/>
    </w:rPr>
  </w:style>
  <w:style w:type="paragraph" w:styleId="List2">
    <w:name w:val="List 2"/>
    <w:basedOn w:val="Normal"/>
    <w:uiPriority w:val="99"/>
    <w:unhideWhenUsed/>
    <w:rsid w:val="00326F90"/>
    <w:pPr>
      <w:ind w:left="720" w:hanging="360"/>
      <w:contextualSpacing/>
    </w:pPr>
    <w:rPr>
      <w:rFonts w:ascii="Arial" w:hAnsi="Arial" w:eastAsia="Arial" w:cs="Arial"/>
      <w:color w:val="000000"/>
    </w:rPr>
  </w:style>
  <w:style w:type="paragraph" w:styleId="List3">
    <w:name w:val="List 3"/>
    <w:basedOn w:val="Normal"/>
    <w:uiPriority w:val="99"/>
    <w:unhideWhenUsed/>
    <w:rsid w:val="00326F90"/>
    <w:pPr>
      <w:ind w:left="1080" w:hanging="360"/>
      <w:contextualSpacing/>
    </w:pPr>
    <w:rPr>
      <w:rFonts w:ascii="Arial" w:hAnsi="Arial" w:eastAsia="Arial" w:cs="Arial"/>
      <w:color w:val="000000"/>
    </w:rPr>
  </w:style>
  <w:style w:type="paragraph" w:styleId="ListBullet">
    <w:name w:val="List Bullet"/>
    <w:basedOn w:val="Normal"/>
    <w:uiPriority w:val="99"/>
    <w:unhideWhenUsed/>
    <w:rsid w:val="00326F90"/>
    <w:pPr>
      <w:numPr>
        <w:numId w:val="1"/>
      </w:numPr>
      <w:contextualSpacing/>
    </w:pPr>
    <w:rPr>
      <w:rFonts w:ascii="Arial" w:hAnsi="Arial" w:eastAsia="Arial" w:cs="Arial"/>
      <w:color w:val="000000"/>
    </w:rPr>
  </w:style>
  <w:style w:type="paragraph" w:styleId="ListBullet2">
    <w:name w:val="List Bullet 2"/>
    <w:basedOn w:val="Normal"/>
    <w:uiPriority w:val="99"/>
    <w:unhideWhenUsed/>
    <w:rsid w:val="00326F90"/>
    <w:pPr>
      <w:numPr>
        <w:numId w:val="2"/>
      </w:numPr>
      <w:contextualSpacing/>
    </w:pPr>
    <w:rPr>
      <w:rFonts w:ascii="Arial" w:hAnsi="Arial" w:eastAsia="Arial" w:cs="Arial"/>
      <w:color w:val="000000"/>
    </w:rPr>
  </w:style>
  <w:style w:type="paragraph" w:styleId="ListBullet3">
    <w:name w:val="List Bullet 3"/>
    <w:basedOn w:val="Normal"/>
    <w:uiPriority w:val="99"/>
    <w:unhideWhenUsed/>
    <w:rsid w:val="00326F90"/>
    <w:pPr>
      <w:numPr>
        <w:numId w:val="3"/>
      </w:numPr>
      <w:contextualSpacing/>
    </w:pPr>
    <w:rPr>
      <w:rFonts w:ascii="Arial" w:hAnsi="Arial" w:eastAsia="Arial" w:cs="Arial"/>
      <w:color w:val="000000"/>
    </w:rPr>
  </w:style>
  <w:style w:type="paragraph" w:styleId="ListNumber">
    <w:name w:val="List Number"/>
    <w:basedOn w:val="Normal"/>
    <w:uiPriority w:val="99"/>
    <w:unhideWhenUsed/>
    <w:rsid w:val="00326F90"/>
    <w:pPr>
      <w:numPr>
        <w:numId w:val="5"/>
      </w:numPr>
      <w:contextualSpacing/>
    </w:pPr>
    <w:rPr>
      <w:rFonts w:ascii="Arial" w:hAnsi="Arial" w:eastAsia="Arial" w:cs="Arial"/>
      <w:color w:val="000000"/>
    </w:rPr>
  </w:style>
  <w:style w:type="paragraph" w:styleId="ListNumber2">
    <w:name w:val="List Number 2"/>
    <w:basedOn w:val="Normal"/>
    <w:uiPriority w:val="99"/>
    <w:unhideWhenUsed/>
    <w:rsid w:val="0029639D"/>
    <w:pPr>
      <w:numPr>
        <w:numId w:val="6"/>
      </w:numPr>
      <w:contextualSpacing/>
    </w:pPr>
    <w:rPr>
      <w:rFonts w:ascii="Arial" w:hAnsi="Arial" w:eastAsia="Arial" w:cs="Arial"/>
      <w:color w:val="000000"/>
    </w:rPr>
  </w:style>
  <w:style w:type="paragraph" w:styleId="ListNumber3">
    <w:name w:val="List Number 3"/>
    <w:basedOn w:val="Normal"/>
    <w:uiPriority w:val="99"/>
    <w:unhideWhenUsed/>
    <w:rsid w:val="0029639D"/>
    <w:pPr>
      <w:numPr>
        <w:numId w:val="7"/>
      </w:numPr>
      <w:contextualSpacing/>
    </w:pPr>
    <w:rPr>
      <w:rFonts w:ascii="Arial" w:hAnsi="Arial" w:eastAsia="Arial" w:cs="Arial"/>
      <w:color w:val="000000"/>
    </w:rPr>
  </w:style>
  <w:style w:type="paragraph" w:styleId="ListContinue">
    <w:name w:val="List Continue"/>
    <w:basedOn w:val="Normal"/>
    <w:uiPriority w:val="99"/>
    <w:unhideWhenUsed/>
    <w:rsid w:val="0029639D"/>
    <w:pPr>
      <w:spacing w:after="120"/>
      <w:ind w:left="360"/>
      <w:contextualSpacing/>
    </w:pPr>
    <w:rPr>
      <w:rFonts w:ascii="Arial" w:hAnsi="Arial" w:eastAsia="Arial" w:cs="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color w:val="000000"/>
      <w:sz w:val="20"/>
      <w:szCs w:val="20"/>
    </w:rPr>
  </w:style>
  <w:style w:type="character" w:customStyle="1" w:styleId="MacroTextChar">
    <w:name w:val="Macro Text Char"/>
    <w:basedOn w:val="DefaultParagraphFont"/>
    <w:link w:val="MacroText"/>
    <w:uiPriority w:val="99"/>
    <w:rsid w:val="0029639D"/>
    <w:rPr>
      <w:rFonts w:ascii="Arial" w:hAnsi="Arial" w:eastAsia="Arial" w:cs="Arial"/>
      <w:sz w:val="20"/>
      <w:szCs w:val="20"/>
    </w:rPr>
  </w:style>
  <w:style w:type="paragraph" w:styleId="Quote">
    <w:name w:val="Quote"/>
    <w:basedOn w:val="Normal"/>
    <w:next w:val="Normal"/>
    <w:link w:val="QuoteChar"/>
    <w:uiPriority w:val="29"/>
    <w:qFormat/>
    <w:rsid w:val="00FC693F"/>
    <w:rPr>
      <w:rFonts w:ascii="Arial" w:hAnsi="Arial" w:eastAsia="Arial" w:cs="Arial"/>
      <w:i/>
      <w:iCs/>
      <w:color w:val="000000"/>
    </w:rPr>
  </w:style>
  <w:style w:type="character" w:customStyle="1" w:styleId="QuoteChar">
    <w:name w:val="Quote Char"/>
    <w:basedOn w:val="DefaultParagraphFont"/>
    <w:link w:val="Quote"/>
    <w:uiPriority w:val="29"/>
    <w:rsid w:val="00FC693F"/>
    <w:rPr>
      <w:rFonts w:ascii="Arial" w:hAnsi="Arial" w:eastAsia="Arial" w:cs="Arial"/>
      <w:i/>
      <w:iCs/>
      <w:color w:val="000000" w:themeColor="text1"/>
    </w:rPr>
  </w:style>
  <w:style w:type="character" w:customStyle="1" w:styleId="Heading4Char">
    <w:name w:val="Heading 4 Char"/>
    <w:basedOn w:val="DefaultParagraphFont"/>
    <w:link w:val="Heading4"/>
    <w:uiPriority w:val="9"/>
    <w:semiHidden/>
    <w:rsid w:val="00FC693F"/>
    <w:rPr>
      <w:rFonts w:ascii="Arial" w:hAnsi="Arial" w:eastAsia="Arial" w:cs="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eastAsia="Arial" w:cs="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eastAsia="Arial" w:cs="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eastAsia="Arial" w:cs="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eastAsia="Arial" w:cs="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eastAsia="Arial" w:cs="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bCs/>
      <w:color w:val="000000"/>
      <w:sz w:val="18"/>
      <w:szCs w:val="18"/>
    </w:rPr>
  </w:style>
  <w:style w:type="character" w:styleId="Strong">
    <w:name w:val="Strong"/>
    <w:basedOn w:val="DefaultParagraphFont"/>
    <w:uiPriority w:val="22"/>
    <w:qFormat/>
    <w:rsid w:val="00FC693F"/>
    <w:rPr>
      <w:rFonts w:ascii="Arial" w:hAnsi="Arial" w:eastAsia="Arial" w:cs="Arial"/>
      <w:b/>
      <w:bCs/>
    </w:rPr>
  </w:style>
  <w:style w:type="character" w:styleId="Emphasis">
    <w:name w:val="Emphasis"/>
    <w:basedOn w:val="DefaultParagraphFont"/>
    <w:uiPriority w:val="20"/>
    <w:qFormat/>
    <w:rsid w:val="00FC693F"/>
    <w:rPr>
      <w:rFonts w:ascii="Arial" w:hAnsi="Arial" w:eastAsia="Arial" w:cs="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eastAsia="Arial" w:cs="Arial"/>
      <w:b/>
      <w:bCs/>
      <w:i/>
      <w:iCs/>
      <w:color w:val="000000"/>
    </w:rPr>
  </w:style>
  <w:style w:type="character" w:customStyle="1" w:styleId="IntenseQuoteChar">
    <w:name w:val="Intense Quote Char"/>
    <w:basedOn w:val="DefaultParagraphFont"/>
    <w:link w:val="IntenseQuote"/>
    <w:uiPriority w:val="30"/>
    <w:rsid w:val="00FC693F"/>
    <w:rPr>
      <w:rFonts w:ascii="Arial" w:hAnsi="Arial" w:eastAsia="Arial" w:cs="Arial"/>
      <w:b/>
      <w:bCs/>
      <w:i/>
      <w:iCs/>
      <w:color w:val="4F81BD" w:themeColor="accent1"/>
    </w:rPr>
  </w:style>
  <w:style w:type="character" w:styleId="SubtleEmphasis">
    <w:name w:val="Subtle Emphasis"/>
    <w:basedOn w:val="DefaultParagraphFont"/>
    <w:uiPriority w:val="19"/>
    <w:qFormat/>
    <w:rsid w:val="00FC693F"/>
    <w:rPr>
      <w:rFonts w:ascii="Arial" w:hAnsi="Arial" w:eastAsia="Arial" w:cs="Arial"/>
      <w:i/>
      <w:iCs/>
      <w:color w:val="808080" w:themeColor="text1" w:themeTint="7F"/>
    </w:rPr>
  </w:style>
  <w:style w:type="character" w:styleId="IntenseEmphasis">
    <w:name w:val="Intense Emphasis"/>
    <w:basedOn w:val="DefaultParagraphFont"/>
    <w:uiPriority w:val="21"/>
    <w:qFormat/>
    <w:rsid w:val="00FC693F"/>
    <w:rPr>
      <w:rFonts w:ascii="Arial" w:hAnsi="Arial" w:eastAsia="Arial" w:cs="Arial"/>
      <w:b/>
      <w:bCs/>
      <w:i/>
      <w:iCs/>
      <w:color w:val="4F81BD" w:themeColor="accent1"/>
    </w:rPr>
  </w:style>
  <w:style w:type="character" w:styleId="SubtleReference">
    <w:name w:val="Subtle Reference"/>
    <w:basedOn w:val="DefaultParagraphFont"/>
    <w:uiPriority w:val="31"/>
    <w:qFormat/>
    <w:rsid w:val="00FC693F"/>
    <w:rPr>
      <w:rFonts w:ascii="Arial" w:hAnsi="Arial" w:eastAsia="Arial" w:cs="Arial"/>
      <w:smallCaps/>
      <w:color w:val="C0504D" w:themeColor="accent2"/>
      <w:u w:val="single"/>
    </w:rPr>
  </w:style>
  <w:style w:type="character" w:styleId="IntenseReference">
    <w:name w:val="Intense Reference"/>
    <w:basedOn w:val="DefaultParagraphFont"/>
    <w:uiPriority w:val="32"/>
    <w:qFormat/>
    <w:rsid w:val="00FC693F"/>
    <w:rPr>
      <w:rFonts w:ascii="Arial" w:hAnsi="Arial" w:eastAsia="Arial" w:cs="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eastAsia="Arial" w:cs="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eastAsia="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eastAsia="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eastAsia="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eastAsia="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eastAsia="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eastAsia="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eastAsia="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rial" w:hAnsi="Arial" w:eastAsia="Arial" w:cs="Arial"/>
      <w:b/>
      <w:color w:val="000000"/>
      <w:sz w:val="16"/>
    </w:rPr>
  </w:style>
  <w:style w:type="paragraph" w:customStyle="1" w:styleId="SmallMuted">
    <w:name w:val="SmallMuted"/>
    <w:pPr>
      <w:spacing w:after="60"/>
    </w:pPr>
    <w:rPr>
      <w:rFonts w:ascii="Arial" w:hAnsi="Arial" w:eastAsia="Arial" w:cs="Arial"/>
      <w:b w:val="0"/>
      <w:color w:val="000000"/>
      <w:sz w:val="16"/>
    </w:rPr>
  </w:style>
  <w:style w:type="paragraph" w:customStyle="1" w:styleId="BulletCustom">
    <w:name w:val="BulletCustom"/>
    <w:pPr>
      <w:spacing w:after="60"/>
      <w:ind w:left="259" w:hanging="173"/>
    </w:pPr>
    <w:rPr>
      <w:rFonts w:ascii="Arial" w:hAnsi="Arial" w:eastAsia="Arial" w:cs="Arial"/>
      <w:b w:val="0"/>
      <w:color w:val="000000"/>
      <w:sz w:val="18"/>
    </w:rPr>
  </w:style>
  <w:style w:type="paragraph" w:customStyle="1" w:styleId="CellBullet">
    <w:name w:val="CellBullet"/>
    <w:pPr>
      <w:spacing w:after="60"/>
      <w:ind w:left="202" w:hanging="144"/>
    </w:pPr>
    <w:rPr>
      <w:rFonts w:ascii="Arial" w:hAnsi="Arial" w:eastAsia="Arial" w:cs="Arial"/>
      <w:b w:val="0"/>
      <w:color w:val="00000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Loss Prevention business requirements and functionality</dc:title>
  <dc:subject>MVP delivery and product roadmap</dc:subject>
  <dc:creator/>
  <cp:keywords/>
  <dc:description/>
  <cp:lastModifiedBy/>
  <cp:revision>1</cp:revision>
  <dcterms:created xsi:type="dcterms:W3CDTF">2013-12-23T23:15:00Z</dcterms:created>
  <dcterms:modified xsi:type="dcterms:W3CDTF">2013-12-23T23:15:00Z</dcterms:modified>
  <cp:category/>
  <cp:version>4.0</cp:version>
</cp:coreProperties>
</file>