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 Model Releases - Past 12 Months (July 2025 - July 2026)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Model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Provider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Release Date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Knowledge Cutoff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Token Costs (Input/Output per M)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Context Window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Model Type</w:t>
            </w:r>
          </w:p>
        </w:tc>
        <w:tc>
          <w:tcPr>
            <w:tcW w:type="pct" w:w="12.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Usage Reasoning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Claude Sonnet 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Anthropic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June 30,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April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$2/$10 intro, $3/$15 after Aug 31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General/Agentic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Multimodal reasoning, complex task completion, default model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GPT-5.5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OpenAI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April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April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$5/$30 (cached: $0.50 input)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General/Flagship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High-accuracy reasoning, reduced hallucination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GPT-5.4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OpenAI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March 5,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March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$2.50/$15 (cached: $0.50)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General/Production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Cost-effective, production workhorse, multimodal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Gemini 3.5 Flash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Google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May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May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$0.75/$4.50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Fast/Efficient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Speed-optimized multimodal, consumer default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OpenAI o3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OpenAI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April 16,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April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$2/$8 (cached: $0.50)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200K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Reasoning Model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Multi-step problems, math/science/coding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Mistral Large 3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Mistral AI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December 2,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Dec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Open-weight (self-hosted)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262K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Open-Weight/MoE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Multilingual, frontier-scale with MoE efficiency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DeepSeek R1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DeepSeek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January 20,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Jan 2025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$0.70/$2.50 standard rates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128K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Reasoning Model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Math/code/reasoning, cost-effective, MIT license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Qwen 3.6 Plus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Alibaba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March 31,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March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$0.325/$1.95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Open-Weight/Reasoning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Science reasoning, strong multilingual, budget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Grok 4.3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xAI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June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June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$1.25/$2.50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1M tokens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General/Reasoning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Real-time reasoning, X integration, multimodal</w:t>
            </w:r>
          </w:p>
        </w:tc>
      </w:tr>
      <w:tr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Claude Opus 4.6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Anthropic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Q1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Feb 2026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$15/$25 (enterprise)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200K/1M (enterprise)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Flagship/Reasoning</w:t>
            </w:r>
          </w:p>
        </w:tc>
        <w:tc>
          <w:tcPr>
            <w:tcW w:type="pct" w:w="12.5%"/>
            <w:tcMar>
              <w:top w:type="dxa" w:w="50"/>
              <w:left w:type="dxa" w:w="50"/>
              <w:bottom w:type="dxa" w:w="50"/>
              <w:right w:type="dxa" w:w="50"/>
            </w:tcMar>
            <w:vAlign w:val="top"/>
          </w:tcPr>
          <w:p>
            <w:r>
              <w:t xml:space="preserve">Highest reasoning, enterprise agentic workflows</w:t>
            </w:r>
          </w:p>
        </w:tc>
      </w:tr>
    </w:tbl>
    <w:p/>
    <w:p>
      <w:r>
        <w:t xml:space="preserve">Note: Pricing as of June-July 2026. All context windows in native tokens. Costs include cached input pricing at 50-90% discount where applicable. Multimodal models support text, images, video, or audio.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2026-07-18T08:52:42.394Z</dcterms:created>
  <dcterms:modified xsi:type="dcterms:W3CDTF">2026-07-18T08:52:42.423Z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