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Fair Comparison Report</w:t>
      </w:r>
    </w:p>
    <w:p>
      <w:pPr>
        <w:jc w:val="center"/>
      </w:pPr>
      <w:r>
        <w:rPr>
          <w:color w:val="555555"/>
          <w:sz w:val="26"/>
        </w:rPr>
        <w:t>Both answer sets judged by the same model: Groq llama-3.3-70b-versatile</w:t>
      </w:r>
    </w:p>
    <w:p/>
    <w:p>
      <w:pPr>
        <w:pStyle w:val="Heading1"/>
      </w:pPr>
      <w:r>
        <w:rPr>
          <w:color w:val="1A1A2E"/>
        </w:rPr>
        <w:t>1. Approach</w:t>
      </w:r>
    </w:p>
    <w:p>
      <w:r>
        <w:t>The original evaluation used each model as both generator and judge, making comparison unfair. In this fair comparison, we keep the original generated answers from both Ollama and Groq, but re-evaluate ALL answers using the same judge: Groq's llama-3.3-70b-versatile (70B parameters). This isolates the answer quality from the judge quality.</w:t>
      </w:r>
    </w:p>
    <w:p>
      <w:pPr>
        <w:pStyle w:val="Heading1"/>
      </w:pPr>
      <w:r>
        <w:rPr>
          <w:color w:val="1A1A2E"/>
        </w:rPr>
        <w:t>2. Overall Results (Same Judge)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Metric</w:t>
            </w:r>
          </w:p>
        </w:tc>
        <w:tc>
          <w:tcPr>
            <w:tcW w:type="dxa" w:w="2160"/>
          </w:tcPr>
          <w:p>
            <w:pPr>
              <w:jc w:val="center"/>
            </w:pPr>
            <w:r>
              <w:rPr>
                <w:b/>
                <w:sz w:val="20"/>
              </w:rPr>
              <w:t>Ollama Answers</w:t>
            </w:r>
          </w:p>
        </w:tc>
        <w:tc>
          <w:tcPr>
            <w:tcW w:type="dxa" w:w="2160"/>
          </w:tcPr>
          <w:p>
            <w:pPr>
              <w:jc w:val="center"/>
            </w:pPr>
            <w:r>
              <w:rPr>
                <w:b/>
                <w:sz w:val="20"/>
              </w:rPr>
              <w:t>Groq Answers</w:t>
            </w:r>
          </w:p>
        </w:tc>
        <w:tc>
          <w:tcPr>
            <w:tcW w:type="dxa" w:w="2160"/>
          </w:tcPr>
          <w:p>
            <w:pPr>
              <w:jc w:val="center"/>
            </w:pPr>
            <w:r>
              <w:rPr>
                <w:b/>
                <w:sz w:val="20"/>
              </w:rPr>
              <w:t>Difference</w:t>
            </w:r>
          </w:p>
        </w:tc>
      </w:tr>
      <w:tr>
        <w:tc>
          <w:tcPr>
            <w:tcW w:type="dxa" w:w="2160"/>
          </w:tcPr>
          <w:p>
            <w:pPr>
              <w:jc w:val="center"/>
            </w:pPr>
            <w:r>
              <w:rPr>
                <w:sz w:val="20"/>
              </w:rPr>
              <w:t>Faithfulness</w:t>
            </w:r>
          </w:p>
        </w:tc>
        <w:tc>
          <w:tcPr>
            <w:tcW w:type="dxa" w:w="2160"/>
          </w:tcPr>
          <w:p>
            <w:pPr>
              <w:jc w:val="center"/>
            </w:pPr>
            <w:r>
              <w:rPr>
                <w:sz w:val="20"/>
              </w:rPr>
              <w:t>80.0%</w:t>
            </w:r>
          </w:p>
        </w:tc>
        <w:tc>
          <w:tcPr>
            <w:tcW w:type="dxa" w:w="2160"/>
          </w:tcPr>
          <w:p>
            <w:pPr>
              <w:jc w:val="center"/>
            </w:pPr>
            <w:r>
              <w:rPr>
                <w:sz w:val="20"/>
              </w:rPr>
              <w:t>100.0%</w:t>
            </w:r>
          </w:p>
        </w:tc>
        <w:tc>
          <w:tcPr>
            <w:tcW w:type="dxa" w:w="2160"/>
          </w:tcPr>
          <w:p>
            <w:pPr>
              <w:jc w:val="center"/>
            </w:pPr>
            <w:r>
              <w:rPr>
                <w:sz w:val="20"/>
              </w:rPr>
              <w:t>+20.0%</w:t>
            </w:r>
          </w:p>
        </w:tc>
      </w:tr>
      <w:tr>
        <w:tc>
          <w:tcPr>
            <w:tcW w:type="dxa" w:w="2160"/>
          </w:tcPr>
          <w:p>
            <w:pPr>
              <w:jc w:val="center"/>
            </w:pPr>
            <w:r>
              <w:rPr>
                <w:sz w:val="20"/>
              </w:rPr>
              <w:t>Context Recall</w:t>
            </w:r>
          </w:p>
        </w:tc>
        <w:tc>
          <w:tcPr>
            <w:tcW w:type="dxa" w:w="2160"/>
          </w:tcPr>
          <w:p>
            <w:pPr>
              <w:jc w:val="center"/>
            </w:pPr>
            <w:r>
              <w:rPr>
                <w:sz w:val="20"/>
              </w:rPr>
              <w:t>100.0%</w:t>
            </w:r>
          </w:p>
        </w:tc>
        <w:tc>
          <w:tcPr>
            <w:tcW w:type="dxa" w:w="2160"/>
          </w:tcPr>
          <w:p>
            <w:pPr>
              <w:jc w:val="center"/>
            </w:pPr>
            <w:r>
              <w:rPr>
                <w:sz w:val="20"/>
              </w:rPr>
              <w:t>100.0%</w:t>
            </w:r>
          </w:p>
        </w:tc>
        <w:tc>
          <w:tcPr>
            <w:tcW w:type="dxa" w:w="2160"/>
          </w:tcPr>
          <w:p>
            <w:pPr>
              <w:jc w:val="center"/>
            </w:pPr>
            <w:r>
              <w:rPr>
                <w:sz w:val="20"/>
              </w:rPr>
              <w:t>+0.0%</w:t>
            </w:r>
          </w:p>
        </w:tc>
      </w:tr>
      <w:tr>
        <w:tc>
          <w:tcPr>
            <w:tcW w:type="dxa" w:w="2160"/>
          </w:tcPr>
          <w:p>
            <w:pPr>
              <w:jc w:val="center"/>
            </w:pPr>
            <w:r>
              <w:rPr>
                <w:sz w:val="20"/>
              </w:rPr>
              <w:t>BLEU Score</w:t>
            </w:r>
          </w:p>
        </w:tc>
        <w:tc>
          <w:tcPr>
            <w:tcW w:type="dxa" w:w="2160"/>
          </w:tcPr>
          <w:p>
            <w:pPr>
              <w:jc w:val="center"/>
            </w:pPr>
            <w:r>
              <w:rPr>
                <w:sz w:val="20"/>
              </w:rPr>
              <w:t>46.8%</w:t>
            </w:r>
          </w:p>
        </w:tc>
        <w:tc>
          <w:tcPr>
            <w:tcW w:type="dxa" w:w="2160"/>
          </w:tcPr>
          <w:p>
            <w:pPr>
              <w:jc w:val="center"/>
            </w:pPr>
            <w:r>
              <w:rPr>
                <w:sz w:val="20"/>
              </w:rPr>
              <w:t>62.9%</w:t>
            </w:r>
          </w:p>
        </w:tc>
        <w:tc>
          <w:tcPr>
            <w:tcW w:type="dxa" w:w="2160"/>
          </w:tcPr>
          <w:p>
            <w:pPr>
              <w:jc w:val="center"/>
            </w:pPr>
            <w:r>
              <w:rPr>
                <w:sz w:val="20"/>
              </w:rPr>
              <w:t>+16.0%</w:t>
            </w:r>
          </w:p>
        </w:tc>
      </w:tr>
    </w:tbl>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chart_fair_overall.png"/>
                    <pic:cNvPicPr/>
                  </pic:nvPicPr>
                  <pic:blipFill>
                    <a:blip r:embed="rId9"/>
                    <a:stretch>
                      <a:fillRect/>
                    </a:stretch>
                  </pic:blipFill>
                  <pic:spPr>
                    <a:xfrm>
                      <a:off x="0" y="0"/>
                      <a:ext cx="5029200" cy="3143250"/>
                    </a:xfrm>
                    <a:prstGeom prst="rect"/>
                  </pic:spPr>
                </pic:pic>
              </a:graphicData>
            </a:graphic>
          </wp:inline>
        </w:drawing>
      </w:r>
    </w:p>
    <w:p/>
    <w:p>
      <w:pPr>
        <w:pStyle w:val="Heading1"/>
      </w:pPr>
      <w:r>
        <w:rPr>
          <w:color w:val="1A1A2E"/>
        </w:rPr>
        <w:t>3. What This Tells Us</w:t>
      </w:r>
    </w:p>
    <w:p>
      <w:r>
        <w:t>With the same judge model evaluating both sets of answers, we can now see the true difference in answer quality between the 3B and 70B generation models, free from judge bias.</w:t>
      </w:r>
    </w:p>
    <w:p>
      <w:r>
        <w:t>The BLEU scores remain unchanged since they are purely algorithmic. The faithfulness and context recall scores now reflect actual answer quality differences rather than judge capability differences.</w:t>
      </w:r>
    </w:p>
    <w:p>
      <w:pPr>
        <w:pStyle w:val="Heading1"/>
      </w:pPr>
      <w:r>
        <w:rPr>
          <w:color w:val="1A1A2E"/>
        </w:rPr>
        <w:t>4. Original vs Fair Comparison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Metric</w:t>
            </w:r>
          </w:p>
        </w:tc>
        <w:tc>
          <w:tcPr>
            <w:tcW w:type="dxa" w:w="2160"/>
          </w:tcPr>
          <w:p>
            <w:pPr>
              <w:jc w:val="center"/>
            </w:pPr>
            <w:r>
              <w:rPr>
                <w:b/>
                <w:sz w:val="20"/>
              </w:rPr>
              <w:t>Ollama (self-judged)</w:t>
            </w:r>
          </w:p>
        </w:tc>
        <w:tc>
          <w:tcPr>
            <w:tcW w:type="dxa" w:w="2160"/>
          </w:tcPr>
          <w:p>
            <w:pPr>
              <w:jc w:val="center"/>
            </w:pPr>
            <w:r>
              <w:rPr>
                <w:b/>
                <w:sz w:val="20"/>
              </w:rPr>
              <w:t>Ollama (Groq-judged)</w:t>
            </w:r>
          </w:p>
        </w:tc>
        <w:tc>
          <w:tcPr>
            <w:tcW w:type="dxa" w:w="2160"/>
          </w:tcPr>
          <w:p>
            <w:pPr>
              <w:jc w:val="center"/>
            </w:pPr>
            <w:r>
              <w:rPr>
                <w:b/>
                <w:sz w:val="20"/>
              </w:rPr>
              <w:t>Change</w:t>
            </w:r>
          </w:p>
        </w:tc>
      </w:tr>
      <w:tr>
        <w:tc>
          <w:tcPr>
            <w:tcW w:type="dxa" w:w="2160"/>
          </w:tcPr>
          <w:p>
            <w:pPr>
              <w:jc w:val="center"/>
            </w:pPr>
            <w:r>
              <w:rPr>
                <w:sz w:val="20"/>
              </w:rPr>
              <w:t>Faithfulness</w:t>
            </w:r>
          </w:p>
        </w:tc>
        <w:tc>
          <w:tcPr>
            <w:tcW w:type="dxa" w:w="2160"/>
          </w:tcPr>
          <w:p>
            <w:pPr>
              <w:jc w:val="center"/>
            </w:pPr>
            <w:r>
              <w:rPr>
                <w:sz w:val="20"/>
              </w:rPr>
              <w:t>56.6%</w:t>
            </w:r>
          </w:p>
        </w:tc>
        <w:tc>
          <w:tcPr>
            <w:tcW w:type="dxa" w:w="2160"/>
          </w:tcPr>
          <w:p>
            <w:pPr>
              <w:jc w:val="center"/>
            </w:pPr>
            <w:r>
              <w:rPr>
                <w:sz w:val="20"/>
              </w:rPr>
              <w:t>80.0%</w:t>
            </w:r>
          </w:p>
        </w:tc>
        <w:tc>
          <w:tcPr>
            <w:tcW w:type="dxa" w:w="2160"/>
          </w:tcPr>
          <w:p>
            <w:pPr>
              <w:jc w:val="center"/>
            </w:pPr>
            <w:r>
              <w:rPr>
                <w:sz w:val="20"/>
              </w:rPr>
              <w:t>+23.4%</w:t>
            </w:r>
          </w:p>
        </w:tc>
      </w:tr>
      <w:tr>
        <w:tc>
          <w:tcPr>
            <w:tcW w:type="dxa" w:w="2160"/>
          </w:tcPr>
          <w:p>
            <w:pPr>
              <w:jc w:val="center"/>
            </w:pPr>
            <w:r>
              <w:rPr>
                <w:sz w:val="20"/>
              </w:rPr>
              <w:t>Context Recall</w:t>
            </w:r>
          </w:p>
        </w:tc>
        <w:tc>
          <w:tcPr>
            <w:tcW w:type="dxa" w:w="2160"/>
          </w:tcPr>
          <w:p>
            <w:pPr>
              <w:jc w:val="center"/>
            </w:pPr>
            <w:r>
              <w:rPr>
                <w:sz w:val="20"/>
              </w:rPr>
              <w:t>38.6%</w:t>
            </w:r>
          </w:p>
        </w:tc>
        <w:tc>
          <w:tcPr>
            <w:tcW w:type="dxa" w:w="2160"/>
          </w:tcPr>
          <w:p>
            <w:pPr>
              <w:jc w:val="center"/>
            </w:pPr>
            <w:r>
              <w:rPr>
                <w:sz w:val="20"/>
              </w:rPr>
              <w:t>100.0%</w:t>
            </w:r>
          </w:p>
        </w:tc>
        <w:tc>
          <w:tcPr>
            <w:tcW w:type="dxa" w:w="2160"/>
          </w:tcPr>
          <w:p>
            <w:pPr>
              <w:jc w:val="center"/>
            </w:pPr>
            <w:r>
              <w:rPr>
                <w:sz w:val="20"/>
              </w:rPr>
              <w:t>+61.4%</w:t>
            </w:r>
          </w:p>
        </w:tc>
      </w:tr>
      <w:tr>
        <w:tc>
          <w:tcPr>
            <w:tcW w:type="dxa" w:w="2160"/>
          </w:tcPr>
          <w:p>
            <w:pPr>
              <w:jc w:val="center"/>
            </w:pPr>
            <w:r>
              <w:rPr>
                <w:sz w:val="20"/>
              </w:rPr>
              <w:t>BLEU Score</w:t>
            </w:r>
          </w:p>
        </w:tc>
        <w:tc>
          <w:tcPr>
            <w:tcW w:type="dxa" w:w="2160"/>
          </w:tcPr>
          <w:p>
            <w:pPr>
              <w:jc w:val="center"/>
            </w:pPr>
            <w:r>
              <w:rPr>
                <w:sz w:val="20"/>
              </w:rPr>
              <w:t>51.9%</w:t>
            </w:r>
          </w:p>
        </w:tc>
        <w:tc>
          <w:tcPr>
            <w:tcW w:type="dxa" w:w="2160"/>
          </w:tcPr>
          <w:p>
            <w:pPr>
              <w:jc w:val="center"/>
            </w:pPr>
            <w:r>
              <w:rPr>
                <w:sz w:val="20"/>
              </w:rPr>
              <w:t>46.8%</w:t>
            </w:r>
          </w:p>
        </w:tc>
        <w:tc>
          <w:tcPr>
            <w:tcW w:type="dxa" w:w="2160"/>
          </w:tcPr>
          <w:p>
            <w:pPr>
              <w:jc w:val="center"/>
            </w:pPr>
            <w:r>
              <w:rPr>
                <w:sz w:val="20"/>
              </w:rPr>
              <w:t>-5.1%</w:t>
            </w:r>
          </w:p>
        </w:tc>
      </w:tr>
    </w:tbl>
    <w:p/>
    <w:p>
      <w:r>
        <w:t>This table shows how much the Ollama scores change when judged by a better model. The difference highlights how unreliable the small 3B model was as an evaluator.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