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1A2E"/>
        </w:rPr>
        <w:t>Batch Evaluation vs Fair Comparison Report</w:t>
      </w:r>
    </w:p>
    <w:p>
      <w:pPr>
        <w:jc w:val="center"/>
      </w:pPr>
      <w:r>
        <w:rPr>
          <w:color w:val="555555"/>
          <w:sz w:val="26"/>
        </w:rPr>
        <w:t>Token-Overlap Metrics vs LLM-Judged Metrics (Groq 70B)</w:t>
      </w:r>
    </w:p>
    <w:p>
      <w:r>
        <w:br w:type="page"/>
      </w:r>
    </w:p>
    <w:p>
      <w:pPr>
        <w:pStyle w:val="Heading1"/>
      </w:pPr>
      <w:r>
        <w:rPr>
          <w:color w:val="1A1A2E"/>
        </w:rPr>
        <w:t>1. Overview</w:t>
      </w:r>
    </w:p>
    <w:p>
      <w:r>
        <w:t>This report compares two different evaluation approaches applied to the same RAG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Batch Evaluation</w:t>
            </w:r>
          </w:p>
        </w:tc>
        <w:tc>
          <w:tcPr>
            <w:tcW w:type="dxa" w:w="2880"/>
          </w:tcPr>
          <w:p>
            <w:pPr>
              <w:jc w:val="center"/>
            </w:pPr>
            <w:r>
              <w:rPr>
                <w:b/>
                <w:sz w:val="20"/>
              </w:rPr>
              <w:t>Fair Comparison</w:t>
            </w:r>
          </w:p>
        </w:tc>
      </w:tr>
      <w:tr>
        <w:tc>
          <w:tcPr>
            <w:tcW w:type="dxa" w:w="2880"/>
          </w:tcPr>
          <w:p>
            <w:pPr>
              <w:jc w:val="center"/>
            </w:pPr>
            <w:r>
              <w:rPr>
                <w:sz w:val="20"/>
              </w:rPr>
              <w:t>File</w:t>
            </w:r>
          </w:p>
        </w:tc>
        <w:tc>
          <w:tcPr>
            <w:tcW w:type="dxa" w:w="2880"/>
          </w:tcPr>
          <w:p>
            <w:pPr>
              <w:jc w:val="center"/>
            </w:pPr>
            <w:r>
              <w:rPr>
                <w:sz w:val="20"/>
              </w:rPr>
              <w:t>batch_evaluation.py</w:t>
            </w:r>
          </w:p>
        </w:tc>
        <w:tc>
          <w:tcPr>
            <w:tcW w:type="dxa" w:w="2880"/>
          </w:tcPr>
          <w:p>
            <w:pPr>
              <w:jc w:val="center"/>
            </w:pPr>
            <w:r>
              <w:rPr>
                <w:sz w:val="20"/>
              </w:rPr>
              <w:t>evaluation_fair_comparison.py</w:t>
            </w:r>
          </w:p>
        </w:tc>
      </w:tr>
      <w:tr>
        <w:tc>
          <w:tcPr>
            <w:tcW w:type="dxa" w:w="2880"/>
          </w:tcPr>
          <w:p>
            <w:pPr>
              <w:jc w:val="center"/>
            </w:pPr>
            <w:r>
              <w:rPr>
                <w:sz w:val="20"/>
              </w:rPr>
              <w:t>Evaluation Method</w:t>
            </w:r>
          </w:p>
        </w:tc>
        <w:tc>
          <w:tcPr>
            <w:tcW w:type="dxa" w:w="2880"/>
          </w:tcPr>
          <w:p>
            <w:pPr>
              <w:jc w:val="center"/>
            </w:pPr>
            <w:r>
              <w:rPr>
                <w:sz w:val="20"/>
              </w:rPr>
              <w:t>Token-overlap (algorithmic)</w:t>
            </w:r>
          </w:p>
        </w:tc>
        <w:tc>
          <w:tcPr>
            <w:tcW w:type="dxa" w:w="2880"/>
          </w:tcPr>
          <w:p>
            <w:pPr>
              <w:jc w:val="center"/>
            </w:pPr>
            <w:r>
              <w:rPr>
                <w:sz w:val="20"/>
              </w:rPr>
              <w:t>LLM-as-judge (Groq 70B)</w:t>
            </w:r>
          </w:p>
        </w:tc>
      </w:tr>
      <w:tr>
        <w:tc>
          <w:tcPr>
            <w:tcW w:type="dxa" w:w="2880"/>
          </w:tcPr>
          <w:p>
            <w:pPr>
              <w:jc w:val="center"/>
            </w:pPr>
            <w:r>
              <w:rPr>
                <w:sz w:val="20"/>
              </w:rPr>
              <w:t>Answer Generator</w:t>
            </w:r>
          </w:p>
        </w:tc>
        <w:tc>
          <w:tcPr>
            <w:tcW w:type="dxa" w:w="2880"/>
          </w:tcPr>
          <w:p>
            <w:pPr>
              <w:jc w:val="center"/>
            </w:pPr>
            <w:r>
              <w:rPr>
                <w:sz w:val="20"/>
              </w:rPr>
              <w:t>Ollama (llama3.2, 3B)</w:t>
            </w:r>
          </w:p>
        </w:tc>
        <w:tc>
          <w:tcPr>
            <w:tcW w:type="dxa" w:w="2880"/>
          </w:tcPr>
          <w:p>
            <w:pPr>
              <w:jc w:val="center"/>
            </w:pPr>
            <w:r>
              <w:rPr>
                <w:sz w:val="20"/>
              </w:rPr>
              <w:t>Ollama + Groq (both evaluated)</w:t>
            </w:r>
          </w:p>
        </w:tc>
      </w:tr>
      <w:tr>
        <w:tc>
          <w:tcPr>
            <w:tcW w:type="dxa" w:w="2880"/>
          </w:tcPr>
          <w:p>
            <w:pPr>
              <w:jc w:val="center"/>
            </w:pPr>
            <w:r>
              <w:rPr>
                <w:sz w:val="20"/>
              </w:rPr>
              <w:t>Faithfulness</w:t>
            </w:r>
          </w:p>
        </w:tc>
        <w:tc>
          <w:tcPr>
            <w:tcW w:type="dxa" w:w="2880"/>
          </w:tcPr>
          <w:p>
            <w:pPr>
              <w:jc w:val="center"/>
            </w:pPr>
            <w:r>
              <w:rPr>
                <w:sz w:val="20"/>
              </w:rPr>
              <w:t>Token overlap between answer &amp; context</w:t>
            </w:r>
          </w:p>
        </w:tc>
        <w:tc>
          <w:tcPr>
            <w:tcW w:type="dxa" w:w="2880"/>
          </w:tcPr>
          <w:p>
            <w:pPr>
              <w:jc w:val="center"/>
            </w:pPr>
            <w:r>
              <w:rPr>
                <w:sz w:val="20"/>
              </w:rPr>
              <w:t>LLM judges if answer is grounded in context</w:t>
            </w:r>
          </w:p>
        </w:tc>
      </w:tr>
      <w:tr>
        <w:tc>
          <w:tcPr>
            <w:tcW w:type="dxa" w:w="2880"/>
          </w:tcPr>
          <w:p>
            <w:pPr>
              <w:jc w:val="center"/>
            </w:pPr>
            <w:r>
              <w:rPr>
                <w:sz w:val="20"/>
              </w:rPr>
              <w:t>Coverage / Recall</w:t>
            </w:r>
          </w:p>
        </w:tc>
        <w:tc>
          <w:tcPr>
            <w:tcW w:type="dxa" w:w="2880"/>
          </w:tcPr>
          <w:p>
            <w:pPr>
              <w:jc w:val="center"/>
            </w:pPr>
            <w:r>
              <w:rPr>
                <w:sz w:val="20"/>
              </w:rPr>
              <w:t>Token overlap (context → answer)</w:t>
            </w:r>
          </w:p>
        </w:tc>
        <w:tc>
          <w:tcPr>
            <w:tcW w:type="dxa" w:w="2880"/>
          </w:tcPr>
          <w:p>
            <w:pPr>
              <w:jc w:val="center"/>
            </w:pPr>
            <w:r>
              <w:rPr>
                <w:sz w:val="20"/>
              </w:rPr>
              <w:t>LLM judges if context covers reference</w:t>
            </w:r>
          </w:p>
        </w:tc>
      </w:tr>
      <w:tr>
        <w:tc>
          <w:tcPr>
            <w:tcW w:type="dxa" w:w="2880"/>
          </w:tcPr>
          <w:p>
            <w:pPr>
              <w:jc w:val="center"/>
            </w:pPr>
            <w:r>
              <w:rPr>
                <w:sz w:val="20"/>
              </w:rPr>
              <w:t>Relevance / BLEU</w:t>
            </w:r>
          </w:p>
        </w:tc>
        <w:tc>
          <w:tcPr>
            <w:tcW w:type="dxa" w:w="2880"/>
          </w:tcPr>
          <w:p>
            <w:pPr>
              <w:jc w:val="center"/>
            </w:pPr>
            <w:r>
              <w:rPr>
                <w:sz w:val="20"/>
              </w:rPr>
              <w:t>Query-answer token overlap</w:t>
            </w:r>
          </w:p>
        </w:tc>
        <w:tc>
          <w:tcPr>
            <w:tcW w:type="dxa" w:w="2880"/>
          </w:tcPr>
          <w:p>
            <w:pPr>
              <w:jc w:val="center"/>
            </w:pPr>
            <w:r>
              <w:rPr>
                <w:sz w:val="20"/>
              </w:rPr>
              <w:t>Word overlap with reference answer</w:t>
            </w:r>
          </w:p>
        </w:tc>
      </w:tr>
    </w:tbl>
    <w:p/>
    <w:p>
      <w:r>
        <w:t>The batch evaluation uses simple token-overlap metrics — fast and deterministic but shallow. The fair comparison uses an LLM (Groq 70B) as a judge — slower but captures semantic meaning.</w:t>
      </w:r>
    </w:p>
    <w:p>
      <w:r>
        <w:br w:type="page"/>
      </w:r>
    </w:p>
    <w:p>
      <w:pPr>
        <w:pStyle w:val="Heading1"/>
      </w:pPr>
      <w:r>
        <w:rPr>
          <w:color w:val="1A1A2E"/>
        </w:rPr>
        <w:t>2. Batch Evaluation Results (Token-Overlap)</w:t>
      </w:r>
    </w:p>
    <w:p>
      <w:r>
        <w:t>The batch evaluation uses Ollama (llama3.2) to generate answers and scores them using simple token-overlap metrics. No LLM is involved in scoring.</w:t>
      </w:r>
    </w:p>
    <w:p>
      <w:pPr>
        <w:pStyle w:val="Heading2"/>
      </w:pPr>
      <w:r>
        <w:rPr>
          <w:color w:val="1A1A2E"/>
        </w:rPr>
        <w:t>2.1 Overall Averages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Metric</w:t>
            </w:r>
          </w:p>
        </w:tc>
        <w:tc>
          <w:tcPr>
            <w:tcW w:type="dxa" w:w="4320"/>
          </w:tcPr>
          <w:p>
            <w:pPr>
              <w:jc w:val="center"/>
            </w:pPr>
            <w:r>
              <w:rPr>
                <w:b/>
                <w:sz w:val="20"/>
              </w:rPr>
              <w:t>Average Score</w:t>
            </w:r>
          </w:p>
        </w:tc>
      </w:tr>
      <w:tr>
        <w:tc>
          <w:tcPr>
            <w:tcW w:type="dxa" w:w="4320"/>
          </w:tcPr>
          <w:p>
            <w:pPr>
              <w:jc w:val="center"/>
            </w:pPr>
            <w:r>
              <w:rPr>
                <w:sz w:val="20"/>
              </w:rPr>
              <w:t>Faithfulness (answer ∩ context / answer)</w:t>
            </w:r>
          </w:p>
        </w:tc>
        <w:tc>
          <w:tcPr>
            <w:tcW w:type="dxa" w:w="4320"/>
          </w:tcPr>
          <w:p>
            <w:pPr>
              <w:jc w:val="center"/>
            </w:pPr>
            <w:r>
              <w:rPr>
                <w:sz w:val="20"/>
              </w:rPr>
              <w:t>76.6%</w:t>
            </w:r>
          </w:p>
        </w:tc>
      </w:tr>
      <w:tr>
        <w:tc>
          <w:tcPr>
            <w:tcW w:type="dxa" w:w="4320"/>
          </w:tcPr>
          <w:p>
            <w:pPr>
              <w:jc w:val="center"/>
            </w:pPr>
            <w:r>
              <w:rPr>
                <w:sz w:val="20"/>
              </w:rPr>
              <w:t>Coverage (answer ∩ context / context)</w:t>
            </w:r>
          </w:p>
        </w:tc>
        <w:tc>
          <w:tcPr>
            <w:tcW w:type="dxa" w:w="4320"/>
          </w:tcPr>
          <w:p>
            <w:pPr>
              <w:jc w:val="center"/>
            </w:pPr>
            <w:r>
              <w:rPr>
                <w:sz w:val="20"/>
              </w:rPr>
              <w:t>29.4%</w:t>
            </w:r>
          </w:p>
        </w:tc>
      </w:tr>
      <w:tr>
        <w:tc>
          <w:tcPr>
            <w:tcW w:type="dxa" w:w="4320"/>
          </w:tcPr>
          <w:p>
            <w:pPr>
              <w:jc w:val="center"/>
            </w:pPr>
            <w:r>
              <w:rPr>
                <w:sz w:val="20"/>
              </w:rPr>
              <w:t>Relevance (query ∩ answer / query)</w:t>
            </w:r>
          </w:p>
        </w:tc>
        <w:tc>
          <w:tcPr>
            <w:tcW w:type="dxa" w:w="4320"/>
          </w:tcPr>
          <w:p>
            <w:pPr>
              <w:jc w:val="center"/>
            </w:pPr>
            <w:r>
              <w:rPr>
                <w:sz w:val="20"/>
              </w:rPr>
              <w:t>57.6%</w:t>
            </w:r>
          </w:p>
        </w:tc>
      </w:tr>
    </w:tbl>
    <w:p/>
    <w:p>
      <w:pPr>
        <w:pStyle w:val="Heading2"/>
      </w:pPr>
      <w:r>
        <w:rPr>
          <w:color w:val="1A1A2E"/>
        </w:rPr>
        <w:t>2.2 Per-Question Scores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Faithfulness</w:t>
            </w:r>
          </w:p>
        </w:tc>
        <w:tc>
          <w:tcPr>
            <w:tcW w:type="dxa" w:w="2160"/>
          </w:tcPr>
          <w:p>
            <w:pPr>
              <w:jc w:val="center"/>
            </w:pPr>
            <w:r>
              <w:rPr>
                <w:b/>
                <w:sz w:val="20"/>
              </w:rPr>
              <w:t>Coverage</w:t>
            </w:r>
          </w:p>
        </w:tc>
        <w:tc>
          <w:tcPr>
            <w:tcW w:type="dxa" w:w="2160"/>
          </w:tcPr>
          <w:p>
            <w:pPr>
              <w:jc w:val="center"/>
            </w:pPr>
            <w:r>
              <w:rPr>
                <w:b/>
                <w:sz w:val="20"/>
              </w:rPr>
              <w:t>Relevance</w:t>
            </w:r>
          </w:p>
        </w:tc>
      </w:tr>
      <w:tr>
        <w:tc>
          <w:tcPr>
            <w:tcW w:type="dxa" w:w="2160"/>
          </w:tcPr>
          <w:p>
            <w:pPr>
              <w:jc w:val="center"/>
            </w:pPr>
            <w:r>
              <w:rPr>
                <w:sz w:val="20"/>
              </w:rPr>
              <w:t>Symptoms of bacterial vaginosis</w:t>
            </w:r>
          </w:p>
        </w:tc>
        <w:tc>
          <w:tcPr>
            <w:tcW w:type="dxa" w:w="2160"/>
          </w:tcPr>
          <w:p>
            <w:pPr>
              <w:jc w:val="center"/>
            </w:pPr>
            <w:r>
              <w:rPr>
                <w:sz w:val="20"/>
              </w:rPr>
              <w:t>95.0%</w:t>
            </w:r>
          </w:p>
        </w:tc>
        <w:tc>
          <w:tcPr>
            <w:tcW w:type="dxa" w:w="2160"/>
          </w:tcPr>
          <w:p>
            <w:pPr>
              <w:jc w:val="center"/>
            </w:pPr>
            <w:r>
              <w:rPr>
                <w:sz w:val="20"/>
              </w:rPr>
              <w:t>26.6%</w:t>
            </w:r>
          </w:p>
        </w:tc>
        <w:tc>
          <w:tcPr>
            <w:tcW w:type="dxa" w:w="2160"/>
          </w:tcPr>
          <w:p>
            <w:pPr>
              <w:jc w:val="center"/>
            </w:pPr>
            <w:r>
              <w:rPr>
                <w:sz w:val="20"/>
              </w:rPr>
              <w:t>57.1%</w:t>
            </w:r>
          </w:p>
        </w:tc>
      </w:tr>
      <w:tr>
        <w:tc>
          <w:tcPr>
            <w:tcW w:type="dxa" w:w="2160"/>
          </w:tcPr>
          <w:p>
            <w:pPr>
              <w:jc w:val="center"/>
            </w:pPr>
            <w:r>
              <w:rPr>
                <w:sz w:val="20"/>
              </w:rPr>
              <w:t>Causes of varicose veins</w:t>
            </w:r>
          </w:p>
        </w:tc>
        <w:tc>
          <w:tcPr>
            <w:tcW w:type="dxa" w:w="2160"/>
          </w:tcPr>
          <w:p>
            <w:pPr>
              <w:jc w:val="center"/>
            </w:pPr>
            <w:r>
              <w:rPr>
                <w:sz w:val="20"/>
              </w:rPr>
              <w:t>93.5%</w:t>
            </w:r>
          </w:p>
        </w:tc>
        <w:tc>
          <w:tcPr>
            <w:tcW w:type="dxa" w:w="2160"/>
          </w:tcPr>
          <w:p>
            <w:pPr>
              <w:jc w:val="center"/>
            </w:pPr>
            <w:r>
              <w:rPr>
                <w:sz w:val="20"/>
              </w:rPr>
              <w:t>21.8%</w:t>
            </w:r>
          </w:p>
        </w:tc>
        <w:tc>
          <w:tcPr>
            <w:tcW w:type="dxa" w:w="2160"/>
          </w:tcPr>
          <w:p>
            <w:pPr>
              <w:jc w:val="center"/>
            </w:pPr>
            <w:r>
              <w:rPr>
                <w:sz w:val="20"/>
              </w:rPr>
              <w:t>25.0%</w:t>
            </w:r>
          </w:p>
        </w:tc>
      </w:tr>
      <w:tr>
        <w:tc>
          <w:tcPr>
            <w:tcW w:type="dxa" w:w="2160"/>
          </w:tcPr>
          <w:p>
            <w:pPr>
              <w:jc w:val="center"/>
            </w:pPr>
            <w:r>
              <w:rPr>
                <w:sz w:val="20"/>
              </w:rPr>
              <w:t>Preventing melanoma</w:t>
            </w:r>
          </w:p>
        </w:tc>
        <w:tc>
          <w:tcPr>
            <w:tcW w:type="dxa" w:w="2160"/>
          </w:tcPr>
          <w:p>
            <w:pPr>
              <w:jc w:val="center"/>
            </w:pPr>
            <w:r>
              <w:rPr>
                <w:sz w:val="20"/>
              </w:rPr>
              <w:t>96.0%</w:t>
            </w:r>
          </w:p>
        </w:tc>
        <w:tc>
          <w:tcPr>
            <w:tcW w:type="dxa" w:w="2160"/>
          </w:tcPr>
          <w:p>
            <w:pPr>
              <w:jc w:val="center"/>
            </w:pPr>
            <w:r>
              <w:rPr>
                <w:sz w:val="20"/>
              </w:rPr>
              <w:t>28.9%</w:t>
            </w:r>
          </w:p>
        </w:tc>
        <w:tc>
          <w:tcPr>
            <w:tcW w:type="dxa" w:w="2160"/>
          </w:tcPr>
          <w:p>
            <w:pPr>
              <w:jc w:val="center"/>
            </w:pPr>
            <w:r>
              <w:rPr>
                <w:sz w:val="20"/>
              </w:rPr>
              <w:t>71.4%</w:t>
            </w:r>
          </w:p>
        </w:tc>
      </w:tr>
      <w:tr>
        <w:tc>
          <w:tcPr>
            <w:tcW w:type="dxa" w:w="2160"/>
          </w:tcPr>
          <w:p>
            <w:pPr>
              <w:jc w:val="center"/>
            </w:pPr>
            <w:r>
              <w:rPr>
                <w:sz w:val="20"/>
              </w:rPr>
              <w:t>Living with type 1 diabetes</w:t>
            </w:r>
          </w:p>
        </w:tc>
        <w:tc>
          <w:tcPr>
            <w:tcW w:type="dxa" w:w="2160"/>
          </w:tcPr>
          <w:p>
            <w:pPr>
              <w:jc w:val="center"/>
            </w:pPr>
            <w:r>
              <w:rPr>
                <w:sz w:val="20"/>
              </w:rPr>
              <w:t>31.9%</w:t>
            </w:r>
          </w:p>
        </w:tc>
        <w:tc>
          <w:tcPr>
            <w:tcW w:type="dxa" w:w="2160"/>
          </w:tcPr>
          <w:p>
            <w:pPr>
              <w:jc w:val="center"/>
            </w:pPr>
            <w:r>
              <w:rPr>
                <w:sz w:val="20"/>
              </w:rPr>
              <w:t>34.4%</w:t>
            </w:r>
          </w:p>
        </w:tc>
        <w:tc>
          <w:tcPr>
            <w:tcW w:type="dxa" w:w="2160"/>
          </w:tcPr>
          <w:p>
            <w:pPr>
              <w:jc w:val="center"/>
            </w:pPr>
            <w:r>
              <w:rPr>
                <w:sz w:val="20"/>
              </w:rPr>
              <w:t>80.0%</w:t>
            </w:r>
          </w:p>
        </w:tc>
      </w:tr>
      <w:tr>
        <w:tc>
          <w:tcPr>
            <w:tcW w:type="dxa" w:w="2160"/>
          </w:tcPr>
          <w:p>
            <w:pPr>
              <w:jc w:val="center"/>
            </w:pPr>
            <w:r>
              <w:rPr>
                <w:sz w:val="20"/>
              </w:rPr>
              <w:t>MRSA</w:t>
            </w:r>
          </w:p>
        </w:tc>
        <w:tc>
          <w:tcPr>
            <w:tcW w:type="dxa" w:w="2160"/>
          </w:tcPr>
          <w:p>
            <w:pPr>
              <w:jc w:val="center"/>
            </w:pPr>
            <w:r>
              <w:rPr>
                <w:sz w:val="20"/>
              </w:rPr>
              <w:t>66.7%</w:t>
            </w:r>
          </w:p>
        </w:tc>
        <w:tc>
          <w:tcPr>
            <w:tcW w:type="dxa" w:w="2160"/>
          </w:tcPr>
          <w:p>
            <w:pPr>
              <w:jc w:val="center"/>
            </w:pPr>
            <w:r>
              <w:rPr>
                <w:sz w:val="20"/>
              </w:rPr>
              <w:t>35.2%</w:t>
            </w:r>
          </w:p>
        </w:tc>
        <w:tc>
          <w:tcPr>
            <w:tcW w:type="dxa" w:w="2160"/>
          </w:tcPr>
          <w:p>
            <w:pPr>
              <w:jc w:val="center"/>
            </w:pPr>
            <w:r>
              <w:rPr>
                <w:sz w:val="20"/>
              </w:rPr>
              <w:t>54.5%</w:t>
            </w:r>
          </w:p>
        </w:tc>
      </w:tr>
    </w:tbl>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bvf_batch_all.png"/>
                    <pic:cNvPicPr/>
                  </pic:nvPicPr>
                  <pic:blipFill>
                    <a:blip r:embed="rId9"/>
                    <a:stretch>
                      <a:fillRect/>
                    </a:stretch>
                  </pic:blipFill>
                  <pic:spPr>
                    <a:xfrm>
                      <a:off x="0" y="0"/>
                      <a:ext cx="5303520" cy="2651760"/>
                    </a:xfrm>
                    <a:prstGeom prst="rect"/>
                  </pic:spPr>
                </pic:pic>
              </a:graphicData>
            </a:graphic>
          </wp:inline>
        </w:drawing>
      </w:r>
    </w:p>
    <w:p/>
    <w:p>
      <w:r>
        <w:br w:type="page"/>
      </w:r>
    </w:p>
    <w:p>
      <w:pPr>
        <w:pStyle w:val="Heading1"/>
      </w:pPr>
      <w:r>
        <w:rPr>
          <w:color w:val="1A1A2E"/>
        </w:rPr>
        <w:t>3. Fair Comparison Results (LLM-Judged)</w:t>
      </w:r>
    </w:p>
    <w:p>
      <w:r>
        <w:t>The fair comparison re-evaluates both Ollama and Groq generated answers using the same Groq 70B judge. This provides semantic evaluation rather than surface-level token matching.</w:t>
      </w:r>
    </w:p>
    <w:p>
      <w:pPr>
        <w:pStyle w:val="Heading2"/>
      </w:pPr>
      <w:r>
        <w:rPr>
          <w:color w:val="1A1A2E"/>
        </w:rPr>
        <w:t>3.1 Overall Averages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Metric</w:t>
            </w:r>
          </w:p>
        </w:tc>
        <w:tc>
          <w:tcPr>
            <w:tcW w:type="dxa" w:w="2880"/>
          </w:tcPr>
          <w:p>
            <w:pPr>
              <w:jc w:val="center"/>
            </w:pPr>
            <w:r>
              <w:rPr>
                <w:b/>
                <w:sz w:val="20"/>
              </w:rPr>
              <w:t>Ollama Answers</w:t>
            </w:r>
          </w:p>
        </w:tc>
        <w:tc>
          <w:tcPr>
            <w:tcW w:type="dxa" w:w="2880"/>
          </w:tcPr>
          <w:p>
            <w:pPr>
              <w:jc w:val="center"/>
            </w:pPr>
            <w:r>
              <w:rPr>
                <w:b/>
                <w:sz w:val="20"/>
              </w:rPr>
              <w:t>Groq Answers</w:t>
            </w:r>
          </w:p>
        </w:tc>
      </w:tr>
      <w:tr>
        <w:tc>
          <w:tcPr>
            <w:tcW w:type="dxa" w:w="2880"/>
          </w:tcPr>
          <w:p>
            <w:pPr>
              <w:jc w:val="center"/>
            </w:pPr>
            <w:r>
              <w:rPr>
                <w:sz w:val="20"/>
              </w:rPr>
              <w:t>Faithfulness</w:t>
            </w:r>
          </w:p>
        </w:tc>
        <w:tc>
          <w:tcPr>
            <w:tcW w:type="dxa" w:w="2880"/>
          </w:tcPr>
          <w:p>
            <w:pPr>
              <w:jc w:val="center"/>
            </w:pPr>
            <w:r>
              <w:rPr>
                <w:sz w:val="20"/>
              </w:rPr>
              <w:t>88.0%</w:t>
            </w:r>
          </w:p>
        </w:tc>
        <w:tc>
          <w:tcPr>
            <w:tcW w:type="dxa" w:w="2880"/>
          </w:tcPr>
          <w:p>
            <w:pPr>
              <w:jc w:val="center"/>
            </w:pPr>
            <w:r>
              <w:rPr>
                <w:sz w:val="20"/>
              </w:rPr>
              <w:t>100.0%</w:t>
            </w:r>
          </w:p>
        </w:tc>
      </w:tr>
      <w:tr>
        <w:tc>
          <w:tcPr>
            <w:tcW w:type="dxa" w:w="2880"/>
          </w:tcPr>
          <w:p>
            <w:pPr>
              <w:jc w:val="center"/>
            </w:pPr>
            <w:r>
              <w:rPr>
                <w:sz w:val="20"/>
              </w:rPr>
              <w:t>Context Recall</w:t>
            </w:r>
          </w:p>
        </w:tc>
        <w:tc>
          <w:tcPr>
            <w:tcW w:type="dxa" w:w="2880"/>
          </w:tcPr>
          <w:p>
            <w:pPr>
              <w:jc w:val="center"/>
            </w:pPr>
            <w:r>
              <w:rPr>
                <w:sz w:val="20"/>
              </w:rPr>
              <w:t>100.0%</w:t>
            </w:r>
          </w:p>
        </w:tc>
        <w:tc>
          <w:tcPr>
            <w:tcW w:type="dxa" w:w="2880"/>
          </w:tcPr>
          <w:p>
            <w:pPr>
              <w:jc w:val="center"/>
            </w:pPr>
            <w:r>
              <w:rPr>
                <w:sz w:val="20"/>
              </w:rPr>
              <w:t>100.0%</w:t>
            </w:r>
          </w:p>
        </w:tc>
      </w:tr>
      <w:tr>
        <w:tc>
          <w:tcPr>
            <w:tcW w:type="dxa" w:w="2880"/>
          </w:tcPr>
          <w:p>
            <w:pPr>
              <w:jc w:val="center"/>
            </w:pPr>
            <w:r>
              <w:rPr>
                <w:sz w:val="20"/>
              </w:rPr>
              <w:t>BLEU Score</w:t>
            </w:r>
          </w:p>
        </w:tc>
        <w:tc>
          <w:tcPr>
            <w:tcW w:type="dxa" w:w="2880"/>
          </w:tcPr>
          <w:p>
            <w:pPr>
              <w:jc w:val="center"/>
            </w:pPr>
            <w:r>
              <w:rPr>
                <w:sz w:val="20"/>
              </w:rPr>
              <w:t>51.9%</w:t>
            </w:r>
          </w:p>
        </w:tc>
        <w:tc>
          <w:tcPr>
            <w:tcW w:type="dxa" w:w="2880"/>
          </w:tcPr>
          <w:p>
            <w:pPr>
              <w:jc w:val="center"/>
            </w:pPr>
            <w:r>
              <w:rPr>
                <w:sz w:val="20"/>
              </w:rPr>
              <w:t>63.7%</w:t>
            </w:r>
          </w:p>
        </w:tc>
      </w:tr>
    </w:tbl>
    <w:p/>
    <w:p>
      <w:pPr>
        <w:pStyle w:val="Heading2"/>
      </w:pPr>
      <w:r>
        <w:rPr>
          <w:color w:val="1A1A2E"/>
        </w:rPr>
        <w:t>3.2 Per-Question Scores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Question</w:t>
            </w:r>
          </w:p>
        </w:tc>
        <w:tc>
          <w:tcPr>
            <w:tcW w:type="dxa" w:w="1728"/>
          </w:tcPr>
          <w:p>
            <w:pPr>
              <w:jc w:val="center"/>
            </w:pPr>
            <w:r>
              <w:rPr>
                <w:b/>
                <w:sz w:val="20"/>
              </w:rPr>
              <w:t>Ollama Faith.</w:t>
            </w:r>
          </w:p>
        </w:tc>
        <w:tc>
          <w:tcPr>
            <w:tcW w:type="dxa" w:w="1728"/>
          </w:tcPr>
          <w:p>
            <w:pPr>
              <w:jc w:val="center"/>
            </w:pPr>
            <w:r>
              <w:rPr>
                <w:b/>
                <w:sz w:val="20"/>
              </w:rPr>
              <w:t>Groq Faith.</w:t>
            </w:r>
          </w:p>
        </w:tc>
        <w:tc>
          <w:tcPr>
            <w:tcW w:type="dxa" w:w="1728"/>
          </w:tcPr>
          <w:p>
            <w:pPr>
              <w:jc w:val="center"/>
            </w:pPr>
            <w:r>
              <w:rPr>
                <w:b/>
                <w:sz w:val="20"/>
              </w:rPr>
              <w:t>Ollama BLEU</w:t>
            </w:r>
          </w:p>
        </w:tc>
        <w:tc>
          <w:tcPr>
            <w:tcW w:type="dxa" w:w="1728"/>
          </w:tcPr>
          <w:p>
            <w:pPr>
              <w:jc w:val="center"/>
            </w:pPr>
            <w:r>
              <w:rPr>
                <w:b/>
                <w:sz w:val="20"/>
              </w:rPr>
              <w:t>Groq BLEU</w:t>
            </w:r>
          </w:p>
        </w:tc>
      </w:tr>
      <w:tr>
        <w:tc>
          <w:tcPr>
            <w:tcW w:type="dxa" w:w="1728"/>
          </w:tcPr>
          <w:p>
            <w:pPr>
              <w:jc w:val="center"/>
            </w:pPr>
            <w:r>
              <w:rPr>
                <w:sz w:val="20"/>
              </w:rPr>
              <w:t>Symptoms of bacterial vaginosis</w:t>
            </w:r>
          </w:p>
        </w:tc>
        <w:tc>
          <w:tcPr>
            <w:tcW w:type="dxa" w:w="1728"/>
          </w:tcPr>
          <w:p>
            <w:pPr>
              <w:jc w:val="center"/>
            </w:pPr>
            <w:r>
              <w:rPr>
                <w:sz w:val="20"/>
              </w:rPr>
              <w:t>100.0%</w:t>
            </w:r>
          </w:p>
        </w:tc>
        <w:tc>
          <w:tcPr>
            <w:tcW w:type="dxa" w:w="1728"/>
          </w:tcPr>
          <w:p>
            <w:pPr>
              <w:jc w:val="center"/>
            </w:pPr>
            <w:r>
              <w:rPr>
                <w:sz w:val="20"/>
              </w:rPr>
              <w:t>100.0%</w:t>
            </w:r>
          </w:p>
        </w:tc>
        <w:tc>
          <w:tcPr>
            <w:tcW w:type="dxa" w:w="1728"/>
          </w:tcPr>
          <w:p>
            <w:pPr>
              <w:jc w:val="center"/>
            </w:pPr>
            <w:r>
              <w:rPr>
                <w:sz w:val="20"/>
              </w:rPr>
              <w:t>91.1%</w:t>
            </w:r>
          </w:p>
        </w:tc>
        <w:tc>
          <w:tcPr>
            <w:tcW w:type="dxa" w:w="1728"/>
          </w:tcPr>
          <w:p>
            <w:pPr>
              <w:jc w:val="center"/>
            </w:pPr>
            <w:r>
              <w:rPr>
                <w:sz w:val="20"/>
              </w:rPr>
              <w:t>86.8%</w:t>
            </w:r>
          </w:p>
        </w:tc>
      </w:tr>
      <w:tr>
        <w:tc>
          <w:tcPr>
            <w:tcW w:type="dxa" w:w="1728"/>
          </w:tcPr>
          <w:p>
            <w:pPr>
              <w:jc w:val="center"/>
            </w:pPr>
            <w:r>
              <w:rPr>
                <w:sz w:val="20"/>
              </w:rPr>
              <w:t>Causes of varicose veins</w:t>
            </w:r>
          </w:p>
        </w:tc>
        <w:tc>
          <w:tcPr>
            <w:tcW w:type="dxa" w:w="1728"/>
          </w:tcPr>
          <w:p>
            <w:pPr>
              <w:jc w:val="center"/>
            </w:pPr>
            <w:r>
              <w:rPr>
                <w:sz w:val="20"/>
              </w:rPr>
              <w:t>100.0%</w:t>
            </w:r>
          </w:p>
        </w:tc>
        <w:tc>
          <w:tcPr>
            <w:tcW w:type="dxa" w:w="1728"/>
          </w:tcPr>
          <w:p>
            <w:pPr>
              <w:jc w:val="center"/>
            </w:pPr>
            <w:r>
              <w:rPr>
                <w:sz w:val="20"/>
              </w:rPr>
              <w:t>100.0%</w:t>
            </w:r>
          </w:p>
        </w:tc>
        <w:tc>
          <w:tcPr>
            <w:tcW w:type="dxa" w:w="1728"/>
          </w:tcPr>
          <w:p>
            <w:pPr>
              <w:jc w:val="center"/>
            </w:pPr>
            <w:r>
              <w:rPr>
                <w:sz w:val="20"/>
              </w:rPr>
              <w:t>45.9%</w:t>
            </w:r>
          </w:p>
        </w:tc>
        <w:tc>
          <w:tcPr>
            <w:tcW w:type="dxa" w:w="1728"/>
          </w:tcPr>
          <w:p>
            <w:pPr>
              <w:jc w:val="center"/>
            </w:pPr>
            <w:r>
              <w:rPr>
                <w:sz w:val="20"/>
              </w:rPr>
              <w:t>36.1%</w:t>
            </w:r>
          </w:p>
        </w:tc>
      </w:tr>
      <w:tr>
        <w:tc>
          <w:tcPr>
            <w:tcW w:type="dxa" w:w="1728"/>
          </w:tcPr>
          <w:p>
            <w:pPr>
              <w:jc w:val="center"/>
            </w:pPr>
            <w:r>
              <w:rPr>
                <w:sz w:val="20"/>
              </w:rPr>
              <w:t>Preventing melanoma</w:t>
            </w:r>
          </w:p>
        </w:tc>
        <w:tc>
          <w:tcPr>
            <w:tcW w:type="dxa" w:w="1728"/>
          </w:tcPr>
          <w:p>
            <w:pPr>
              <w:jc w:val="center"/>
            </w:pPr>
            <w:r>
              <w:rPr>
                <w:sz w:val="20"/>
              </w:rPr>
              <w:t>100.0%</w:t>
            </w:r>
          </w:p>
        </w:tc>
        <w:tc>
          <w:tcPr>
            <w:tcW w:type="dxa" w:w="1728"/>
          </w:tcPr>
          <w:p>
            <w:pPr>
              <w:jc w:val="center"/>
            </w:pPr>
            <w:r>
              <w:rPr>
                <w:sz w:val="20"/>
              </w:rPr>
              <w:t>100.0%</w:t>
            </w:r>
          </w:p>
        </w:tc>
        <w:tc>
          <w:tcPr>
            <w:tcW w:type="dxa" w:w="1728"/>
          </w:tcPr>
          <w:p>
            <w:pPr>
              <w:jc w:val="center"/>
            </w:pPr>
            <w:r>
              <w:rPr>
                <w:sz w:val="20"/>
              </w:rPr>
              <w:t>78.5%</w:t>
            </w:r>
          </w:p>
        </w:tc>
        <w:tc>
          <w:tcPr>
            <w:tcW w:type="dxa" w:w="1728"/>
          </w:tcPr>
          <w:p>
            <w:pPr>
              <w:jc w:val="center"/>
            </w:pPr>
            <w:r>
              <w:rPr>
                <w:sz w:val="20"/>
              </w:rPr>
              <w:t>96.9%</w:t>
            </w:r>
          </w:p>
        </w:tc>
      </w:tr>
      <w:tr>
        <w:tc>
          <w:tcPr>
            <w:tcW w:type="dxa" w:w="1728"/>
          </w:tcPr>
          <w:p>
            <w:pPr>
              <w:jc w:val="center"/>
            </w:pPr>
            <w:r>
              <w:rPr>
                <w:sz w:val="20"/>
              </w:rPr>
              <w:t>Living with type 1 diabetes</w:t>
            </w:r>
          </w:p>
        </w:tc>
        <w:tc>
          <w:tcPr>
            <w:tcW w:type="dxa" w:w="1728"/>
          </w:tcPr>
          <w:p>
            <w:pPr>
              <w:jc w:val="center"/>
            </w:pPr>
            <w:r>
              <w:rPr>
                <w:sz w:val="20"/>
              </w:rPr>
              <w:t>80.0%</w:t>
            </w:r>
          </w:p>
        </w:tc>
        <w:tc>
          <w:tcPr>
            <w:tcW w:type="dxa" w:w="1728"/>
          </w:tcPr>
          <w:p>
            <w:pPr>
              <w:jc w:val="center"/>
            </w:pPr>
            <w:r>
              <w:rPr>
                <w:sz w:val="20"/>
              </w:rPr>
              <w:t>100.0%</w:t>
            </w:r>
          </w:p>
        </w:tc>
        <w:tc>
          <w:tcPr>
            <w:tcW w:type="dxa" w:w="1728"/>
          </w:tcPr>
          <w:p>
            <w:pPr>
              <w:jc w:val="center"/>
            </w:pPr>
            <w:r>
              <w:rPr>
                <w:sz w:val="20"/>
              </w:rPr>
              <w:t>9.6%</w:t>
            </w:r>
          </w:p>
        </w:tc>
        <w:tc>
          <w:tcPr>
            <w:tcW w:type="dxa" w:w="1728"/>
          </w:tcPr>
          <w:p>
            <w:pPr>
              <w:jc w:val="center"/>
            </w:pPr>
            <w:r>
              <w:rPr>
                <w:sz w:val="20"/>
              </w:rPr>
              <w:t>20.0%</w:t>
            </w:r>
          </w:p>
        </w:tc>
      </w:tr>
      <w:tr>
        <w:tc>
          <w:tcPr>
            <w:tcW w:type="dxa" w:w="1728"/>
          </w:tcPr>
          <w:p>
            <w:pPr>
              <w:jc w:val="center"/>
            </w:pPr>
            <w:r>
              <w:rPr>
                <w:sz w:val="20"/>
              </w:rPr>
              <w:t>MRSA</w:t>
            </w:r>
          </w:p>
        </w:tc>
        <w:tc>
          <w:tcPr>
            <w:tcW w:type="dxa" w:w="1728"/>
          </w:tcPr>
          <w:p>
            <w:pPr>
              <w:jc w:val="center"/>
            </w:pPr>
            <w:r>
              <w:rPr>
                <w:sz w:val="20"/>
              </w:rPr>
              <w:t>60.0%</w:t>
            </w:r>
          </w:p>
        </w:tc>
        <w:tc>
          <w:tcPr>
            <w:tcW w:type="dxa" w:w="1728"/>
          </w:tcPr>
          <w:p>
            <w:pPr>
              <w:jc w:val="center"/>
            </w:pPr>
            <w:r>
              <w:rPr>
                <w:sz w:val="20"/>
              </w:rPr>
              <w:t>100.0%</w:t>
            </w:r>
          </w:p>
        </w:tc>
        <w:tc>
          <w:tcPr>
            <w:tcW w:type="dxa" w:w="1728"/>
          </w:tcPr>
          <w:p>
            <w:pPr>
              <w:jc w:val="center"/>
            </w:pPr>
            <w:r>
              <w:rPr>
                <w:sz w:val="20"/>
              </w:rPr>
              <w:t>34.2%</w:t>
            </w:r>
          </w:p>
        </w:tc>
        <w:tc>
          <w:tcPr>
            <w:tcW w:type="dxa" w:w="1728"/>
          </w:tcPr>
          <w:p>
            <w:pPr>
              <w:jc w:val="center"/>
            </w:pPr>
            <w:r>
              <w:rPr>
                <w:sz w:val="20"/>
              </w:rPr>
              <w:t>78.6%</w:t>
            </w:r>
          </w:p>
        </w:tc>
      </w:tr>
    </w:tbl>
    <w:p/>
    <w:p>
      <w:pPr>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bvf_fair_all.png"/>
                    <pic:cNvPicPr/>
                  </pic:nvPicPr>
                  <pic:blipFill>
                    <a:blip r:embed="rId10"/>
                    <a:stretch>
                      <a:fillRect/>
                    </a:stretch>
                  </pic:blipFill>
                  <pic:spPr>
                    <a:xfrm>
                      <a:off x="0" y="0"/>
                      <a:ext cx="5303520" cy="1894114"/>
                    </a:xfrm>
                    <a:prstGeom prst="rect"/>
                  </pic:spPr>
                </pic:pic>
              </a:graphicData>
            </a:graphic>
          </wp:inline>
        </w:drawing>
      </w:r>
    </w:p>
    <w:p/>
    <w:p>
      <w:r>
        <w:br w:type="page"/>
      </w:r>
    </w:p>
    <w:p>
      <w:pPr>
        <w:pStyle w:val="Heading1"/>
      </w:pPr>
      <w:r>
        <w:rPr>
          <w:color w:val="1A1A2E"/>
        </w:rPr>
        <w:t>4. Direct Comparison: Faithfulness</w:t>
      </w:r>
    </w:p>
    <w:p>
      <w:r>
        <w:t>Faithfulness is the one metric both approaches share (though measured differently). This section compares them directly.</w:t>
      </w:r>
    </w:p>
    <w:p>
      <w:pPr>
        <w:pStyle w:val="Heading2"/>
      </w:pPr>
      <w:r>
        <w:rPr>
          <w:color w:val="1A1A2E"/>
        </w:rPr>
        <w:t>4.1 Faithfulness: All Three Variants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Batch</w:t>
              <w:br/>
              <w:t>(token-overlap)</w:t>
            </w:r>
          </w:p>
        </w:tc>
        <w:tc>
          <w:tcPr>
            <w:tcW w:type="dxa" w:w="2160"/>
          </w:tcPr>
          <w:p>
            <w:pPr>
              <w:jc w:val="center"/>
            </w:pPr>
            <w:r>
              <w:rPr>
                <w:b/>
                <w:sz w:val="20"/>
              </w:rPr>
              <w:t>Fair: Ollama</w:t>
              <w:br/>
              <w:t>(Groq-judged)</w:t>
            </w:r>
          </w:p>
        </w:tc>
        <w:tc>
          <w:tcPr>
            <w:tcW w:type="dxa" w:w="2160"/>
          </w:tcPr>
          <w:p>
            <w:pPr>
              <w:jc w:val="center"/>
            </w:pPr>
            <w:r>
              <w:rPr>
                <w:b/>
                <w:sz w:val="20"/>
              </w:rPr>
              <w:t>Fair: Groq</w:t>
              <w:br/>
              <w:t>(Groq-judged)</w:t>
            </w:r>
          </w:p>
        </w:tc>
      </w:tr>
      <w:tr>
        <w:tc>
          <w:tcPr>
            <w:tcW w:type="dxa" w:w="2160"/>
          </w:tcPr>
          <w:p>
            <w:pPr>
              <w:jc w:val="center"/>
            </w:pPr>
            <w:r>
              <w:rPr>
                <w:sz w:val="20"/>
              </w:rPr>
              <w:t>Symptoms of bacterial vaginosis</w:t>
            </w:r>
          </w:p>
        </w:tc>
        <w:tc>
          <w:tcPr>
            <w:tcW w:type="dxa" w:w="2160"/>
          </w:tcPr>
          <w:p>
            <w:pPr>
              <w:jc w:val="center"/>
            </w:pPr>
            <w:r>
              <w:rPr>
                <w:sz w:val="20"/>
              </w:rPr>
              <w:t>95.0%</w:t>
            </w:r>
          </w:p>
        </w:tc>
        <w:tc>
          <w:tcPr>
            <w:tcW w:type="dxa" w:w="2160"/>
          </w:tcPr>
          <w:p>
            <w:pPr>
              <w:jc w:val="center"/>
            </w:pPr>
            <w:r>
              <w:rPr>
                <w:sz w:val="20"/>
              </w:rPr>
              <w:t>100.0%</w:t>
            </w:r>
          </w:p>
        </w:tc>
        <w:tc>
          <w:tcPr>
            <w:tcW w:type="dxa" w:w="2160"/>
          </w:tcPr>
          <w:p>
            <w:pPr>
              <w:jc w:val="center"/>
            </w:pPr>
            <w:r>
              <w:rPr>
                <w:sz w:val="20"/>
              </w:rPr>
              <w:t>100.0%</w:t>
            </w:r>
          </w:p>
        </w:tc>
      </w:tr>
      <w:tr>
        <w:tc>
          <w:tcPr>
            <w:tcW w:type="dxa" w:w="2160"/>
          </w:tcPr>
          <w:p>
            <w:pPr>
              <w:jc w:val="center"/>
            </w:pPr>
            <w:r>
              <w:rPr>
                <w:sz w:val="20"/>
              </w:rPr>
              <w:t>Causes of varicose veins</w:t>
            </w:r>
          </w:p>
        </w:tc>
        <w:tc>
          <w:tcPr>
            <w:tcW w:type="dxa" w:w="2160"/>
          </w:tcPr>
          <w:p>
            <w:pPr>
              <w:jc w:val="center"/>
            </w:pPr>
            <w:r>
              <w:rPr>
                <w:sz w:val="20"/>
              </w:rPr>
              <w:t>93.5%</w:t>
            </w:r>
          </w:p>
        </w:tc>
        <w:tc>
          <w:tcPr>
            <w:tcW w:type="dxa" w:w="2160"/>
          </w:tcPr>
          <w:p>
            <w:pPr>
              <w:jc w:val="center"/>
            </w:pPr>
            <w:r>
              <w:rPr>
                <w:sz w:val="20"/>
              </w:rPr>
              <w:t>100.0%</w:t>
            </w:r>
          </w:p>
        </w:tc>
        <w:tc>
          <w:tcPr>
            <w:tcW w:type="dxa" w:w="2160"/>
          </w:tcPr>
          <w:p>
            <w:pPr>
              <w:jc w:val="center"/>
            </w:pPr>
            <w:r>
              <w:rPr>
                <w:sz w:val="20"/>
              </w:rPr>
              <w:t>100.0%</w:t>
            </w:r>
          </w:p>
        </w:tc>
      </w:tr>
      <w:tr>
        <w:tc>
          <w:tcPr>
            <w:tcW w:type="dxa" w:w="2160"/>
          </w:tcPr>
          <w:p>
            <w:pPr>
              <w:jc w:val="center"/>
            </w:pPr>
            <w:r>
              <w:rPr>
                <w:sz w:val="20"/>
              </w:rPr>
              <w:t>Preventing melanoma</w:t>
            </w:r>
          </w:p>
        </w:tc>
        <w:tc>
          <w:tcPr>
            <w:tcW w:type="dxa" w:w="2160"/>
          </w:tcPr>
          <w:p>
            <w:pPr>
              <w:jc w:val="center"/>
            </w:pPr>
            <w:r>
              <w:rPr>
                <w:sz w:val="20"/>
              </w:rPr>
              <w:t>96.0%</w:t>
            </w:r>
          </w:p>
        </w:tc>
        <w:tc>
          <w:tcPr>
            <w:tcW w:type="dxa" w:w="2160"/>
          </w:tcPr>
          <w:p>
            <w:pPr>
              <w:jc w:val="center"/>
            </w:pPr>
            <w:r>
              <w:rPr>
                <w:sz w:val="20"/>
              </w:rPr>
              <w:t>100.0%</w:t>
            </w:r>
          </w:p>
        </w:tc>
        <w:tc>
          <w:tcPr>
            <w:tcW w:type="dxa" w:w="2160"/>
          </w:tcPr>
          <w:p>
            <w:pPr>
              <w:jc w:val="center"/>
            </w:pPr>
            <w:r>
              <w:rPr>
                <w:sz w:val="20"/>
              </w:rPr>
              <w:t>100.0%</w:t>
            </w:r>
          </w:p>
        </w:tc>
      </w:tr>
      <w:tr>
        <w:tc>
          <w:tcPr>
            <w:tcW w:type="dxa" w:w="2160"/>
          </w:tcPr>
          <w:p>
            <w:pPr>
              <w:jc w:val="center"/>
            </w:pPr>
            <w:r>
              <w:rPr>
                <w:sz w:val="20"/>
              </w:rPr>
              <w:t>Living with type 1 diabetes</w:t>
            </w:r>
          </w:p>
        </w:tc>
        <w:tc>
          <w:tcPr>
            <w:tcW w:type="dxa" w:w="2160"/>
          </w:tcPr>
          <w:p>
            <w:pPr>
              <w:jc w:val="center"/>
            </w:pPr>
            <w:r>
              <w:rPr>
                <w:sz w:val="20"/>
              </w:rPr>
              <w:t>31.9%</w:t>
            </w:r>
          </w:p>
        </w:tc>
        <w:tc>
          <w:tcPr>
            <w:tcW w:type="dxa" w:w="2160"/>
          </w:tcPr>
          <w:p>
            <w:pPr>
              <w:jc w:val="center"/>
            </w:pPr>
            <w:r>
              <w:rPr>
                <w:sz w:val="20"/>
              </w:rPr>
              <w:t>80.0%</w:t>
            </w:r>
          </w:p>
        </w:tc>
        <w:tc>
          <w:tcPr>
            <w:tcW w:type="dxa" w:w="2160"/>
          </w:tcPr>
          <w:p>
            <w:pPr>
              <w:jc w:val="center"/>
            </w:pPr>
            <w:r>
              <w:rPr>
                <w:sz w:val="20"/>
              </w:rPr>
              <w:t>100.0%</w:t>
            </w:r>
          </w:p>
        </w:tc>
      </w:tr>
      <w:tr>
        <w:tc>
          <w:tcPr>
            <w:tcW w:type="dxa" w:w="2160"/>
          </w:tcPr>
          <w:p>
            <w:pPr>
              <w:jc w:val="center"/>
            </w:pPr>
            <w:r>
              <w:rPr>
                <w:sz w:val="20"/>
              </w:rPr>
              <w:t>MRSA</w:t>
            </w:r>
          </w:p>
        </w:tc>
        <w:tc>
          <w:tcPr>
            <w:tcW w:type="dxa" w:w="2160"/>
          </w:tcPr>
          <w:p>
            <w:pPr>
              <w:jc w:val="center"/>
            </w:pPr>
            <w:r>
              <w:rPr>
                <w:sz w:val="20"/>
              </w:rPr>
              <w:t>66.7%</w:t>
            </w:r>
          </w:p>
        </w:tc>
        <w:tc>
          <w:tcPr>
            <w:tcW w:type="dxa" w:w="2160"/>
          </w:tcPr>
          <w:p>
            <w:pPr>
              <w:jc w:val="center"/>
            </w:pPr>
            <w:r>
              <w:rPr>
                <w:sz w:val="20"/>
              </w:rPr>
              <w:t>60.0%</w:t>
            </w:r>
          </w:p>
        </w:tc>
        <w:tc>
          <w:tcPr>
            <w:tcW w:type="dxa" w:w="2160"/>
          </w:tcPr>
          <w:p>
            <w:pPr>
              <w:jc w:val="center"/>
            </w:pPr>
            <w:r>
              <w:rPr>
                <w:sz w:val="20"/>
              </w:rPr>
              <w:t>100.0%</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bvf_faithfulness.png"/>
                    <pic:cNvPicPr/>
                  </pic:nvPicPr>
                  <pic:blipFill>
                    <a:blip r:embed="rId11"/>
                    <a:stretch>
                      <a:fillRect/>
                    </a:stretch>
                  </pic:blipFill>
                  <pic:spPr>
                    <a:xfrm>
                      <a:off x="0" y="0"/>
                      <a:ext cx="5303520" cy="2651760"/>
                    </a:xfrm>
                    <a:prstGeom prst="rect"/>
                  </pic:spPr>
                </pic:pic>
              </a:graphicData>
            </a:graphic>
          </wp:inline>
        </w:drawing>
      </w:r>
    </w:p>
    <w:p/>
    <w:p>
      <w:pPr>
        <w:pStyle w:val="Heading2"/>
      </w:pPr>
      <w:r>
        <w:rPr>
          <w:color w:val="1A1A2E"/>
        </w:rPr>
        <w:t>4.2 Overall Comparison: All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Batch (Ollama)</w:t>
            </w:r>
          </w:p>
        </w:tc>
        <w:tc>
          <w:tcPr>
            <w:tcW w:type="dxa" w:w="2160"/>
          </w:tcPr>
          <w:p>
            <w:pPr>
              <w:jc w:val="center"/>
            </w:pPr>
            <w:r>
              <w:rPr>
                <w:b/>
                <w:sz w:val="20"/>
              </w:rPr>
              <w:t>Fair: Ollama</w:t>
              <w:br/>
              <w:t>(Groq-judged)</w:t>
            </w:r>
          </w:p>
        </w:tc>
        <w:tc>
          <w:tcPr>
            <w:tcW w:type="dxa" w:w="2160"/>
          </w:tcPr>
          <w:p>
            <w:pPr>
              <w:jc w:val="center"/>
            </w:pPr>
            <w:r>
              <w:rPr>
                <w:b/>
                <w:sz w:val="20"/>
              </w:rPr>
              <w:t>Fair: Groq</w:t>
              <w:br/>
              <w:t>(Groq-judged)</w:t>
            </w:r>
          </w:p>
        </w:tc>
      </w:tr>
      <w:tr>
        <w:tc>
          <w:tcPr>
            <w:tcW w:type="dxa" w:w="2160"/>
          </w:tcPr>
          <w:p>
            <w:pPr>
              <w:jc w:val="center"/>
            </w:pPr>
            <w:r>
              <w:rPr>
                <w:sz w:val="20"/>
              </w:rPr>
              <w:t>Faithfulness</w:t>
            </w:r>
          </w:p>
        </w:tc>
        <w:tc>
          <w:tcPr>
            <w:tcW w:type="dxa" w:w="2160"/>
          </w:tcPr>
          <w:p>
            <w:pPr>
              <w:jc w:val="center"/>
            </w:pPr>
            <w:r>
              <w:rPr>
                <w:sz w:val="20"/>
              </w:rPr>
              <w:t>76.6%</w:t>
            </w:r>
          </w:p>
        </w:tc>
        <w:tc>
          <w:tcPr>
            <w:tcW w:type="dxa" w:w="2160"/>
          </w:tcPr>
          <w:p>
            <w:pPr>
              <w:jc w:val="center"/>
            </w:pPr>
            <w:r>
              <w:rPr>
                <w:sz w:val="20"/>
              </w:rPr>
              <w:t>88.0%</w:t>
            </w:r>
          </w:p>
        </w:tc>
        <w:tc>
          <w:tcPr>
            <w:tcW w:type="dxa" w:w="2160"/>
          </w:tcPr>
          <w:p>
            <w:pPr>
              <w:jc w:val="center"/>
            </w:pPr>
            <w:r>
              <w:rPr>
                <w:sz w:val="20"/>
              </w:rPr>
              <w:t>100.0%</w:t>
            </w:r>
          </w:p>
        </w:tc>
      </w:tr>
      <w:tr>
        <w:tc>
          <w:tcPr>
            <w:tcW w:type="dxa" w:w="2160"/>
          </w:tcPr>
          <w:p>
            <w:pPr>
              <w:jc w:val="center"/>
            </w:pPr>
            <w:r>
              <w:rPr>
                <w:sz w:val="20"/>
              </w:rPr>
              <w:t>Coverage / Context Recall</w:t>
            </w:r>
          </w:p>
        </w:tc>
        <w:tc>
          <w:tcPr>
            <w:tcW w:type="dxa" w:w="2160"/>
          </w:tcPr>
          <w:p>
            <w:pPr>
              <w:jc w:val="center"/>
            </w:pPr>
            <w:r>
              <w:rPr>
                <w:sz w:val="20"/>
              </w:rPr>
              <w:t>29.4%</w:t>
            </w:r>
          </w:p>
        </w:tc>
        <w:tc>
          <w:tcPr>
            <w:tcW w:type="dxa" w:w="2160"/>
          </w:tcPr>
          <w:p>
            <w:pPr>
              <w:jc w:val="center"/>
            </w:pPr>
            <w:r>
              <w:rPr>
                <w:sz w:val="20"/>
              </w:rPr>
              <w:t>100.0%</w:t>
            </w:r>
          </w:p>
        </w:tc>
        <w:tc>
          <w:tcPr>
            <w:tcW w:type="dxa" w:w="2160"/>
          </w:tcPr>
          <w:p>
            <w:pPr>
              <w:jc w:val="center"/>
            </w:pPr>
            <w:r>
              <w:rPr>
                <w:sz w:val="20"/>
              </w:rPr>
              <w:t>100.0%</w:t>
            </w:r>
          </w:p>
        </w:tc>
      </w:tr>
      <w:tr>
        <w:tc>
          <w:tcPr>
            <w:tcW w:type="dxa" w:w="2160"/>
          </w:tcPr>
          <w:p>
            <w:pPr>
              <w:jc w:val="center"/>
            </w:pPr>
            <w:r>
              <w:rPr>
                <w:sz w:val="20"/>
              </w:rPr>
              <w:t>Relevance / BLEU</w:t>
            </w:r>
          </w:p>
        </w:tc>
        <w:tc>
          <w:tcPr>
            <w:tcW w:type="dxa" w:w="2160"/>
          </w:tcPr>
          <w:p>
            <w:pPr>
              <w:jc w:val="center"/>
            </w:pPr>
            <w:r>
              <w:rPr>
                <w:sz w:val="20"/>
              </w:rPr>
              <w:t>57.6%</w:t>
            </w:r>
          </w:p>
        </w:tc>
        <w:tc>
          <w:tcPr>
            <w:tcW w:type="dxa" w:w="2160"/>
          </w:tcPr>
          <w:p>
            <w:pPr>
              <w:jc w:val="center"/>
            </w:pPr>
            <w:r>
              <w:rPr>
                <w:sz w:val="20"/>
              </w:rPr>
              <w:t>51.9%</w:t>
            </w:r>
          </w:p>
        </w:tc>
        <w:tc>
          <w:tcPr>
            <w:tcW w:type="dxa" w:w="2160"/>
          </w:tcPr>
          <w:p>
            <w:pPr>
              <w:jc w:val="center"/>
            </w:pPr>
            <w:r>
              <w:rPr>
                <w:sz w:val="20"/>
              </w:rPr>
              <w:t>63.7%</w:t>
            </w:r>
          </w:p>
        </w:tc>
      </w:tr>
    </w:tbl>
    <w:p/>
    <w:p>
      <w:pPr>
        <w:jc w:val="center"/>
      </w:pPr>
      <w:r>
        <w:drawing>
          <wp:inline xmlns:a="http://schemas.openxmlformats.org/drawingml/2006/main" xmlns:pic="http://schemas.openxmlformats.org/drawingml/2006/picture">
            <wp:extent cx="5303520" cy="2916936"/>
            <wp:docPr id="4" name="Picture 4"/>
            <wp:cNvGraphicFramePr>
              <a:graphicFrameLocks noChangeAspect="1"/>
            </wp:cNvGraphicFramePr>
            <a:graphic>
              <a:graphicData uri="http://schemas.openxmlformats.org/drawingml/2006/picture">
                <pic:pic>
                  <pic:nvPicPr>
                    <pic:cNvPr id="0" name="bvf_overall.png"/>
                    <pic:cNvPicPr/>
                  </pic:nvPicPr>
                  <pic:blipFill>
                    <a:blip r:embed="rId12"/>
                    <a:stretch>
                      <a:fillRect/>
                    </a:stretch>
                  </pic:blipFill>
                  <pic:spPr>
                    <a:xfrm>
                      <a:off x="0" y="0"/>
                      <a:ext cx="5303520" cy="2916936"/>
                    </a:xfrm>
                    <a:prstGeom prst="rect"/>
                  </pic:spPr>
                </pic:pic>
              </a:graphicData>
            </a:graphic>
          </wp:inline>
        </w:drawing>
      </w:r>
    </w:p>
    <w:p/>
    <w:p>
      <w:r>
        <w:br w:type="page"/>
      </w:r>
    </w:p>
    <w:p>
      <w:pPr>
        <w:pStyle w:val="Heading1"/>
      </w:pPr>
      <w:r>
        <w:rPr>
          <w:color w:val="1A1A2E"/>
        </w:rPr>
        <w:t>5. Analysis: Why the Approaches Differ</w:t>
      </w:r>
    </w:p>
    <w:p>
      <w:pPr>
        <w:pStyle w:val="Heading2"/>
      </w:pPr>
      <w:r>
        <w:rPr>
          <w:color w:val="1A1A2E"/>
        </w:rPr>
        <w:t>5.1 Token-Overlap vs Semantic Understanding</w:t>
      </w:r>
    </w:p>
    <w:p>
      <w:r>
        <w:t>The batch evaluation measures faithfulness by counting how many answer tokens appear in the context. This is fast and deterministic, but it misses semantic meaning. For example, if the answer says "varicose veins are caused by valve problems" and the context says "valves stop working properly", token overlap may score this lower than an LLM judge that understands they mean the same thing.</w:t>
      </w:r>
    </w:p>
    <w:p>
      <w:pPr>
        <w:pStyle w:val="Heading2"/>
      </w:pPr>
      <w:r>
        <w:rPr>
          <w:color w:val="1A1A2E"/>
        </w:rPr>
        <w:t>5.2 Coverage vs Context Recall</w:t>
      </w:r>
    </w:p>
    <w:p>
      <w:r>
        <w:t>Batch coverage (29.4%) is much lower than fair context recall (100%). This is because coverage measures what fraction of context tokens appear in the answer — but the context is much longer than the answer, so most context tokens naturally won't appear. The LLM judge evaluates whether the context semantically covers the reference answer, which is a more meaningful question.</w:t>
      </w:r>
    </w:p>
    <w:p>
      <w:pPr>
        <w:pStyle w:val="Heading2"/>
      </w:pPr>
      <w:r>
        <w:rPr>
          <w:color w:val="1A1A2E"/>
        </w:rPr>
        <w:t>5.3 Relevance vs BLEU</w:t>
      </w:r>
    </w:p>
    <w:p>
      <w:r>
        <w:t>Batch relevance (57.6%) measures query-answer token overlap — does the answer contain the question's words? BLEU (51.9% Ollama, 63.7% Groq) measures answer-reference word overlap. These measure different things: relevance checks if the answer addresses the question, while BLEU checks if the answer matches the ground truth.</w:t>
      </w:r>
    </w:p>
    <w:p>
      <w:pPr>
        <w:pStyle w:val="Heading2"/>
      </w:pPr>
      <w:r>
        <w:rPr>
          <w:color w:val="1A1A2E"/>
        </w:rPr>
        <w:t>5.4 Type 1 Diabetes — Consistently Weak</w:t>
      </w:r>
    </w:p>
    <w:p>
      <w:r>
        <w:t>Both approaches flagged this question as problematic. Batch faithfulness was 31.9% (the answer contained many words not in the context), and fair faithfulness was 80% (the LLM judge noted the answer added unsupported advice). The underlying issue is thin reference data for this topic.</w:t>
      </w:r>
    </w:p>
    <w:p>
      <w:pPr>
        <w:pStyle w:val="Heading2"/>
      </w:pPr>
      <w:r>
        <w:rPr>
          <w:color w:val="1A1A2E"/>
        </w:rPr>
        <w:t>5.5 MRSA — Divergent Scores</w:t>
      </w:r>
    </w:p>
    <w:p>
      <w:r>
        <w:t>Batch faithfulness for MRSA was 66.7% while fair comparison gave 60%. Both flagged that the Ollama answer drifted into treatment details beyond the "how you get MRSA" question. The token-overlap approach caught this because treatment-related tokens weren't in the primary context chunk.</w:t>
      </w:r>
    </w:p>
    <w:p>
      <w:pPr>
        <w:pStyle w:val="Heading1"/>
      </w:pPr>
      <w:r>
        <w:rPr>
          <w:color w:val="1A1A2E"/>
        </w:rPr>
        <w:t>6. Key Takeaways</w:t>
      </w:r>
    </w:p>
    <w:p>
      <w:pPr>
        <w:pStyle w:val="ListNumber"/>
      </w:pPr>
      <w:r>
        <w:t>Token-overlap metrics (batch) are fast, deterministic, and free — but they only capture surface-level word matching. They work well as a quick sanity check.</w:t>
      </w:r>
    </w:p>
    <w:p>
      <w:pPr>
        <w:pStyle w:val="ListNumber"/>
      </w:pPr>
      <w:r>
        <w:t>LLM-judged metrics (fair comparison) capture semantic meaning and nuance, but depend on the quality of the judge model and cost API calls.</w:t>
      </w:r>
    </w:p>
    <w:p>
      <w:pPr>
        <w:pStyle w:val="ListNumber"/>
      </w:pPr>
      <w:r>
        <w:t>Both approaches agreed on the weak spots: Type 1 Diabetes (thin data) and MRSA (answer drift). When both methods flag the same issue, it's a reliable signal.</w:t>
      </w:r>
    </w:p>
    <w:p>
      <w:pPr>
        <w:pStyle w:val="ListNumber"/>
      </w:pPr>
      <w:r>
        <w:t>The ideal evaluation combines both: token-overlap for fast iteration during development, and LLM-judged metrics for thorough evaluation before deployment.</w:t>
      </w:r>
    </w:p>
    <w:p>
      <w:pPr>
        <w:pStyle w:val="ListNumber"/>
      </w:pPr>
      <w:r>
        <w:t>Coverage (29.4%) should not be compared directly to context recall (100%) — they measure fundamentally different things despite sounding similar.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