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color w:val="1A1A2E"/>
          <w:sz w:val="52"/>
        </w:rPr>
        <w:t>RAG Evaluation Comparison Report</w:t>
      </w:r>
    </w:p>
    <w:p>
      <w:pPr>
        <w:jc w:val="center"/>
      </w:pPr>
      <w:r>
        <w:rPr>
          <w:color w:val="555555"/>
          <w:sz w:val="28"/>
        </w:rPr>
        <w:t>Ollama (llama3.2 — 3B, Local) vs Groq (llama-3.3-70b — API)</w:t>
      </w:r>
    </w:p>
    <w:p>
      <w:pPr>
        <w:jc w:val="center"/>
      </w:pPr>
      <w:r>
        <w:rPr>
          <w:i/>
          <w:color w:val="888888"/>
          <w:sz w:val="22"/>
        </w:rPr>
        <w:t>Includes original evaluation and fair comparison with same judge model</w:t>
      </w:r>
    </w:p>
    <w:p>
      <w:r>
        <w:br w:type="page"/>
      </w:r>
    </w:p>
    <w:p>
      <w:pPr>
        <w:pStyle w:val="Heading1"/>
      </w:pPr>
      <w:r>
        <w:rPr>
          <w:color w:val="1A1A2E"/>
        </w:rPr>
        <w:t>1. Overview</w:t>
      </w:r>
    </w:p>
    <w:p>
      <w:r>
        <w:t>This report compares the evaluation results of the same RAG (Retrieval-Augmented Generation) pipeline using two different LLM backends. Both runs used the same retrieval pipeline (ChromaDB + sentence-transformers embeddings + cross-encoder reranker), the same 5 questions, and the same reference documents from HSE medical conditions.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Ollama (Local)</w:t>
            </w:r>
          </w:p>
        </w:tc>
        <w:tc>
          <w:tcPr>
            <w:tcW w:type="dxa" w:w="2880"/>
          </w:tcPr>
          <w:p>
            <w:pPr>
              <w:jc w:val="center"/>
            </w:pPr>
            <w:r>
              <w:rPr>
                <w:b/>
                <w:sz w:val="20"/>
              </w:rPr>
              <w:t>Groq (API)</w:t>
            </w:r>
          </w:p>
        </w:tc>
      </w:tr>
      <w:tr>
        <w:tc>
          <w:tcPr>
            <w:tcW w:type="dxa" w:w="2880"/>
          </w:tcPr>
          <w:p>
            <w:pPr>
              <w:jc w:val="center"/>
            </w:pPr>
            <w:r>
              <w:rPr>
                <w:sz w:val="20"/>
              </w:rPr>
              <w:t>Model</w:t>
            </w:r>
          </w:p>
        </w:tc>
        <w:tc>
          <w:tcPr>
            <w:tcW w:type="dxa" w:w="2880"/>
          </w:tcPr>
          <w:p>
            <w:pPr>
              <w:jc w:val="center"/>
            </w:pPr>
            <w:r>
              <w:rPr>
                <w:sz w:val="20"/>
              </w:rPr>
              <w:t>llama3.2 (3B params)</w:t>
            </w:r>
          </w:p>
        </w:tc>
        <w:tc>
          <w:tcPr>
            <w:tcW w:type="dxa" w:w="2880"/>
          </w:tcPr>
          <w:p>
            <w:pPr>
              <w:jc w:val="center"/>
            </w:pPr>
            <w:r>
              <w:rPr>
                <w:sz w:val="20"/>
              </w:rPr>
              <w:t>llama-3.3-70b-versatile (70B params)</w:t>
            </w:r>
          </w:p>
        </w:tc>
      </w:tr>
      <w:tr>
        <w:tc>
          <w:tcPr>
            <w:tcW w:type="dxa" w:w="2880"/>
          </w:tcPr>
          <w:p>
            <w:pPr>
              <w:jc w:val="center"/>
            </w:pPr>
            <w:r>
              <w:rPr>
                <w:sz w:val="20"/>
              </w:rPr>
              <w:t>Hosting</w:t>
            </w:r>
          </w:p>
        </w:tc>
        <w:tc>
          <w:tcPr>
            <w:tcW w:type="dxa" w:w="2880"/>
          </w:tcPr>
          <w:p>
            <w:pPr>
              <w:jc w:val="center"/>
            </w:pPr>
            <w:r>
              <w:rPr>
                <w:sz w:val="20"/>
              </w:rPr>
              <w:t>Local (on-device)</w:t>
            </w:r>
          </w:p>
        </w:tc>
        <w:tc>
          <w:tcPr>
            <w:tcW w:type="dxa" w:w="2880"/>
          </w:tcPr>
          <w:p>
            <w:pPr>
              <w:jc w:val="center"/>
            </w:pPr>
            <w:r>
              <w:rPr>
                <w:sz w:val="20"/>
              </w:rPr>
              <w:t>Cloud API (free tier)</w:t>
            </w:r>
          </w:p>
        </w:tc>
      </w:tr>
      <w:tr>
        <w:tc>
          <w:tcPr>
            <w:tcW w:type="dxa" w:w="2880"/>
          </w:tcPr>
          <w:p>
            <w:pPr>
              <w:jc w:val="center"/>
            </w:pPr>
            <w:r>
              <w:rPr>
                <w:sz w:val="20"/>
              </w:rPr>
              <w:t>Role</w:t>
            </w:r>
          </w:p>
        </w:tc>
        <w:tc>
          <w:tcPr>
            <w:tcW w:type="dxa" w:w="2880"/>
          </w:tcPr>
          <w:p>
            <w:pPr>
              <w:jc w:val="center"/>
            </w:pPr>
            <w:r>
              <w:rPr>
                <w:sz w:val="20"/>
              </w:rPr>
              <w:t>RAG generation + evaluation judge</w:t>
            </w:r>
          </w:p>
        </w:tc>
        <w:tc>
          <w:tcPr>
            <w:tcW w:type="dxa" w:w="2880"/>
          </w:tcPr>
          <w:p>
            <w:pPr>
              <w:jc w:val="center"/>
            </w:pPr>
            <w:r>
              <w:rPr>
                <w:sz w:val="20"/>
              </w:rPr>
              <w:t>RAG generation + evaluation judge</w:t>
            </w:r>
          </w:p>
        </w:tc>
      </w:tr>
      <w:tr>
        <w:tc>
          <w:tcPr>
            <w:tcW w:type="dxa" w:w="2880"/>
          </w:tcPr>
          <w:p>
            <w:pPr>
              <w:jc w:val="center"/>
            </w:pPr>
            <w:r>
              <w:rPr>
                <w:sz w:val="20"/>
              </w:rPr>
              <w:t>Questions</w:t>
            </w:r>
          </w:p>
        </w:tc>
        <w:tc>
          <w:tcPr>
            <w:tcW w:type="dxa" w:w="2880"/>
          </w:tcPr>
          <w:p>
            <w:pPr>
              <w:jc w:val="center"/>
            </w:pPr>
            <w:r>
              <w:rPr>
                <w:sz w:val="20"/>
              </w:rPr>
              <w:t>5</w:t>
            </w:r>
          </w:p>
        </w:tc>
        <w:tc>
          <w:tcPr>
            <w:tcW w:type="dxa" w:w="2880"/>
          </w:tcPr>
          <w:p>
            <w:pPr>
              <w:jc w:val="center"/>
            </w:pPr>
            <w:r>
              <w:rPr>
                <w:sz w:val="20"/>
              </w:rPr>
              <w:t>5</w:t>
            </w:r>
          </w:p>
        </w:tc>
      </w:tr>
    </w:tbl>
    <w:p/>
    <w:p>
      <w:r>
        <w:t>The evaluation uses three metrics: Faithfulness (is the answer grounded in context?), Context Recall (does the context cover the reference answer?), and BLEU Score (algorithmic word overlap between answer and reference).</w:t>
      </w:r>
    </w:p>
    <w:p>
      <w:r>
        <w:br w:type="page"/>
      </w:r>
    </w:p>
    <w:p>
      <w:pPr>
        <w:pStyle w:val="Heading1"/>
      </w:pPr>
      <w:r>
        <w:rPr>
          <w:color w:val="1A1A2E"/>
        </w:rPr>
        <w:t>2. Original Evaluation Results</w:t>
      </w:r>
    </w:p>
    <w:p>
      <w:r>
        <w:t>In the original evaluation, each model served as both the answer generator and the evaluation judge. Ollama's llama3.2 (3B) judged its own answers, and Groq's llama-3.3-70b (70B) judged its own answers.</w:t>
      </w:r>
    </w:p>
    <w:p>
      <w:pPr>
        <w:pStyle w:val="Heading2"/>
      </w:pPr>
      <w:r>
        <w:rPr>
          <w:color w:val="1A1A2E"/>
        </w:rPr>
        <w:t>2.1 Overall Averages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Metric</w:t>
            </w:r>
          </w:p>
        </w:tc>
        <w:tc>
          <w:tcPr>
            <w:tcW w:type="dxa" w:w="2160"/>
          </w:tcPr>
          <w:p>
            <w:pPr>
              <w:jc w:val="center"/>
            </w:pPr>
            <w:r>
              <w:rPr>
                <w:b/>
                <w:sz w:val="20"/>
              </w:rPr>
              <w:t>Ollama (llama3.2)</w:t>
            </w:r>
          </w:p>
        </w:tc>
        <w:tc>
          <w:tcPr>
            <w:tcW w:type="dxa" w:w="2160"/>
          </w:tcPr>
          <w:p>
            <w:pPr>
              <w:jc w:val="center"/>
            </w:pPr>
            <w:r>
              <w:rPr>
                <w:b/>
                <w:sz w:val="20"/>
              </w:rPr>
              <w:t>Groq (llama-3.3-70b)</w:t>
            </w:r>
          </w:p>
        </w:tc>
        <w:tc>
          <w:tcPr>
            <w:tcW w:type="dxa" w:w="2160"/>
          </w:tcPr>
          <w:p>
            <w:pPr>
              <w:jc w:val="center"/>
            </w:pPr>
            <w:r>
              <w:rPr>
                <w:b/>
                <w:sz w:val="20"/>
              </w:rPr>
              <w:t>Difference</w:t>
            </w:r>
          </w:p>
        </w:tc>
      </w:tr>
      <w:tr>
        <w:tc>
          <w:tcPr>
            <w:tcW w:type="dxa" w:w="2160"/>
          </w:tcPr>
          <w:p>
            <w:pPr>
              <w:jc w:val="center"/>
            </w:pPr>
            <w:r>
              <w:rPr>
                <w:sz w:val="20"/>
              </w:rPr>
              <w:t>Faithfulness</w:t>
            </w:r>
          </w:p>
        </w:tc>
        <w:tc>
          <w:tcPr>
            <w:tcW w:type="dxa" w:w="2160"/>
          </w:tcPr>
          <w:p>
            <w:pPr>
              <w:jc w:val="center"/>
            </w:pPr>
            <w:r>
              <w:rPr>
                <w:sz w:val="20"/>
              </w:rPr>
              <w:t>56.6%</w:t>
            </w:r>
          </w:p>
        </w:tc>
        <w:tc>
          <w:tcPr>
            <w:tcW w:type="dxa" w:w="2160"/>
          </w:tcPr>
          <w:p>
            <w:pPr>
              <w:jc w:val="center"/>
            </w:pPr>
            <w:r>
              <w:rPr>
                <w:sz w:val="20"/>
              </w:rPr>
              <w:t>100.0%</w:t>
            </w:r>
          </w:p>
        </w:tc>
        <w:tc>
          <w:tcPr>
            <w:tcW w:type="dxa" w:w="2160"/>
          </w:tcPr>
          <w:p>
            <w:pPr>
              <w:jc w:val="center"/>
            </w:pPr>
            <w:r>
              <w:rPr>
                <w:sz w:val="20"/>
              </w:rPr>
              <w:t>+43.4%</w:t>
            </w:r>
          </w:p>
        </w:tc>
      </w:tr>
      <w:tr>
        <w:tc>
          <w:tcPr>
            <w:tcW w:type="dxa" w:w="2160"/>
          </w:tcPr>
          <w:p>
            <w:pPr>
              <w:jc w:val="center"/>
            </w:pPr>
            <w:r>
              <w:rPr>
                <w:sz w:val="20"/>
              </w:rPr>
              <w:t>Context Recall</w:t>
            </w:r>
          </w:p>
        </w:tc>
        <w:tc>
          <w:tcPr>
            <w:tcW w:type="dxa" w:w="2160"/>
          </w:tcPr>
          <w:p>
            <w:pPr>
              <w:jc w:val="center"/>
            </w:pPr>
            <w:r>
              <w:rPr>
                <w:sz w:val="20"/>
              </w:rPr>
              <w:t>38.6%</w:t>
            </w:r>
          </w:p>
        </w:tc>
        <w:tc>
          <w:tcPr>
            <w:tcW w:type="dxa" w:w="2160"/>
          </w:tcPr>
          <w:p>
            <w:pPr>
              <w:jc w:val="center"/>
            </w:pPr>
            <w:r>
              <w:rPr>
                <w:sz w:val="20"/>
              </w:rPr>
              <w:t>100.0%</w:t>
            </w:r>
          </w:p>
        </w:tc>
        <w:tc>
          <w:tcPr>
            <w:tcW w:type="dxa" w:w="2160"/>
          </w:tcPr>
          <w:p>
            <w:pPr>
              <w:jc w:val="center"/>
            </w:pPr>
            <w:r>
              <w:rPr>
                <w:sz w:val="20"/>
              </w:rPr>
              <w:t>+61.4%</w:t>
            </w:r>
          </w:p>
        </w:tc>
      </w:tr>
      <w:tr>
        <w:tc>
          <w:tcPr>
            <w:tcW w:type="dxa" w:w="2160"/>
          </w:tcPr>
          <w:p>
            <w:pPr>
              <w:jc w:val="center"/>
            </w:pPr>
            <w:r>
              <w:rPr>
                <w:sz w:val="20"/>
              </w:rPr>
              <w:t>BLEU Score</w:t>
            </w:r>
          </w:p>
        </w:tc>
        <w:tc>
          <w:tcPr>
            <w:tcW w:type="dxa" w:w="2160"/>
          </w:tcPr>
          <w:p>
            <w:pPr>
              <w:jc w:val="center"/>
            </w:pPr>
            <w:r>
              <w:rPr>
                <w:sz w:val="20"/>
              </w:rPr>
              <w:t>51.9%</w:t>
            </w:r>
          </w:p>
        </w:tc>
        <w:tc>
          <w:tcPr>
            <w:tcW w:type="dxa" w:w="2160"/>
          </w:tcPr>
          <w:p>
            <w:pPr>
              <w:jc w:val="center"/>
            </w:pPr>
            <w:r>
              <w:rPr>
                <w:sz w:val="20"/>
              </w:rPr>
              <w:t>63.7%</w:t>
            </w:r>
          </w:p>
        </w:tc>
        <w:tc>
          <w:tcPr>
            <w:tcW w:type="dxa" w:w="2160"/>
          </w:tcPr>
          <w:p>
            <w:pPr>
              <w:jc w:val="center"/>
            </w:pPr>
            <w:r>
              <w:rPr>
                <w:sz w:val="20"/>
              </w:rPr>
              <w:t>+11.8%</w:t>
            </w:r>
          </w:p>
        </w:tc>
      </w:tr>
    </w:tbl>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rpt_orig_overall.png"/>
                    <pic:cNvPicPr/>
                  </pic:nvPicPr>
                  <pic:blipFill>
                    <a:blip r:embed="rId9"/>
                    <a:stretch>
                      <a:fillRect/>
                    </a:stretch>
                  </pic:blipFill>
                  <pic:spPr>
                    <a:xfrm>
                      <a:off x="0" y="0"/>
                      <a:ext cx="5303520" cy="3314700"/>
                    </a:xfrm>
                    <a:prstGeom prst="rect"/>
                  </pic:spPr>
                </pic:pic>
              </a:graphicData>
            </a:graphic>
          </wp:inline>
        </w:drawing>
      </w:r>
    </w:p>
    <w:p/>
    <w:p>
      <w:pPr>
        <w:pStyle w:val="Heading2"/>
      </w:pPr>
      <w:r>
        <w:rPr>
          <w:color w:val="1A1A2E"/>
        </w:rPr>
        <w:t>2.2 Faithfulness per Question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Question</w:t>
            </w:r>
          </w:p>
        </w:tc>
        <w:tc>
          <w:tcPr>
            <w:tcW w:type="dxa" w:w="2160"/>
          </w:tcPr>
          <w:p>
            <w:pPr>
              <w:jc w:val="center"/>
            </w:pPr>
            <w:r>
              <w:rPr>
                <w:b/>
                <w:sz w:val="20"/>
              </w:rPr>
              <w:t>Ollama</w:t>
            </w:r>
          </w:p>
        </w:tc>
        <w:tc>
          <w:tcPr>
            <w:tcW w:type="dxa" w:w="2160"/>
          </w:tcPr>
          <w:p>
            <w:pPr>
              <w:jc w:val="center"/>
            </w:pPr>
            <w:r>
              <w:rPr>
                <w:b/>
                <w:sz w:val="20"/>
              </w:rPr>
              <w:t>Groq</w:t>
            </w:r>
          </w:p>
        </w:tc>
        <w:tc>
          <w:tcPr>
            <w:tcW w:type="dxa" w:w="2160"/>
          </w:tcPr>
          <w:p>
            <w:pPr>
              <w:jc w:val="center"/>
            </w:pPr>
            <w:r>
              <w:rPr>
                <w:b/>
                <w:sz w:val="20"/>
              </w:rPr>
              <w:t>Diff</w:t>
            </w:r>
          </w:p>
        </w:tc>
      </w:tr>
      <w:tr>
        <w:tc>
          <w:tcPr>
            <w:tcW w:type="dxa" w:w="2160"/>
          </w:tcPr>
          <w:p>
            <w:pPr>
              <w:jc w:val="center"/>
            </w:pPr>
            <w:r>
              <w:rPr>
                <w:sz w:val="20"/>
              </w:rPr>
              <w:t>Symptoms of bacterial vaginosis</w:t>
            </w:r>
          </w:p>
        </w:tc>
        <w:tc>
          <w:tcPr>
            <w:tcW w:type="dxa" w:w="2160"/>
          </w:tcPr>
          <w:p>
            <w:pPr>
              <w:jc w:val="center"/>
            </w:pPr>
            <w:r>
              <w:rPr>
                <w:sz w:val="20"/>
              </w:rPr>
              <w:t>80.0%</w:t>
            </w:r>
          </w:p>
        </w:tc>
        <w:tc>
          <w:tcPr>
            <w:tcW w:type="dxa" w:w="2160"/>
          </w:tcPr>
          <w:p>
            <w:pPr>
              <w:jc w:val="center"/>
            </w:pPr>
            <w:r>
              <w:rPr>
                <w:sz w:val="20"/>
              </w:rPr>
              <w:t>100.0%</w:t>
            </w:r>
          </w:p>
        </w:tc>
        <w:tc>
          <w:tcPr>
            <w:tcW w:type="dxa" w:w="2160"/>
          </w:tcPr>
          <w:p>
            <w:pPr>
              <w:jc w:val="center"/>
            </w:pPr>
            <w:r>
              <w:rPr>
                <w:sz w:val="20"/>
              </w:rPr>
              <w:t>+20.0%</w:t>
            </w:r>
          </w:p>
        </w:tc>
      </w:tr>
      <w:tr>
        <w:tc>
          <w:tcPr>
            <w:tcW w:type="dxa" w:w="2160"/>
          </w:tcPr>
          <w:p>
            <w:pPr>
              <w:jc w:val="center"/>
            </w:pPr>
            <w:r>
              <w:rPr>
                <w:sz w:val="20"/>
              </w:rPr>
              <w:t>Causes of varicose veins</w:t>
            </w:r>
          </w:p>
        </w:tc>
        <w:tc>
          <w:tcPr>
            <w:tcW w:type="dxa" w:w="2160"/>
          </w:tcPr>
          <w:p>
            <w:pPr>
              <w:jc w:val="center"/>
            </w:pPr>
            <w:r>
              <w:rPr>
                <w:sz w:val="20"/>
              </w:rPr>
              <w:t>80.0%</w:t>
            </w:r>
          </w:p>
        </w:tc>
        <w:tc>
          <w:tcPr>
            <w:tcW w:type="dxa" w:w="2160"/>
          </w:tcPr>
          <w:p>
            <w:pPr>
              <w:jc w:val="center"/>
            </w:pPr>
            <w:r>
              <w:rPr>
                <w:sz w:val="20"/>
              </w:rPr>
              <w:t>100.0%</w:t>
            </w:r>
          </w:p>
        </w:tc>
        <w:tc>
          <w:tcPr>
            <w:tcW w:type="dxa" w:w="2160"/>
          </w:tcPr>
          <w:p>
            <w:pPr>
              <w:jc w:val="center"/>
            </w:pPr>
            <w:r>
              <w:rPr>
                <w:sz w:val="20"/>
              </w:rPr>
              <w:t>+20.0%</w:t>
            </w:r>
          </w:p>
        </w:tc>
      </w:tr>
      <w:tr>
        <w:tc>
          <w:tcPr>
            <w:tcW w:type="dxa" w:w="2160"/>
          </w:tcPr>
          <w:p>
            <w:pPr>
              <w:jc w:val="center"/>
            </w:pPr>
            <w:r>
              <w:rPr>
                <w:sz w:val="20"/>
              </w:rPr>
              <w:t>Preventing melanoma</w:t>
            </w:r>
          </w:p>
        </w:tc>
        <w:tc>
          <w:tcPr>
            <w:tcW w:type="dxa" w:w="2160"/>
          </w:tcPr>
          <w:p>
            <w:pPr>
              <w:jc w:val="center"/>
            </w:pPr>
            <w:r>
              <w:rPr>
                <w:sz w:val="20"/>
              </w:rPr>
              <w:t>33.0%</w:t>
            </w:r>
          </w:p>
        </w:tc>
        <w:tc>
          <w:tcPr>
            <w:tcW w:type="dxa" w:w="2160"/>
          </w:tcPr>
          <w:p>
            <w:pPr>
              <w:jc w:val="center"/>
            </w:pPr>
            <w:r>
              <w:rPr>
                <w:sz w:val="20"/>
              </w:rPr>
              <w:t>100.0%</w:t>
            </w:r>
          </w:p>
        </w:tc>
        <w:tc>
          <w:tcPr>
            <w:tcW w:type="dxa" w:w="2160"/>
          </w:tcPr>
          <w:p>
            <w:pPr>
              <w:jc w:val="center"/>
            </w:pPr>
            <w:r>
              <w:rPr>
                <w:sz w:val="20"/>
              </w:rPr>
              <w:t>+67.0%</w:t>
            </w:r>
          </w:p>
        </w:tc>
      </w:tr>
      <w:tr>
        <w:tc>
          <w:tcPr>
            <w:tcW w:type="dxa" w:w="2160"/>
          </w:tcPr>
          <w:p>
            <w:pPr>
              <w:jc w:val="center"/>
            </w:pPr>
            <w:r>
              <w:rPr>
                <w:sz w:val="20"/>
              </w:rPr>
              <w:t>Living with type 1 diabetes</w:t>
            </w:r>
          </w:p>
        </w:tc>
        <w:tc>
          <w:tcPr>
            <w:tcW w:type="dxa" w:w="2160"/>
          </w:tcPr>
          <w:p>
            <w:pPr>
              <w:jc w:val="center"/>
            </w:pPr>
            <w:r>
              <w:rPr>
                <w:sz w:val="20"/>
              </w:rPr>
              <w:t>50.0%</w:t>
            </w:r>
          </w:p>
        </w:tc>
        <w:tc>
          <w:tcPr>
            <w:tcW w:type="dxa" w:w="2160"/>
          </w:tcPr>
          <w:p>
            <w:pPr>
              <w:jc w:val="center"/>
            </w:pPr>
            <w:r>
              <w:rPr>
                <w:sz w:val="20"/>
              </w:rPr>
              <w:t>100.0%</w:t>
            </w:r>
          </w:p>
        </w:tc>
        <w:tc>
          <w:tcPr>
            <w:tcW w:type="dxa" w:w="2160"/>
          </w:tcPr>
          <w:p>
            <w:pPr>
              <w:jc w:val="center"/>
            </w:pPr>
            <w:r>
              <w:rPr>
                <w:sz w:val="20"/>
              </w:rPr>
              <w:t>+50.0%</w:t>
            </w:r>
          </w:p>
        </w:tc>
      </w:tr>
      <w:tr>
        <w:tc>
          <w:tcPr>
            <w:tcW w:type="dxa" w:w="2160"/>
          </w:tcPr>
          <w:p>
            <w:pPr>
              <w:jc w:val="center"/>
            </w:pPr>
            <w:r>
              <w:rPr>
                <w:sz w:val="20"/>
              </w:rPr>
              <w:t>MRSA</w:t>
            </w:r>
          </w:p>
        </w:tc>
        <w:tc>
          <w:tcPr>
            <w:tcW w:type="dxa" w:w="2160"/>
          </w:tcPr>
          <w:p>
            <w:pPr>
              <w:jc w:val="center"/>
            </w:pPr>
            <w:r>
              <w:rPr>
                <w:sz w:val="20"/>
              </w:rPr>
              <w:t>40.0%</w:t>
            </w:r>
          </w:p>
        </w:tc>
        <w:tc>
          <w:tcPr>
            <w:tcW w:type="dxa" w:w="2160"/>
          </w:tcPr>
          <w:p>
            <w:pPr>
              <w:jc w:val="center"/>
            </w:pPr>
            <w:r>
              <w:rPr>
                <w:sz w:val="20"/>
              </w:rPr>
              <w:t>100.0%</w:t>
            </w:r>
          </w:p>
        </w:tc>
        <w:tc>
          <w:tcPr>
            <w:tcW w:type="dxa" w:w="2160"/>
          </w:tcPr>
          <w:p>
            <w:pPr>
              <w:jc w:val="center"/>
            </w:pPr>
            <w:r>
              <w:rPr>
                <w:sz w:val="20"/>
              </w:rPr>
              <w:t>+60.0%</w:t>
            </w:r>
          </w:p>
        </w:tc>
      </w:tr>
    </w:tbl>
    <w:p/>
    <w:p>
      <w:pPr>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rpt_orig_faith.png"/>
                    <pic:cNvPicPr/>
                  </pic:nvPicPr>
                  <pic:blipFill>
                    <a:blip r:embed="rId10"/>
                    <a:stretch>
                      <a:fillRect/>
                    </a:stretch>
                  </pic:blipFill>
                  <pic:spPr>
                    <a:xfrm>
                      <a:off x="0" y="0"/>
                      <a:ext cx="5303520" cy="2651760"/>
                    </a:xfrm>
                    <a:prstGeom prst="rect"/>
                  </pic:spPr>
                </pic:pic>
              </a:graphicData>
            </a:graphic>
          </wp:inline>
        </w:drawing>
      </w:r>
    </w:p>
    <w:p/>
    <w:p>
      <w:pPr>
        <w:pStyle w:val="Heading2"/>
      </w:pPr>
      <w:r>
        <w:rPr>
          <w:color w:val="1A1A2E"/>
        </w:rPr>
        <w:t>2.3 Context Recall per Question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Question</w:t>
            </w:r>
          </w:p>
        </w:tc>
        <w:tc>
          <w:tcPr>
            <w:tcW w:type="dxa" w:w="2160"/>
          </w:tcPr>
          <w:p>
            <w:pPr>
              <w:jc w:val="center"/>
            </w:pPr>
            <w:r>
              <w:rPr>
                <w:b/>
                <w:sz w:val="20"/>
              </w:rPr>
              <w:t>Ollama</w:t>
            </w:r>
          </w:p>
        </w:tc>
        <w:tc>
          <w:tcPr>
            <w:tcW w:type="dxa" w:w="2160"/>
          </w:tcPr>
          <w:p>
            <w:pPr>
              <w:jc w:val="center"/>
            </w:pPr>
            <w:r>
              <w:rPr>
                <w:b/>
                <w:sz w:val="20"/>
              </w:rPr>
              <w:t>Groq</w:t>
            </w:r>
          </w:p>
        </w:tc>
        <w:tc>
          <w:tcPr>
            <w:tcW w:type="dxa" w:w="2160"/>
          </w:tcPr>
          <w:p>
            <w:pPr>
              <w:jc w:val="center"/>
            </w:pPr>
            <w:r>
              <w:rPr>
                <w:b/>
                <w:sz w:val="20"/>
              </w:rPr>
              <w:t>Diff</w:t>
            </w:r>
          </w:p>
        </w:tc>
      </w:tr>
      <w:tr>
        <w:tc>
          <w:tcPr>
            <w:tcW w:type="dxa" w:w="2160"/>
          </w:tcPr>
          <w:p>
            <w:pPr>
              <w:jc w:val="center"/>
            </w:pPr>
            <w:r>
              <w:rPr>
                <w:sz w:val="20"/>
              </w:rPr>
              <w:t>Symptoms of bacterial vaginosis</w:t>
            </w:r>
          </w:p>
        </w:tc>
        <w:tc>
          <w:tcPr>
            <w:tcW w:type="dxa" w:w="2160"/>
          </w:tcPr>
          <w:p>
            <w:pPr>
              <w:jc w:val="center"/>
            </w:pPr>
            <w:r>
              <w:rPr>
                <w:sz w:val="20"/>
              </w:rPr>
              <w:t>40.0%</w:t>
            </w:r>
          </w:p>
        </w:tc>
        <w:tc>
          <w:tcPr>
            <w:tcW w:type="dxa" w:w="2160"/>
          </w:tcPr>
          <w:p>
            <w:pPr>
              <w:jc w:val="center"/>
            </w:pPr>
            <w:r>
              <w:rPr>
                <w:sz w:val="20"/>
              </w:rPr>
              <w:t>100.0%</w:t>
            </w:r>
          </w:p>
        </w:tc>
        <w:tc>
          <w:tcPr>
            <w:tcW w:type="dxa" w:w="2160"/>
          </w:tcPr>
          <w:p>
            <w:pPr>
              <w:jc w:val="center"/>
            </w:pPr>
            <w:r>
              <w:rPr>
                <w:sz w:val="20"/>
              </w:rPr>
              <w:t>+60.0%</w:t>
            </w:r>
          </w:p>
        </w:tc>
      </w:tr>
      <w:tr>
        <w:tc>
          <w:tcPr>
            <w:tcW w:type="dxa" w:w="2160"/>
          </w:tcPr>
          <w:p>
            <w:pPr>
              <w:jc w:val="center"/>
            </w:pPr>
            <w:r>
              <w:rPr>
                <w:sz w:val="20"/>
              </w:rPr>
              <w:t>Causes of varicose veins</w:t>
            </w:r>
          </w:p>
        </w:tc>
        <w:tc>
          <w:tcPr>
            <w:tcW w:type="dxa" w:w="2160"/>
          </w:tcPr>
          <w:p>
            <w:pPr>
              <w:jc w:val="center"/>
            </w:pPr>
            <w:r>
              <w:rPr>
                <w:sz w:val="20"/>
              </w:rPr>
              <w:t>40.0%</w:t>
            </w:r>
          </w:p>
        </w:tc>
        <w:tc>
          <w:tcPr>
            <w:tcW w:type="dxa" w:w="2160"/>
          </w:tcPr>
          <w:p>
            <w:pPr>
              <w:jc w:val="center"/>
            </w:pPr>
            <w:r>
              <w:rPr>
                <w:sz w:val="20"/>
              </w:rPr>
              <w:t>100.0%</w:t>
            </w:r>
          </w:p>
        </w:tc>
        <w:tc>
          <w:tcPr>
            <w:tcW w:type="dxa" w:w="2160"/>
          </w:tcPr>
          <w:p>
            <w:pPr>
              <w:jc w:val="center"/>
            </w:pPr>
            <w:r>
              <w:rPr>
                <w:sz w:val="20"/>
              </w:rPr>
              <w:t>+60.0%</w:t>
            </w:r>
          </w:p>
        </w:tc>
      </w:tr>
      <w:tr>
        <w:tc>
          <w:tcPr>
            <w:tcW w:type="dxa" w:w="2160"/>
          </w:tcPr>
          <w:p>
            <w:pPr>
              <w:jc w:val="center"/>
            </w:pPr>
            <w:r>
              <w:rPr>
                <w:sz w:val="20"/>
              </w:rPr>
              <w:t>Preventing melanoma</w:t>
            </w:r>
          </w:p>
        </w:tc>
        <w:tc>
          <w:tcPr>
            <w:tcW w:type="dxa" w:w="2160"/>
          </w:tcPr>
          <w:p>
            <w:pPr>
              <w:jc w:val="center"/>
            </w:pPr>
            <w:r>
              <w:rPr>
                <w:sz w:val="20"/>
              </w:rPr>
              <w:t>40.0%</w:t>
            </w:r>
          </w:p>
        </w:tc>
        <w:tc>
          <w:tcPr>
            <w:tcW w:type="dxa" w:w="2160"/>
          </w:tcPr>
          <w:p>
            <w:pPr>
              <w:jc w:val="center"/>
            </w:pPr>
            <w:r>
              <w:rPr>
                <w:sz w:val="20"/>
              </w:rPr>
              <w:t>100.0%</w:t>
            </w:r>
          </w:p>
        </w:tc>
        <w:tc>
          <w:tcPr>
            <w:tcW w:type="dxa" w:w="2160"/>
          </w:tcPr>
          <w:p>
            <w:pPr>
              <w:jc w:val="center"/>
            </w:pPr>
            <w:r>
              <w:rPr>
                <w:sz w:val="20"/>
              </w:rPr>
              <w:t>+60.0%</w:t>
            </w:r>
          </w:p>
        </w:tc>
      </w:tr>
      <w:tr>
        <w:tc>
          <w:tcPr>
            <w:tcW w:type="dxa" w:w="2160"/>
          </w:tcPr>
          <w:p>
            <w:pPr>
              <w:jc w:val="center"/>
            </w:pPr>
            <w:r>
              <w:rPr>
                <w:sz w:val="20"/>
              </w:rPr>
              <w:t>Living with type 1 diabetes</w:t>
            </w:r>
          </w:p>
        </w:tc>
        <w:tc>
          <w:tcPr>
            <w:tcW w:type="dxa" w:w="2160"/>
          </w:tcPr>
          <w:p>
            <w:pPr>
              <w:jc w:val="center"/>
            </w:pPr>
            <w:r>
              <w:rPr>
                <w:sz w:val="20"/>
              </w:rPr>
              <w:t>33.0%</w:t>
            </w:r>
          </w:p>
        </w:tc>
        <w:tc>
          <w:tcPr>
            <w:tcW w:type="dxa" w:w="2160"/>
          </w:tcPr>
          <w:p>
            <w:pPr>
              <w:jc w:val="center"/>
            </w:pPr>
            <w:r>
              <w:rPr>
                <w:sz w:val="20"/>
              </w:rPr>
              <w:t>100.0%</w:t>
            </w:r>
          </w:p>
        </w:tc>
        <w:tc>
          <w:tcPr>
            <w:tcW w:type="dxa" w:w="2160"/>
          </w:tcPr>
          <w:p>
            <w:pPr>
              <w:jc w:val="center"/>
            </w:pPr>
            <w:r>
              <w:rPr>
                <w:sz w:val="20"/>
              </w:rPr>
              <w:t>+67.0%</w:t>
            </w:r>
          </w:p>
        </w:tc>
      </w:tr>
      <w:tr>
        <w:tc>
          <w:tcPr>
            <w:tcW w:type="dxa" w:w="2160"/>
          </w:tcPr>
          <w:p>
            <w:pPr>
              <w:jc w:val="center"/>
            </w:pPr>
            <w:r>
              <w:rPr>
                <w:sz w:val="20"/>
              </w:rPr>
              <w:t>MRSA</w:t>
            </w:r>
          </w:p>
        </w:tc>
        <w:tc>
          <w:tcPr>
            <w:tcW w:type="dxa" w:w="2160"/>
          </w:tcPr>
          <w:p>
            <w:pPr>
              <w:jc w:val="center"/>
            </w:pPr>
            <w:r>
              <w:rPr>
                <w:sz w:val="20"/>
              </w:rPr>
              <w:t>40.0%</w:t>
            </w:r>
          </w:p>
        </w:tc>
        <w:tc>
          <w:tcPr>
            <w:tcW w:type="dxa" w:w="2160"/>
          </w:tcPr>
          <w:p>
            <w:pPr>
              <w:jc w:val="center"/>
            </w:pPr>
            <w:r>
              <w:rPr>
                <w:sz w:val="20"/>
              </w:rPr>
              <w:t>100.0%</w:t>
            </w:r>
          </w:p>
        </w:tc>
        <w:tc>
          <w:tcPr>
            <w:tcW w:type="dxa" w:w="2160"/>
          </w:tcPr>
          <w:p>
            <w:pPr>
              <w:jc w:val="center"/>
            </w:pPr>
            <w:r>
              <w:rPr>
                <w:sz w:val="20"/>
              </w:rPr>
              <w:t>+60.0%</w:t>
            </w:r>
          </w:p>
        </w:tc>
      </w:tr>
    </w:tbl>
    <w:p/>
    <w:p>
      <w:pPr>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rpt_orig_recall.png"/>
                    <pic:cNvPicPr/>
                  </pic:nvPicPr>
                  <pic:blipFill>
                    <a:blip r:embed="rId11"/>
                    <a:stretch>
                      <a:fillRect/>
                    </a:stretch>
                  </pic:blipFill>
                  <pic:spPr>
                    <a:xfrm>
                      <a:off x="0" y="0"/>
                      <a:ext cx="5303520" cy="2651760"/>
                    </a:xfrm>
                    <a:prstGeom prst="rect"/>
                  </pic:spPr>
                </pic:pic>
              </a:graphicData>
            </a:graphic>
          </wp:inline>
        </w:drawing>
      </w:r>
    </w:p>
    <w:p/>
    <w:p>
      <w:pPr>
        <w:pStyle w:val="Heading2"/>
      </w:pPr>
      <w:r>
        <w:rPr>
          <w:color w:val="1A1A2E"/>
        </w:rPr>
        <w:t>2.4 BLEU Score per Question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Question</w:t>
            </w:r>
          </w:p>
        </w:tc>
        <w:tc>
          <w:tcPr>
            <w:tcW w:type="dxa" w:w="2160"/>
          </w:tcPr>
          <w:p>
            <w:pPr>
              <w:jc w:val="center"/>
            </w:pPr>
            <w:r>
              <w:rPr>
                <w:b/>
                <w:sz w:val="20"/>
              </w:rPr>
              <w:t>Ollama</w:t>
            </w:r>
          </w:p>
        </w:tc>
        <w:tc>
          <w:tcPr>
            <w:tcW w:type="dxa" w:w="2160"/>
          </w:tcPr>
          <w:p>
            <w:pPr>
              <w:jc w:val="center"/>
            </w:pPr>
            <w:r>
              <w:rPr>
                <w:b/>
                <w:sz w:val="20"/>
              </w:rPr>
              <w:t>Groq</w:t>
            </w:r>
          </w:p>
        </w:tc>
        <w:tc>
          <w:tcPr>
            <w:tcW w:type="dxa" w:w="2160"/>
          </w:tcPr>
          <w:p>
            <w:pPr>
              <w:jc w:val="center"/>
            </w:pPr>
            <w:r>
              <w:rPr>
                <w:b/>
                <w:sz w:val="20"/>
              </w:rPr>
              <w:t>Diff</w:t>
            </w:r>
          </w:p>
        </w:tc>
      </w:tr>
      <w:tr>
        <w:tc>
          <w:tcPr>
            <w:tcW w:type="dxa" w:w="2160"/>
          </w:tcPr>
          <w:p>
            <w:pPr>
              <w:jc w:val="center"/>
            </w:pPr>
            <w:r>
              <w:rPr>
                <w:sz w:val="20"/>
              </w:rPr>
              <w:t>Symptoms of bacterial vaginosis</w:t>
            </w:r>
          </w:p>
        </w:tc>
        <w:tc>
          <w:tcPr>
            <w:tcW w:type="dxa" w:w="2160"/>
          </w:tcPr>
          <w:p>
            <w:pPr>
              <w:jc w:val="center"/>
            </w:pPr>
            <w:r>
              <w:rPr>
                <w:sz w:val="20"/>
              </w:rPr>
              <w:t>91.1%</w:t>
            </w:r>
          </w:p>
        </w:tc>
        <w:tc>
          <w:tcPr>
            <w:tcW w:type="dxa" w:w="2160"/>
          </w:tcPr>
          <w:p>
            <w:pPr>
              <w:jc w:val="center"/>
            </w:pPr>
            <w:r>
              <w:rPr>
                <w:sz w:val="20"/>
              </w:rPr>
              <w:t>86.8%</w:t>
            </w:r>
          </w:p>
        </w:tc>
        <w:tc>
          <w:tcPr>
            <w:tcW w:type="dxa" w:w="2160"/>
          </w:tcPr>
          <w:p>
            <w:pPr>
              <w:jc w:val="center"/>
            </w:pPr>
            <w:r>
              <w:rPr>
                <w:sz w:val="20"/>
              </w:rPr>
              <w:t>-4.3%</w:t>
            </w:r>
          </w:p>
        </w:tc>
      </w:tr>
      <w:tr>
        <w:tc>
          <w:tcPr>
            <w:tcW w:type="dxa" w:w="2160"/>
          </w:tcPr>
          <w:p>
            <w:pPr>
              <w:jc w:val="center"/>
            </w:pPr>
            <w:r>
              <w:rPr>
                <w:sz w:val="20"/>
              </w:rPr>
              <w:t>Causes of varicose veins</w:t>
            </w:r>
          </w:p>
        </w:tc>
        <w:tc>
          <w:tcPr>
            <w:tcW w:type="dxa" w:w="2160"/>
          </w:tcPr>
          <w:p>
            <w:pPr>
              <w:jc w:val="center"/>
            </w:pPr>
            <w:r>
              <w:rPr>
                <w:sz w:val="20"/>
              </w:rPr>
              <w:t>45.9%</w:t>
            </w:r>
          </w:p>
        </w:tc>
        <w:tc>
          <w:tcPr>
            <w:tcW w:type="dxa" w:w="2160"/>
          </w:tcPr>
          <w:p>
            <w:pPr>
              <w:jc w:val="center"/>
            </w:pPr>
            <w:r>
              <w:rPr>
                <w:sz w:val="20"/>
              </w:rPr>
              <w:t>36.1%</w:t>
            </w:r>
          </w:p>
        </w:tc>
        <w:tc>
          <w:tcPr>
            <w:tcW w:type="dxa" w:w="2160"/>
          </w:tcPr>
          <w:p>
            <w:pPr>
              <w:jc w:val="center"/>
            </w:pPr>
            <w:r>
              <w:rPr>
                <w:sz w:val="20"/>
              </w:rPr>
              <w:t>-9.8%</w:t>
            </w:r>
          </w:p>
        </w:tc>
      </w:tr>
      <w:tr>
        <w:tc>
          <w:tcPr>
            <w:tcW w:type="dxa" w:w="2160"/>
          </w:tcPr>
          <w:p>
            <w:pPr>
              <w:jc w:val="center"/>
            </w:pPr>
            <w:r>
              <w:rPr>
                <w:sz w:val="20"/>
              </w:rPr>
              <w:t>Preventing melanoma</w:t>
            </w:r>
          </w:p>
        </w:tc>
        <w:tc>
          <w:tcPr>
            <w:tcW w:type="dxa" w:w="2160"/>
          </w:tcPr>
          <w:p>
            <w:pPr>
              <w:jc w:val="center"/>
            </w:pPr>
            <w:r>
              <w:rPr>
                <w:sz w:val="20"/>
              </w:rPr>
              <w:t>78.5%</w:t>
            </w:r>
          </w:p>
        </w:tc>
        <w:tc>
          <w:tcPr>
            <w:tcW w:type="dxa" w:w="2160"/>
          </w:tcPr>
          <w:p>
            <w:pPr>
              <w:jc w:val="center"/>
            </w:pPr>
            <w:r>
              <w:rPr>
                <w:sz w:val="20"/>
              </w:rPr>
              <w:t>96.9%</w:t>
            </w:r>
          </w:p>
        </w:tc>
        <w:tc>
          <w:tcPr>
            <w:tcW w:type="dxa" w:w="2160"/>
          </w:tcPr>
          <w:p>
            <w:pPr>
              <w:jc w:val="center"/>
            </w:pPr>
            <w:r>
              <w:rPr>
                <w:sz w:val="20"/>
              </w:rPr>
              <w:t>+18.4%</w:t>
            </w:r>
          </w:p>
        </w:tc>
      </w:tr>
      <w:tr>
        <w:tc>
          <w:tcPr>
            <w:tcW w:type="dxa" w:w="2160"/>
          </w:tcPr>
          <w:p>
            <w:pPr>
              <w:jc w:val="center"/>
            </w:pPr>
            <w:r>
              <w:rPr>
                <w:sz w:val="20"/>
              </w:rPr>
              <w:t>Living with type 1 diabetes</w:t>
            </w:r>
          </w:p>
        </w:tc>
        <w:tc>
          <w:tcPr>
            <w:tcW w:type="dxa" w:w="2160"/>
          </w:tcPr>
          <w:p>
            <w:pPr>
              <w:jc w:val="center"/>
            </w:pPr>
            <w:r>
              <w:rPr>
                <w:sz w:val="20"/>
              </w:rPr>
              <w:t>9.6%</w:t>
            </w:r>
          </w:p>
        </w:tc>
        <w:tc>
          <w:tcPr>
            <w:tcW w:type="dxa" w:w="2160"/>
          </w:tcPr>
          <w:p>
            <w:pPr>
              <w:jc w:val="center"/>
            </w:pPr>
            <w:r>
              <w:rPr>
                <w:sz w:val="20"/>
              </w:rPr>
              <w:t>20.0%</w:t>
            </w:r>
          </w:p>
        </w:tc>
        <w:tc>
          <w:tcPr>
            <w:tcW w:type="dxa" w:w="2160"/>
          </w:tcPr>
          <w:p>
            <w:pPr>
              <w:jc w:val="center"/>
            </w:pPr>
            <w:r>
              <w:rPr>
                <w:sz w:val="20"/>
              </w:rPr>
              <w:t>+10.4%</w:t>
            </w:r>
          </w:p>
        </w:tc>
      </w:tr>
      <w:tr>
        <w:tc>
          <w:tcPr>
            <w:tcW w:type="dxa" w:w="2160"/>
          </w:tcPr>
          <w:p>
            <w:pPr>
              <w:jc w:val="center"/>
            </w:pPr>
            <w:r>
              <w:rPr>
                <w:sz w:val="20"/>
              </w:rPr>
              <w:t>MRSA</w:t>
            </w:r>
          </w:p>
        </w:tc>
        <w:tc>
          <w:tcPr>
            <w:tcW w:type="dxa" w:w="2160"/>
          </w:tcPr>
          <w:p>
            <w:pPr>
              <w:jc w:val="center"/>
            </w:pPr>
            <w:r>
              <w:rPr>
                <w:sz w:val="20"/>
              </w:rPr>
              <w:t>34.2%</w:t>
            </w:r>
          </w:p>
        </w:tc>
        <w:tc>
          <w:tcPr>
            <w:tcW w:type="dxa" w:w="2160"/>
          </w:tcPr>
          <w:p>
            <w:pPr>
              <w:jc w:val="center"/>
            </w:pPr>
            <w:r>
              <w:rPr>
                <w:sz w:val="20"/>
              </w:rPr>
              <w:t>78.6%</w:t>
            </w:r>
          </w:p>
        </w:tc>
        <w:tc>
          <w:tcPr>
            <w:tcW w:type="dxa" w:w="2160"/>
          </w:tcPr>
          <w:p>
            <w:pPr>
              <w:jc w:val="center"/>
            </w:pPr>
            <w:r>
              <w:rPr>
                <w:sz w:val="20"/>
              </w:rPr>
              <w:t>+44.4%</w:t>
            </w:r>
          </w:p>
        </w:tc>
      </w:tr>
    </w:tbl>
    <w:p/>
    <w:p>
      <w:pPr>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rpt_orig_bleu.png"/>
                    <pic:cNvPicPr/>
                  </pic:nvPicPr>
                  <pic:blipFill>
                    <a:blip r:embed="rId12"/>
                    <a:stretch>
                      <a:fillRect/>
                    </a:stretch>
                  </pic:blipFill>
                  <pic:spPr>
                    <a:xfrm>
                      <a:off x="0" y="0"/>
                      <a:ext cx="5303520" cy="2651760"/>
                    </a:xfrm>
                    <a:prstGeom prst="rect"/>
                  </pic:spPr>
                </pic:pic>
              </a:graphicData>
            </a:graphic>
          </wp:inline>
        </w:drawing>
      </w:r>
    </w:p>
    <w:p/>
    <w:p>
      <w:r>
        <w:br w:type="page"/>
      </w:r>
    </w:p>
    <w:p>
      <w:pPr>
        <w:pStyle w:val="Heading1"/>
      </w:pPr>
      <w:r>
        <w:rPr>
          <w:color w:val="1A1A2E"/>
        </w:rPr>
        <w:t>3. Fair Comparison (Same Judge: Groq 70B)</w:t>
      </w:r>
    </w:p>
    <w:p>
      <w:r>
        <w:t>To isolate answer quality from judge quality, we re-evaluated both sets of answers using the same judge model: Groq's llama-3.3-70b-versatile (70B parameters). The original generated answers from both Ollama and Groq were kept unchanged — only the evaluation judge was standardised.</w:t>
      </w:r>
    </w:p>
    <w:p>
      <w:pPr>
        <w:pStyle w:val="Heading2"/>
      </w:pPr>
      <w:r>
        <w:rPr>
          <w:color w:val="1A1A2E"/>
        </w:rPr>
        <w:t>3.1 Overall Averages (Same Judge)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Metric</w:t>
            </w:r>
          </w:p>
        </w:tc>
        <w:tc>
          <w:tcPr>
            <w:tcW w:type="dxa" w:w="2160"/>
          </w:tcPr>
          <w:p>
            <w:pPr>
              <w:jc w:val="center"/>
            </w:pPr>
            <w:r>
              <w:rPr>
                <w:b/>
                <w:sz w:val="20"/>
              </w:rPr>
              <w:t>Ollama Answers</w:t>
            </w:r>
          </w:p>
        </w:tc>
        <w:tc>
          <w:tcPr>
            <w:tcW w:type="dxa" w:w="2160"/>
          </w:tcPr>
          <w:p>
            <w:pPr>
              <w:jc w:val="center"/>
            </w:pPr>
            <w:r>
              <w:rPr>
                <w:b/>
                <w:sz w:val="20"/>
              </w:rPr>
              <w:t>Groq Answers</w:t>
            </w:r>
          </w:p>
        </w:tc>
        <w:tc>
          <w:tcPr>
            <w:tcW w:type="dxa" w:w="2160"/>
          </w:tcPr>
          <w:p>
            <w:pPr>
              <w:jc w:val="center"/>
            </w:pPr>
            <w:r>
              <w:rPr>
                <w:b/>
                <w:sz w:val="20"/>
              </w:rPr>
              <w:t>Difference</w:t>
            </w:r>
          </w:p>
        </w:tc>
      </w:tr>
      <w:tr>
        <w:tc>
          <w:tcPr>
            <w:tcW w:type="dxa" w:w="2160"/>
          </w:tcPr>
          <w:p>
            <w:pPr>
              <w:jc w:val="center"/>
            </w:pPr>
            <w:r>
              <w:rPr>
                <w:sz w:val="20"/>
              </w:rPr>
              <w:t>Faithfulness</w:t>
            </w:r>
          </w:p>
        </w:tc>
        <w:tc>
          <w:tcPr>
            <w:tcW w:type="dxa" w:w="2160"/>
          </w:tcPr>
          <w:p>
            <w:pPr>
              <w:jc w:val="center"/>
            </w:pPr>
            <w:r>
              <w:rPr>
                <w:sz w:val="20"/>
              </w:rPr>
              <w:t>88.0%</w:t>
            </w:r>
          </w:p>
        </w:tc>
        <w:tc>
          <w:tcPr>
            <w:tcW w:type="dxa" w:w="2160"/>
          </w:tcPr>
          <w:p>
            <w:pPr>
              <w:jc w:val="center"/>
            </w:pPr>
            <w:r>
              <w:rPr>
                <w:sz w:val="20"/>
              </w:rPr>
              <w:t>100.0%</w:t>
            </w:r>
          </w:p>
        </w:tc>
        <w:tc>
          <w:tcPr>
            <w:tcW w:type="dxa" w:w="2160"/>
          </w:tcPr>
          <w:p>
            <w:pPr>
              <w:jc w:val="center"/>
            </w:pPr>
            <w:r>
              <w:rPr>
                <w:sz w:val="20"/>
              </w:rPr>
              <w:t>+12.0%</w:t>
            </w:r>
          </w:p>
        </w:tc>
      </w:tr>
      <w:tr>
        <w:tc>
          <w:tcPr>
            <w:tcW w:type="dxa" w:w="2160"/>
          </w:tcPr>
          <w:p>
            <w:pPr>
              <w:jc w:val="center"/>
            </w:pPr>
            <w:r>
              <w:rPr>
                <w:sz w:val="20"/>
              </w:rPr>
              <w:t>Context Recall</w:t>
            </w:r>
          </w:p>
        </w:tc>
        <w:tc>
          <w:tcPr>
            <w:tcW w:type="dxa" w:w="2160"/>
          </w:tcPr>
          <w:p>
            <w:pPr>
              <w:jc w:val="center"/>
            </w:pPr>
            <w:r>
              <w:rPr>
                <w:sz w:val="20"/>
              </w:rPr>
              <w:t>100.0%</w:t>
            </w:r>
          </w:p>
        </w:tc>
        <w:tc>
          <w:tcPr>
            <w:tcW w:type="dxa" w:w="2160"/>
          </w:tcPr>
          <w:p>
            <w:pPr>
              <w:jc w:val="center"/>
            </w:pPr>
            <w:r>
              <w:rPr>
                <w:sz w:val="20"/>
              </w:rPr>
              <w:t>100.0%</w:t>
            </w:r>
          </w:p>
        </w:tc>
        <w:tc>
          <w:tcPr>
            <w:tcW w:type="dxa" w:w="2160"/>
          </w:tcPr>
          <w:p>
            <w:pPr>
              <w:jc w:val="center"/>
            </w:pPr>
            <w:r>
              <w:rPr>
                <w:sz w:val="20"/>
              </w:rPr>
              <w:t>+0.0%</w:t>
            </w:r>
          </w:p>
        </w:tc>
      </w:tr>
      <w:tr>
        <w:tc>
          <w:tcPr>
            <w:tcW w:type="dxa" w:w="2160"/>
          </w:tcPr>
          <w:p>
            <w:pPr>
              <w:jc w:val="center"/>
            </w:pPr>
            <w:r>
              <w:rPr>
                <w:sz w:val="20"/>
              </w:rPr>
              <w:t>BLEU Score</w:t>
            </w:r>
          </w:p>
        </w:tc>
        <w:tc>
          <w:tcPr>
            <w:tcW w:type="dxa" w:w="2160"/>
          </w:tcPr>
          <w:p>
            <w:pPr>
              <w:jc w:val="center"/>
            </w:pPr>
            <w:r>
              <w:rPr>
                <w:sz w:val="20"/>
              </w:rPr>
              <w:t>51.9%</w:t>
            </w:r>
          </w:p>
        </w:tc>
        <w:tc>
          <w:tcPr>
            <w:tcW w:type="dxa" w:w="2160"/>
          </w:tcPr>
          <w:p>
            <w:pPr>
              <w:jc w:val="center"/>
            </w:pPr>
            <w:r>
              <w:rPr>
                <w:sz w:val="20"/>
              </w:rPr>
              <w:t>63.7%</w:t>
            </w:r>
          </w:p>
        </w:tc>
        <w:tc>
          <w:tcPr>
            <w:tcW w:type="dxa" w:w="2160"/>
          </w:tcPr>
          <w:p>
            <w:pPr>
              <w:jc w:val="center"/>
            </w:pPr>
            <w:r>
              <w:rPr>
                <w:sz w:val="20"/>
              </w:rPr>
              <w:t>+11.8%</w:t>
            </w:r>
          </w:p>
        </w:tc>
      </w:tr>
    </w:tbl>
    <w:p/>
    <w:p>
      <w:pPr>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rpt_fair_overall.png"/>
                    <pic:cNvPicPr/>
                  </pic:nvPicPr>
                  <pic:blipFill>
                    <a:blip r:embed="rId13"/>
                    <a:stretch>
                      <a:fillRect/>
                    </a:stretch>
                  </pic:blipFill>
                  <pic:spPr>
                    <a:xfrm>
                      <a:off x="0" y="0"/>
                      <a:ext cx="5303520" cy="3314700"/>
                    </a:xfrm>
                    <a:prstGeom prst="rect"/>
                  </pic:spPr>
                </pic:pic>
              </a:graphicData>
            </a:graphic>
          </wp:inline>
        </w:drawing>
      </w:r>
    </w:p>
    <w:p/>
    <w:p>
      <w:pPr>
        <w:pStyle w:val="Heading2"/>
      </w:pPr>
      <w:r>
        <w:rPr>
          <w:color w:val="1A1A2E"/>
        </w:rPr>
        <w:t>3.2 Faithfulness per Question (Same Judge)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Question</w:t>
            </w:r>
          </w:p>
        </w:tc>
        <w:tc>
          <w:tcPr>
            <w:tcW w:type="dxa" w:w="2160"/>
          </w:tcPr>
          <w:p>
            <w:pPr>
              <w:jc w:val="center"/>
            </w:pPr>
            <w:r>
              <w:rPr>
                <w:b/>
                <w:sz w:val="20"/>
              </w:rPr>
              <w:t>Ollama</w:t>
            </w:r>
          </w:p>
        </w:tc>
        <w:tc>
          <w:tcPr>
            <w:tcW w:type="dxa" w:w="2160"/>
          </w:tcPr>
          <w:p>
            <w:pPr>
              <w:jc w:val="center"/>
            </w:pPr>
            <w:r>
              <w:rPr>
                <w:b/>
                <w:sz w:val="20"/>
              </w:rPr>
              <w:t>Groq</w:t>
            </w:r>
          </w:p>
        </w:tc>
        <w:tc>
          <w:tcPr>
            <w:tcW w:type="dxa" w:w="2160"/>
          </w:tcPr>
          <w:p>
            <w:pPr>
              <w:jc w:val="center"/>
            </w:pPr>
            <w:r>
              <w:rPr>
                <w:b/>
                <w:sz w:val="20"/>
              </w:rPr>
              <w:t>Diff</w:t>
            </w:r>
          </w:p>
        </w:tc>
      </w:tr>
      <w:tr>
        <w:tc>
          <w:tcPr>
            <w:tcW w:type="dxa" w:w="2160"/>
          </w:tcPr>
          <w:p>
            <w:pPr>
              <w:jc w:val="center"/>
            </w:pPr>
            <w:r>
              <w:rPr>
                <w:sz w:val="20"/>
              </w:rPr>
              <w:t>Symptoms of bacterial vaginosis</w:t>
            </w:r>
          </w:p>
        </w:tc>
        <w:tc>
          <w:tcPr>
            <w:tcW w:type="dxa" w:w="2160"/>
          </w:tcPr>
          <w:p>
            <w:pPr>
              <w:jc w:val="center"/>
            </w:pPr>
            <w:r>
              <w:rPr>
                <w:sz w:val="20"/>
              </w:rPr>
              <w:t>100.0%</w:t>
            </w:r>
          </w:p>
        </w:tc>
        <w:tc>
          <w:tcPr>
            <w:tcW w:type="dxa" w:w="2160"/>
          </w:tcPr>
          <w:p>
            <w:pPr>
              <w:jc w:val="center"/>
            </w:pPr>
            <w:r>
              <w:rPr>
                <w:sz w:val="20"/>
              </w:rPr>
              <w:t>100.0%</w:t>
            </w:r>
          </w:p>
        </w:tc>
        <w:tc>
          <w:tcPr>
            <w:tcW w:type="dxa" w:w="2160"/>
          </w:tcPr>
          <w:p>
            <w:pPr>
              <w:jc w:val="center"/>
            </w:pPr>
            <w:r>
              <w:rPr>
                <w:sz w:val="20"/>
              </w:rPr>
              <w:t>+0.0%</w:t>
            </w:r>
          </w:p>
        </w:tc>
      </w:tr>
      <w:tr>
        <w:tc>
          <w:tcPr>
            <w:tcW w:type="dxa" w:w="2160"/>
          </w:tcPr>
          <w:p>
            <w:pPr>
              <w:jc w:val="center"/>
            </w:pPr>
            <w:r>
              <w:rPr>
                <w:sz w:val="20"/>
              </w:rPr>
              <w:t>Causes of varicose veins</w:t>
            </w:r>
          </w:p>
        </w:tc>
        <w:tc>
          <w:tcPr>
            <w:tcW w:type="dxa" w:w="2160"/>
          </w:tcPr>
          <w:p>
            <w:pPr>
              <w:jc w:val="center"/>
            </w:pPr>
            <w:r>
              <w:rPr>
                <w:sz w:val="20"/>
              </w:rPr>
              <w:t>100.0%</w:t>
            </w:r>
          </w:p>
        </w:tc>
        <w:tc>
          <w:tcPr>
            <w:tcW w:type="dxa" w:w="2160"/>
          </w:tcPr>
          <w:p>
            <w:pPr>
              <w:jc w:val="center"/>
            </w:pPr>
            <w:r>
              <w:rPr>
                <w:sz w:val="20"/>
              </w:rPr>
              <w:t>100.0%</w:t>
            </w:r>
          </w:p>
        </w:tc>
        <w:tc>
          <w:tcPr>
            <w:tcW w:type="dxa" w:w="2160"/>
          </w:tcPr>
          <w:p>
            <w:pPr>
              <w:jc w:val="center"/>
            </w:pPr>
            <w:r>
              <w:rPr>
                <w:sz w:val="20"/>
              </w:rPr>
              <w:t>+0.0%</w:t>
            </w:r>
          </w:p>
        </w:tc>
      </w:tr>
      <w:tr>
        <w:tc>
          <w:tcPr>
            <w:tcW w:type="dxa" w:w="2160"/>
          </w:tcPr>
          <w:p>
            <w:pPr>
              <w:jc w:val="center"/>
            </w:pPr>
            <w:r>
              <w:rPr>
                <w:sz w:val="20"/>
              </w:rPr>
              <w:t>Preventing melanoma</w:t>
            </w:r>
          </w:p>
        </w:tc>
        <w:tc>
          <w:tcPr>
            <w:tcW w:type="dxa" w:w="2160"/>
          </w:tcPr>
          <w:p>
            <w:pPr>
              <w:jc w:val="center"/>
            </w:pPr>
            <w:r>
              <w:rPr>
                <w:sz w:val="20"/>
              </w:rPr>
              <w:t>100.0%</w:t>
            </w:r>
          </w:p>
        </w:tc>
        <w:tc>
          <w:tcPr>
            <w:tcW w:type="dxa" w:w="2160"/>
          </w:tcPr>
          <w:p>
            <w:pPr>
              <w:jc w:val="center"/>
            </w:pPr>
            <w:r>
              <w:rPr>
                <w:sz w:val="20"/>
              </w:rPr>
              <w:t>100.0%</w:t>
            </w:r>
          </w:p>
        </w:tc>
        <w:tc>
          <w:tcPr>
            <w:tcW w:type="dxa" w:w="2160"/>
          </w:tcPr>
          <w:p>
            <w:pPr>
              <w:jc w:val="center"/>
            </w:pPr>
            <w:r>
              <w:rPr>
                <w:sz w:val="20"/>
              </w:rPr>
              <w:t>+0.0%</w:t>
            </w:r>
          </w:p>
        </w:tc>
      </w:tr>
      <w:tr>
        <w:tc>
          <w:tcPr>
            <w:tcW w:type="dxa" w:w="2160"/>
          </w:tcPr>
          <w:p>
            <w:pPr>
              <w:jc w:val="center"/>
            </w:pPr>
            <w:r>
              <w:rPr>
                <w:sz w:val="20"/>
              </w:rPr>
              <w:t>Living with type 1 diabetes</w:t>
            </w:r>
          </w:p>
        </w:tc>
        <w:tc>
          <w:tcPr>
            <w:tcW w:type="dxa" w:w="2160"/>
          </w:tcPr>
          <w:p>
            <w:pPr>
              <w:jc w:val="center"/>
            </w:pPr>
            <w:r>
              <w:rPr>
                <w:sz w:val="20"/>
              </w:rPr>
              <w:t>80.0%</w:t>
            </w:r>
          </w:p>
        </w:tc>
        <w:tc>
          <w:tcPr>
            <w:tcW w:type="dxa" w:w="2160"/>
          </w:tcPr>
          <w:p>
            <w:pPr>
              <w:jc w:val="center"/>
            </w:pPr>
            <w:r>
              <w:rPr>
                <w:sz w:val="20"/>
              </w:rPr>
              <w:t>100.0%</w:t>
            </w:r>
          </w:p>
        </w:tc>
        <w:tc>
          <w:tcPr>
            <w:tcW w:type="dxa" w:w="2160"/>
          </w:tcPr>
          <w:p>
            <w:pPr>
              <w:jc w:val="center"/>
            </w:pPr>
            <w:r>
              <w:rPr>
                <w:sz w:val="20"/>
              </w:rPr>
              <w:t>+20.0%</w:t>
            </w:r>
          </w:p>
        </w:tc>
      </w:tr>
      <w:tr>
        <w:tc>
          <w:tcPr>
            <w:tcW w:type="dxa" w:w="2160"/>
          </w:tcPr>
          <w:p>
            <w:pPr>
              <w:jc w:val="center"/>
            </w:pPr>
            <w:r>
              <w:rPr>
                <w:sz w:val="20"/>
              </w:rPr>
              <w:t>MRSA</w:t>
            </w:r>
          </w:p>
        </w:tc>
        <w:tc>
          <w:tcPr>
            <w:tcW w:type="dxa" w:w="2160"/>
          </w:tcPr>
          <w:p>
            <w:pPr>
              <w:jc w:val="center"/>
            </w:pPr>
            <w:r>
              <w:rPr>
                <w:sz w:val="20"/>
              </w:rPr>
              <w:t>60.0%</w:t>
            </w:r>
          </w:p>
        </w:tc>
        <w:tc>
          <w:tcPr>
            <w:tcW w:type="dxa" w:w="2160"/>
          </w:tcPr>
          <w:p>
            <w:pPr>
              <w:jc w:val="center"/>
            </w:pPr>
            <w:r>
              <w:rPr>
                <w:sz w:val="20"/>
              </w:rPr>
              <w:t>100.0%</w:t>
            </w:r>
          </w:p>
        </w:tc>
        <w:tc>
          <w:tcPr>
            <w:tcW w:type="dxa" w:w="2160"/>
          </w:tcPr>
          <w:p>
            <w:pPr>
              <w:jc w:val="center"/>
            </w:pPr>
            <w:r>
              <w:rPr>
                <w:sz w:val="20"/>
              </w:rPr>
              <w:t>+40.0%</w:t>
            </w:r>
          </w:p>
        </w:tc>
      </w:tr>
    </w:tbl>
    <w:p/>
    <w:p>
      <w:pPr>
        <w:jc w:val="center"/>
      </w:pPr>
      <w:r>
        <w:drawing>
          <wp:inline xmlns:a="http://schemas.openxmlformats.org/drawingml/2006/main" xmlns:pic="http://schemas.openxmlformats.org/drawingml/2006/picture">
            <wp:extent cx="5303520" cy="2651760"/>
            <wp:docPr id="6" name="Picture 6"/>
            <wp:cNvGraphicFramePr>
              <a:graphicFrameLocks noChangeAspect="1"/>
            </wp:cNvGraphicFramePr>
            <a:graphic>
              <a:graphicData uri="http://schemas.openxmlformats.org/drawingml/2006/picture">
                <pic:pic>
                  <pic:nvPicPr>
                    <pic:cNvPr id="0" name="rpt_fair_faith.png"/>
                    <pic:cNvPicPr/>
                  </pic:nvPicPr>
                  <pic:blipFill>
                    <a:blip r:embed="rId14"/>
                    <a:stretch>
                      <a:fillRect/>
                    </a:stretch>
                  </pic:blipFill>
                  <pic:spPr>
                    <a:xfrm>
                      <a:off x="0" y="0"/>
                      <a:ext cx="5303520" cy="2651760"/>
                    </a:xfrm>
                    <a:prstGeom prst="rect"/>
                  </pic:spPr>
                </pic:pic>
              </a:graphicData>
            </a:graphic>
          </wp:inline>
        </w:drawing>
      </w:r>
    </w:p>
    <w:p/>
    <w:p>
      <w:pPr>
        <w:pStyle w:val="Heading2"/>
      </w:pPr>
      <w:r>
        <w:rPr>
          <w:color w:val="1A1A2E"/>
        </w:rPr>
        <w:t>3.3 Context Recall per Question (Same Judge)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Question</w:t>
            </w:r>
          </w:p>
        </w:tc>
        <w:tc>
          <w:tcPr>
            <w:tcW w:type="dxa" w:w="2160"/>
          </w:tcPr>
          <w:p>
            <w:pPr>
              <w:jc w:val="center"/>
            </w:pPr>
            <w:r>
              <w:rPr>
                <w:b/>
                <w:sz w:val="20"/>
              </w:rPr>
              <w:t>Ollama</w:t>
            </w:r>
          </w:p>
        </w:tc>
        <w:tc>
          <w:tcPr>
            <w:tcW w:type="dxa" w:w="2160"/>
          </w:tcPr>
          <w:p>
            <w:pPr>
              <w:jc w:val="center"/>
            </w:pPr>
            <w:r>
              <w:rPr>
                <w:b/>
                <w:sz w:val="20"/>
              </w:rPr>
              <w:t>Groq</w:t>
            </w:r>
          </w:p>
        </w:tc>
        <w:tc>
          <w:tcPr>
            <w:tcW w:type="dxa" w:w="2160"/>
          </w:tcPr>
          <w:p>
            <w:pPr>
              <w:jc w:val="center"/>
            </w:pPr>
            <w:r>
              <w:rPr>
                <w:b/>
                <w:sz w:val="20"/>
              </w:rPr>
              <w:t>Diff</w:t>
            </w:r>
          </w:p>
        </w:tc>
      </w:tr>
      <w:tr>
        <w:tc>
          <w:tcPr>
            <w:tcW w:type="dxa" w:w="2160"/>
          </w:tcPr>
          <w:p>
            <w:pPr>
              <w:jc w:val="center"/>
            </w:pPr>
            <w:r>
              <w:rPr>
                <w:sz w:val="20"/>
              </w:rPr>
              <w:t>Symptoms of bacterial vaginosis</w:t>
            </w:r>
          </w:p>
        </w:tc>
        <w:tc>
          <w:tcPr>
            <w:tcW w:type="dxa" w:w="2160"/>
          </w:tcPr>
          <w:p>
            <w:pPr>
              <w:jc w:val="center"/>
            </w:pPr>
            <w:r>
              <w:rPr>
                <w:sz w:val="20"/>
              </w:rPr>
              <w:t>100.0%</w:t>
            </w:r>
          </w:p>
        </w:tc>
        <w:tc>
          <w:tcPr>
            <w:tcW w:type="dxa" w:w="2160"/>
          </w:tcPr>
          <w:p>
            <w:pPr>
              <w:jc w:val="center"/>
            </w:pPr>
            <w:r>
              <w:rPr>
                <w:sz w:val="20"/>
              </w:rPr>
              <w:t>100.0%</w:t>
            </w:r>
          </w:p>
        </w:tc>
        <w:tc>
          <w:tcPr>
            <w:tcW w:type="dxa" w:w="2160"/>
          </w:tcPr>
          <w:p>
            <w:pPr>
              <w:jc w:val="center"/>
            </w:pPr>
            <w:r>
              <w:rPr>
                <w:sz w:val="20"/>
              </w:rPr>
              <w:t>+0.0%</w:t>
            </w:r>
          </w:p>
        </w:tc>
      </w:tr>
      <w:tr>
        <w:tc>
          <w:tcPr>
            <w:tcW w:type="dxa" w:w="2160"/>
          </w:tcPr>
          <w:p>
            <w:pPr>
              <w:jc w:val="center"/>
            </w:pPr>
            <w:r>
              <w:rPr>
                <w:sz w:val="20"/>
              </w:rPr>
              <w:t>Causes of varicose veins</w:t>
            </w:r>
          </w:p>
        </w:tc>
        <w:tc>
          <w:tcPr>
            <w:tcW w:type="dxa" w:w="2160"/>
          </w:tcPr>
          <w:p>
            <w:pPr>
              <w:jc w:val="center"/>
            </w:pPr>
            <w:r>
              <w:rPr>
                <w:sz w:val="20"/>
              </w:rPr>
              <w:t>100.0%</w:t>
            </w:r>
          </w:p>
        </w:tc>
        <w:tc>
          <w:tcPr>
            <w:tcW w:type="dxa" w:w="2160"/>
          </w:tcPr>
          <w:p>
            <w:pPr>
              <w:jc w:val="center"/>
            </w:pPr>
            <w:r>
              <w:rPr>
                <w:sz w:val="20"/>
              </w:rPr>
              <w:t>100.0%</w:t>
            </w:r>
          </w:p>
        </w:tc>
        <w:tc>
          <w:tcPr>
            <w:tcW w:type="dxa" w:w="2160"/>
          </w:tcPr>
          <w:p>
            <w:pPr>
              <w:jc w:val="center"/>
            </w:pPr>
            <w:r>
              <w:rPr>
                <w:sz w:val="20"/>
              </w:rPr>
              <w:t>+0.0%</w:t>
            </w:r>
          </w:p>
        </w:tc>
      </w:tr>
      <w:tr>
        <w:tc>
          <w:tcPr>
            <w:tcW w:type="dxa" w:w="2160"/>
          </w:tcPr>
          <w:p>
            <w:pPr>
              <w:jc w:val="center"/>
            </w:pPr>
            <w:r>
              <w:rPr>
                <w:sz w:val="20"/>
              </w:rPr>
              <w:t>Preventing melanoma</w:t>
            </w:r>
          </w:p>
        </w:tc>
        <w:tc>
          <w:tcPr>
            <w:tcW w:type="dxa" w:w="2160"/>
          </w:tcPr>
          <w:p>
            <w:pPr>
              <w:jc w:val="center"/>
            </w:pPr>
            <w:r>
              <w:rPr>
                <w:sz w:val="20"/>
              </w:rPr>
              <w:t>100.0%</w:t>
            </w:r>
          </w:p>
        </w:tc>
        <w:tc>
          <w:tcPr>
            <w:tcW w:type="dxa" w:w="2160"/>
          </w:tcPr>
          <w:p>
            <w:pPr>
              <w:jc w:val="center"/>
            </w:pPr>
            <w:r>
              <w:rPr>
                <w:sz w:val="20"/>
              </w:rPr>
              <w:t>100.0%</w:t>
            </w:r>
          </w:p>
        </w:tc>
        <w:tc>
          <w:tcPr>
            <w:tcW w:type="dxa" w:w="2160"/>
          </w:tcPr>
          <w:p>
            <w:pPr>
              <w:jc w:val="center"/>
            </w:pPr>
            <w:r>
              <w:rPr>
                <w:sz w:val="20"/>
              </w:rPr>
              <w:t>+0.0%</w:t>
            </w:r>
          </w:p>
        </w:tc>
      </w:tr>
      <w:tr>
        <w:tc>
          <w:tcPr>
            <w:tcW w:type="dxa" w:w="2160"/>
          </w:tcPr>
          <w:p>
            <w:pPr>
              <w:jc w:val="center"/>
            </w:pPr>
            <w:r>
              <w:rPr>
                <w:sz w:val="20"/>
              </w:rPr>
              <w:t>Living with type 1 diabetes</w:t>
            </w:r>
          </w:p>
        </w:tc>
        <w:tc>
          <w:tcPr>
            <w:tcW w:type="dxa" w:w="2160"/>
          </w:tcPr>
          <w:p>
            <w:pPr>
              <w:jc w:val="center"/>
            </w:pPr>
            <w:r>
              <w:rPr>
                <w:sz w:val="20"/>
              </w:rPr>
              <w:t>100.0%</w:t>
            </w:r>
          </w:p>
        </w:tc>
        <w:tc>
          <w:tcPr>
            <w:tcW w:type="dxa" w:w="2160"/>
          </w:tcPr>
          <w:p>
            <w:pPr>
              <w:jc w:val="center"/>
            </w:pPr>
            <w:r>
              <w:rPr>
                <w:sz w:val="20"/>
              </w:rPr>
              <w:t>100.0%</w:t>
            </w:r>
          </w:p>
        </w:tc>
        <w:tc>
          <w:tcPr>
            <w:tcW w:type="dxa" w:w="2160"/>
          </w:tcPr>
          <w:p>
            <w:pPr>
              <w:jc w:val="center"/>
            </w:pPr>
            <w:r>
              <w:rPr>
                <w:sz w:val="20"/>
              </w:rPr>
              <w:t>+0.0%</w:t>
            </w:r>
          </w:p>
        </w:tc>
      </w:tr>
      <w:tr>
        <w:tc>
          <w:tcPr>
            <w:tcW w:type="dxa" w:w="2160"/>
          </w:tcPr>
          <w:p>
            <w:pPr>
              <w:jc w:val="center"/>
            </w:pPr>
            <w:r>
              <w:rPr>
                <w:sz w:val="20"/>
              </w:rPr>
              <w:t>MRSA</w:t>
            </w:r>
          </w:p>
        </w:tc>
        <w:tc>
          <w:tcPr>
            <w:tcW w:type="dxa" w:w="2160"/>
          </w:tcPr>
          <w:p>
            <w:pPr>
              <w:jc w:val="center"/>
            </w:pPr>
            <w:r>
              <w:rPr>
                <w:sz w:val="20"/>
              </w:rPr>
              <w:t>100.0%</w:t>
            </w:r>
          </w:p>
        </w:tc>
        <w:tc>
          <w:tcPr>
            <w:tcW w:type="dxa" w:w="2160"/>
          </w:tcPr>
          <w:p>
            <w:pPr>
              <w:jc w:val="center"/>
            </w:pPr>
            <w:r>
              <w:rPr>
                <w:sz w:val="20"/>
              </w:rPr>
              <w:t>100.0%</w:t>
            </w:r>
          </w:p>
        </w:tc>
        <w:tc>
          <w:tcPr>
            <w:tcW w:type="dxa" w:w="2160"/>
          </w:tcPr>
          <w:p>
            <w:pPr>
              <w:jc w:val="center"/>
            </w:pPr>
            <w:r>
              <w:rPr>
                <w:sz w:val="20"/>
              </w:rPr>
              <w:t>+0.0%</w:t>
            </w:r>
          </w:p>
        </w:tc>
      </w:tr>
    </w:tbl>
    <w:p/>
    <w:p>
      <w:pPr>
        <w:jc w:val="center"/>
      </w:pPr>
      <w:r>
        <w:drawing>
          <wp:inline xmlns:a="http://schemas.openxmlformats.org/drawingml/2006/main" xmlns:pic="http://schemas.openxmlformats.org/drawingml/2006/picture">
            <wp:extent cx="5303520" cy="2651760"/>
            <wp:docPr id="7" name="Picture 7"/>
            <wp:cNvGraphicFramePr>
              <a:graphicFrameLocks noChangeAspect="1"/>
            </wp:cNvGraphicFramePr>
            <a:graphic>
              <a:graphicData uri="http://schemas.openxmlformats.org/drawingml/2006/picture">
                <pic:pic>
                  <pic:nvPicPr>
                    <pic:cNvPr id="0" name="rpt_fair_recall.png"/>
                    <pic:cNvPicPr/>
                  </pic:nvPicPr>
                  <pic:blipFill>
                    <a:blip r:embed="rId15"/>
                    <a:stretch>
                      <a:fillRect/>
                    </a:stretch>
                  </pic:blipFill>
                  <pic:spPr>
                    <a:xfrm>
                      <a:off x="0" y="0"/>
                      <a:ext cx="5303520" cy="2651760"/>
                    </a:xfrm>
                    <a:prstGeom prst="rect"/>
                  </pic:spPr>
                </pic:pic>
              </a:graphicData>
            </a:graphic>
          </wp:inline>
        </w:drawing>
      </w:r>
    </w:p>
    <w:p/>
    <w:p>
      <w:pPr>
        <w:pStyle w:val="Heading2"/>
      </w:pPr>
      <w:r>
        <w:rPr>
          <w:color w:val="1A1A2E"/>
        </w:rPr>
        <w:t>3.4 BLEU Score per Question (Same Judge)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Question</w:t>
            </w:r>
          </w:p>
        </w:tc>
        <w:tc>
          <w:tcPr>
            <w:tcW w:type="dxa" w:w="2160"/>
          </w:tcPr>
          <w:p>
            <w:pPr>
              <w:jc w:val="center"/>
            </w:pPr>
            <w:r>
              <w:rPr>
                <w:b/>
                <w:sz w:val="20"/>
              </w:rPr>
              <w:t>Ollama</w:t>
            </w:r>
          </w:p>
        </w:tc>
        <w:tc>
          <w:tcPr>
            <w:tcW w:type="dxa" w:w="2160"/>
          </w:tcPr>
          <w:p>
            <w:pPr>
              <w:jc w:val="center"/>
            </w:pPr>
            <w:r>
              <w:rPr>
                <w:b/>
                <w:sz w:val="20"/>
              </w:rPr>
              <w:t>Groq</w:t>
            </w:r>
          </w:p>
        </w:tc>
        <w:tc>
          <w:tcPr>
            <w:tcW w:type="dxa" w:w="2160"/>
          </w:tcPr>
          <w:p>
            <w:pPr>
              <w:jc w:val="center"/>
            </w:pPr>
            <w:r>
              <w:rPr>
                <w:b/>
                <w:sz w:val="20"/>
              </w:rPr>
              <w:t>Diff</w:t>
            </w:r>
          </w:p>
        </w:tc>
      </w:tr>
      <w:tr>
        <w:tc>
          <w:tcPr>
            <w:tcW w:type="dxa" w:w="2160"/>
          </w:tcPr>
          <w:p>
            <w:pPr>
              <w:jc w:val="center"/>
            </w:pPr>
            <w:r>
              <w:rPr>
                <w:sz w:val="20"/>
              </w:rPr>
              <w:t>Symptoms of bacterial vaginosis</w:t>
            </w:r>
          </w:p>
        </w:tc>
        <w:tc>
          <w:tcPr>
            <w:tcW w:type="dxa" w:w="2160"/>
          </w:tcPr>
          <w:p>
            <w:pPr>
              <w:jc w:val="center"/>
            </w:pPr>
            <w:r>
              <w:rPr>
                <w:sz w:val="20"/>
              </w:rPr>
              <w:t>91.1%</w:t>
            </w:r>
          </w:p>
        </w:tc>
        <w:tc>
          <w:tcPr>
            <w:tcW w:type="dxa" w:w="2160"/>
          </w:tcPr>
          <w:p>
            <w:pPr>
              <w:jc w:val="center"/>
            </w:pPr>
            <w:r>
              <w:rPr>
                <w:sz w:val="20"/>
              </w:rPr>
              <w:t>86.8%</w:t>
            </w:r>
          </w:p>
        </w:tc>
        <w:tc>
          <w:tcPr>
            <w:tcW w:type="dxa" w:w="2160"/>
          </w:tcPr>
          <w:p>
            <w:pPr>
              <w:jc w:val="center"/>
            </w:pPr>
            <w:r>
              <w:rPr>
                <w:sz w:val="20"/>
              </w:rPr>
              <w:t>-4.3%</w:t>
            </w:r>
          </w:p>
        </w:tc>
      </w:tr>
      <w:tr>
        <w:tc>
          <w:tcPr>
            <w:tcW w:type="dxa" w:w="2160"/>
          </w:tcPr>
          <w:p>
            <w:pPr>
              <w:jc w:val="center"/>
            </w:pPr>
            <w:r>
              <w:rPr>
                <w:sz w:val="20"/>
              </w:rPr>
              <w:t>Causes of varicose veins</w:t>
            </w:r>
          </w:p>
        </w:tc>
        <w:tc>
          <w:tcPr>
            <w:tcW w:type="dxa" w:w="2160"/>
          </w:tcPr>
          <w:p>
            <w:pPr>
              <w:jc w:val="center"/>
            </w:pPr>
            <w:r>
              <w:rPr>
                <w:sz w:val="20"/>
              </w:rPr>
              <w:t>45.9%</w:t>
            </w:r>
          </w:p>
        </w:tc>
        <w:tc>
          <w:tcPr>
            <w:tcW w:type="dxa" w:w="2160"/>
          </w:tcPr>
          <w:p>
            <w:pPr>
              <w:jc w:val="center"/>
            </w:pPr>
            <w:r>
              <w:rPr>
                <w:sz w:val="20"/>
              </w:rPr>
              <w:t>36.1%</w:t>
            </w:r>
          </w:p>
        </w:tc>
        <w:tc>
          <w:tcPr>
            <w:tcW w:type="dxa" w:w="2160"/>
          </w:tcPr>
          <w:p>
            <w:pPr>
              <w:jc w:val="center"/>
            </w:pPr>
            <w:r>
              <w:rPr>
                <w:sz w:val="20"/>
              </w:rPr>
              <w:t>-9.8%</w:t>
            </w:r>
          </w:p>
        </w:tc>
      </w:tr>
      <w:tr>
        <w:tc>
          <w:tcPr>
            <w:tcW w:type="dxa" w:w="2160"/>
          </w:tcPr>
          <w:p>
            <w:pPr>
              <w:jc w:val="center"/>
            </w:pPr>
            <w:r>
              <w:rPr>
                <w:sz w:val="20"/>
              </w:rPr>
              <w:t>Preventing melanoma</w:t>
            </w:r>
          </w:p>
        </w:tc>
        <w:tc>
          <w:tcPr>
            <w:tcW w:type="dxa" w:w="2160"/>
          </w:tcPr>
          <w:p>
            <w:pPr>
              <w:jc w:val="center"/>
            </w:pPr>
            <w:r>
              <w:rPr>
                <w:sz w:val="20"/>
              </w:rPr>
              <w:t>78.5%</w:t>
            </w:r>
          </w:p>
        </w:tc>
        <w:tc>
          <w:tcPr>
            <w:tcW w:type="dxa" w:w="2160"/>
          </w:tcPr>
          <w:p>
            <w:pPr>
              <w:jc w:val="center"/>
            </w:pPr>
            <w:r>
              <w:rPr>
                <w:sz w:val="20"/>
              </w:rPr>
              <w:t>96.9%</w:t>
            </w:r>
          </w:p>
        </w:tc>
        <w:tc>
          <w:tcPr>
            <w:tcW w:type="dxa" w:w="2160"/>
          </w:tcPr>
          <w:p>
            <w:pPr>
              <w:jc w:val="center"/>
            </w:pPr>
            <w:r>
              <w:rPr>
                <w:sz w:val="20"/>
              </w:rPr>
              <w:t>+18.4%</w:t>
            </w:r>
          </w:p>
        </w:tc>
      </w:tr>
      <w:tr>
        <w:tc>
          <w:tcPr>
            <w:tcW w:type="dxa" w:w="2160"/>
          </w:tcPr>
          <w:p>
            <w:pPr>
              <w:jc w:val="center"/>
            </w:pPr>
            <w:r>
              <w:rPr>
                <w:sz w:val="20"/>
              </w:rPr>
              <w:t>Living with type 1 diabetes</w:t>
            </w:r>
          </w:p>
        </w:tc>
        <w:tc>
          <w:tcPr>
            <w:tcW w:type="dxa" w:w="2160"/>
          </w:tcPr>
          <w:p>
            <w:pPr>
              <w:jc w:val="center"/>
            </w:pPr>
            <w:r>
              <w:rPr>
                <w:sz w:val="20"/>
              </w:rPr>
              <w:t>9.6%</w:t>
            </w:r>
          </w:p>
        </w:tc>
        <w:tc>
          <w:tcPr>
            <w:tcW w:type="dxa" w:w="2160"/>
          </w:tcPr>
          <w:p>
            <w:pPr>
              <w:jc w:val="center"/>
            </w:pPr>
            <w:r>
              <w:rPr>
                <w:sz w:val="20"/>
              </w:rPr>
              <w:t>20.0%</w:t>
            </w:r>
          </w:p>
        </w:tc>
        <w:tc>
          <w:tcPr>
            <w:tcW w:type="dxa" w:w="2160"/>
          </w:tcPr>
          <w:p>
            <w:pPr>
              <w:jc w:val="center"/>
            </w:pPr>
            <w:r>
              <w:rPr>
                <w:sz w:val="20"/>
              </w:rPr>
              <w:t>+10.4%</w:t>
            </w:r>
          </w:p>
        </w:tc>
      </w:tr>
      <w:tr>
        <w:tc>
          <w:tcPr>
            <w:tcW w:type="dxa" w:w="2160"/>
          </w:tcPr>
          <w:p>
            <w:pPr>
              <w:jc w:val="center"/>
            </w:pPr>
            <w:r>
              <w:rPr>
                <w:sz w:val="20"/>
              </w:rPr>
              <w:t>MRSA</w:t>
            </w:r>
          </w:p>
        </w:tc>
        <w:tc>
          <w:tcPr>
            <w:tcW w:type="dxa" w:w="2160"/>
          </w:tcPr>
          <w:p>
            <w:pPr>
              <w:jc w:val="center"/>
            </w:pPr>
            <w:r>
              <w:rPr>
                <w:sz w:val="20"/>
              </w:rPr>
              <w:t>34.2%</w:t>
            </w:r>
          </w:p>
        </w:tc>
        <w:tc>
          <w:tcPr>
            <w:tcW w:type="dxa" w:w="2160"/>
          </w:tcPr>
          <w:p>
            <w:pPr>
              <w:jc w:val="center"/>
            </w:pPr>
            <w:r>
              <w:rPr>
                <w:sz w:val="20"/>
              </w:rPr>
              <w:t>78.6%</w:t>
            </w:r>
          </w:p>
        </w:tc>
        <w:tc>
          <w:tcPr>
            <w:tcW w:type="dxa" w:w="2160"/>
          </w:tcPr>
          <w:p>
            <w:pPr>
              <w:jc w:val="center"/>
            </w:pPr>
            <w:r>
              <w:rPr>
                <w:sz w:val="20"/>
              </w:rPr>
              <w:t>+44.4%</w:t>
            </w:r>
          </w:p>
        </w:tc>
      </w:tr>
    </w:tbl>
    <w:p/>
    <w:p>
      <w:pPr>
        <w:jc w:val="center"/>
      </w:pPr>
      <w:r>
        <w:drawing>
          <wp:inline xmlns:a="http://schemas.openxmlformats.org/drawingml/2006/main" xmlns:pic="http://schemas.openxmlformats.org/drawingml/2006/picture">
            <wp:extent cx="5303520" cy="2651760"/>
            <wp:docPr id="8" name="Picture 8"/>
            <wp:cNvGraphicFramePr>
              <a:graphicFrameLocks noChangeAspect="1"/>
            </wp:cNvGraphicFramePr>
            <a:graphic>
              <a:graphicData uri="http://schemas.openxmlformats.org/drawingml/2006/picture">
                <pic:pic>
                  <pic:nvPicPr>
                    <pic:cNvPr id="0" name="rpt_fair_bleu.png"/>
                    <pic:cNvPicPr/>
                  </pic:nvPicPr>
                  <pic:blipFill>
                    <a:blip r:embed="rId16"/>
                    <a:stretch>
                      <a:fillRect/>
                    </a:stretch>
                  </pic:blipFill>
                  <pic:spPr>
                    <a:xfrm>
                      <a:off x="0" y="0"/>
                      <a:ext cx="5303520" cy="2651760"/>
                    </a:xfrm>
                    <a:prstGeom prst="rect"/>
                  </pic:spPr>
                </pic:pic>
              </a:graphicData>
            </a:graphic>
          </wp:inline>
        </w:drawing>
      </w:r>
    </w:p>
    <w:p/>
    <w:p>
      <w:r>
        <w:br w:type="page"/>
      </w:r>
    </w:p>
    <w:p>
      <w:pPr>
        <w:pStyle w:val="Heading1"/>
      </w:pPr>
      <w:r>
        <w:rPr>
          <w:color w:val="1A1A2E"/>
        </w:rPr>
        <w:t>4. Original vs Fair: Side-by-Side</w:t>
      </w:r>
    </w:p>
    <w:p>
      <w:r>
        <w:t>These charts show all four score variants per question — original self-judged scores alongside the fair Groq-judged scores — making the impact of judge quality immediately visible.</w:t>
      </w:r>
    </w:p>
    <w:p>
      <w:pPr>
        <w:pStyle w:val="Heading2"/>
      </w:pPr>
      <w:r>
        <w:rPr>
          <w:color w:val="1A1A2E"/>
        </w:rPr>
        <w:t>4.1 Faithfulness: Original vs Fair</w:t>
      </w:r>
    </w:p>
    <w:p>
      <w:pPr>
        <w:jc w:val="center"/>
      </w:pPr>
      <w:r>
        <w:drawing>
          <wp:inline xmlns:a="http://schemas.openxmlformats.org/drawingml/2006/main" xmlns:pic="http://schemas.openxmlformats.org/drawingml/2006/picture">
            <wp:extent cx="5303520" cy="2430780"/>
            <wp:docPr id="9" name="Picture 9"/>
            <wp:cNvGraphicFramePr>
              <a:graphicFrameLocks noChangeAspect="1"/>
            </wp:cNvGraphicFramePr>
            <a:graphic>
              <a:graphicData uri="http://schemas.openxmlformats.org/drawingml/2006/picture">
                <pic:pic>
                  <pic:nvPicPr>
                    <pic:cNvPr id="0" name="rpt_sidebyside_faith.png"/>
                    <pic:cNvPicPr/>
                  </pic:nvPicPr>
                  <pic:blipFill>
                    <a:blip r:embed="rId17"/>
                    <a:stretch>
                      <a:fillRect/>
                    </a:stretch>
                  </pic:blipFill>
                  <pic:spPr>
                    <a:xfrm>
                      <a:off x="0" y="0"/>
                      <a:ext cx="5303520" cy="2430780"/>
                    </a:xfrm>
                    <a:prstGeom prst="rect"/>
                  </pic:spPr>
                </pic:pic>
              </a:graphicData>
            </a:graphic>
          </wp:inline>
        </w:drawing>
      </w:r>
    </w:p>
    <w:p/>
    <w:p>
      <w:pPr>
        <w:pStyle w:val="Heading2"/>
      </w:pPr>
      <w:r>
        <w:rPr>
          <w:color w:val="1A1A2E"/>
        </w:rPr>
        <w:t>4.2 Context Recall: Original vs Fair</w:t>
      </w:r>
    </w:p>
    <w:p>
      <w:pPr>
        <w:jc w:val="center"/>
      </w:pPr>
      <w:r>
        <w:drawing>
          <wp:inline xmlns:a="http://schemas.openxmlformats.org/drawingml/2006/main" xmlns:pic="http://schemas.openxmlformats.org/drawingml/2006/picture">
            <wp:extent cx="5303520" cy="2430780"/>
            <wp:docPr id="10" name="Picture 10"/>
            <wp:cNvGraphicFramePr>
              <a:graphicFrameLocks noChangeAspect="1"/>
            </wp:cNvGraphicFramePr>
            <a:graphic>
              <a:graphicData uri="http://schemas.openxmlformats.org/drawingml/2006/picture">
                <pic:pic>
                  <pic:nvPicPr>
                    <pic:cNvPr id="0" name="rpt_sidebyside_recall.png"/>
                    <pic:cNvPicPr/>
                  </pic:nvPicPr>
                  <pic:blipFill>
                    <a:blip r:embed="rId18"/>
                    <a:stretch>
                      <a:fillRect/>
                    </a:stretch>
                  </pic:blipFill>
                  <pic:spPr>
                    <a:xfrm>
                      <a:off x="0" y="0"/>
                      <a:ext cx="5303520" cy="2430780"/>
                    </a:xfrm>
                    <a:prstGeom prst="rect"/>
                  </pic:spPr>
                </pic:pic>
              </a:graphicData>
            </a:graphic>
          </wp:inline>
        </w:drawing>
      </w:r>
    </w:p>
    <w:p/>
    <w:p>
      <w:pPr>
        <w:pStyle w:val="Heading2"/>
      </w:pPr>
      <w:r>
        <w:rPr>
          <w:color w:val="1A1A2E"/>
        </w:rPr>
        <w:t>4.3 Impact of Judge Change on Ollama Scores</w:t>
      </w:r>
    </w:p>
    <w:p>
      <w:r>
        <w:t>This table shows how Ollama's scores changed when re-evaluated by the Groq 70B judge instead of its own 3B judge.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Metric</w:t>
            </w:r>
          </w:p>
        </w:tc>
        <w:tc>
          <w:tcPr>
            <w:tcW w:type="dxa" w:w="2160"/>
          </w:tcPr>
          <w:p>
            <w:pPr>
              <w:jc w:val="center"/>
            </w:pPr>
            <w:r>
              <w:rPr>
                <w:b/>
                <w:sz w:val="20"/>
              </w:rPr>
              <w:t>Ollama (self-judged)</w:t>
            </w:r>
          </w:p>
        </w:tc>
        <w:tc>
          <w:tcPr>
            <w:tcW w:type="dxa" w:w="2160"/>
          </w:tcPr>
          <w:p>
            <w:pPr>
              <w:jc w:val="center"/>
            </w:pPr>
            <w:r>
              <w:rPr>
                <w:b/>
                <w:sz w:val="20"/>
              </w:rPr>
              <w:t>Ollama (Groq-judged)</w:t>
            </w:r>
          </w:p>
        </w:tc>
        <w:tc>
          <w:tcPr>
            <w:tcW w:type="dxa" w:w="2160"/>
          </w:tcPr>
          <w:p>
            <w:pPr>
              <w:jc w:val="center"/>
            </w:pPr>
            <w:r>
              <w:rPr>
                <w:b/>
                <w:sz w:val="20"/>
              </w:rPr>
              <w:t>Change</w:t>
            </w:r>
          </w:p>
        </w:tc>
      </w:tr>
      <w:tr>
        <w:tc>
          <w:tcPr>
            <w:tcW w:type="dxa" w:w="2160"/>
          </w:tcPr>
          <w:p>
            <w:pPr>
              <w:jc w:val="center"/>
            </w:pPr>
            <w:r>
              <w:rPr>
                <w:sz w:val="20"/>
              </w:rPr>
              <w:t>Faithfulness</w:t>
            </w:r>
          </w:p>
        </w:tc>
        <w:tc>
          <w:tcPr>
            <w:tcW w:type="dxa" w:w="2160"/>
          </w:tcPr>
          <w:p>
            <w:pPr>
              <w:jc w:val="center"/>
            </w:pPr>
            <w:r>
              <w:rPr>
                <w:sz w:val="20"/>
              </w:rPr>
              <w:t>56.6%</w:t>
            </w:r>
          </w:p>
        </w:tc>
        <w:tc>
          <w:tcPr>
            <w:tcW w:type="dxa" w:w="2160"/>
          </w:tcPr>
          <w:p>
            <w:pPr>
              <w:jc w:val="center"/>
            </w:pPr>
            <w:r>
              <w:rPr>
                <w:sz w:val="20"/>
              </w:rPr>
              <w:t>88.0%</w:t>
            </w:r>
          </w:p>
        </w:tc>
        <w:tc>
          <w:tcPr>
            <w:tcW w:type="dxa" w:w="2160"/>
          </w:tcPr>
          <w:p>
            <w:pPr>
              <w:jc w:val="center"/>
            </w:pPr>
            <w:r>
              <w:rPr>
                <w:sz w:val="20"/>
              </w:rPr>
              <w:t>+31.4%</w:t>
            </w:r>
          </w:p>
        </w:tc>
      </w:tr>
      <w:tr>
        <w:tc>
          <w:tcPr>
            <w:tcW w:type="dxa" w:w="2160"/>
          </w:tcPr>
          <w:p>
            <w:pPr>
              <w:jc w:val="center"/>
            </w:pPr>
            <w:r>
              <w:rPr>
                <w:sz w:val="20"/>
              </w:rPr>
              <w:t>Context Recall</w:t>
            </w:r>
          </w:p>
        </w:tc>
        <w:tc>
          <w:tcPr>
            <w:tcW w:type="dxa" w:w="2160"/>
          </w:tcPr>
          <w:p>
            <w:pPr>
              <w:jc w:val="center"/>
            </w:pPr>
            <w:r>
              <w:rPr>
                <w:sz w:val="20"/>
              </w:rPr>
              <w:t>38.6%</w:t>
            </w:r>
          </w:p>
        </w:tc>
        <w:tc>
          <w:tcPr>
            <w:tcW w:type="dxa" w:w="2160"/>
          </w:tcPr>
          <w:p>
            <w:pPr>
              <w:jc w:val="center"/>
            </w:pPr>
            <w:r>
              <w:rPr>
                <w:sz w:val="20"/>
              </w:rPr>
              <w:t>100.0%</w:t>
            </w:r>
          </w:p>
        </w:tc>
        <w:tc>
          <w:tcPr>
            <w:tcW w:type="dxa" w:w="2160"/>
          </w:tcPr>
          <w:p>
            <w:pPr>
              <w:jc w:val="center"/>
            </w:pPr>
            <w:r>
              <w:rPr>
                <w:sz w:val="20"/>
              </w:rPr>
              <w:t>+61.4%</w:t>
            </w:r>
          </w:p>
        </w:tc>
      </w:tr>
      <w:tr>
        <w:tc>
          <w:tcPr>
            <w:tcW w:type="dxa" w:w="2160"/>
          </w:tcPr>
          <w:p>
            <w:pPr>
              <w:jc w:val="center"/>
            </w:pPr>
            <w:r>
              <w:rPr>
                <w:sz w:val="20"/>
              </w:rPr>
              <w:t>BLEU Score</w:t>
            </w:r>
          </w:p>
        </w:tc>
        <w:tc>
          <w:tcPr>
            <w:tcW w:type="dxa" w:w="2160"/>
          </w:tcPr>
          <w:p>
            <w:pPr>
              <w:jc w:val="center"/>
            </w:pPr>
            <w:r>
              <w:rPr>
                <w:sz w:val="20"/>
              </w:rPr>
              <w:t>51.9%</w:t>
            </w:r>
          </w:p>
        </w:tc>
        <w:tc>
          <w:tcPr>
            <w:tcW w:type="dxa" w:w="2160"/>
          </w:tcPr>
          <w:p>
            <w:pPr>
              <w:jc w:val="center"/>
            </w:pPr>
            <w:r>
              <w:rPr>
                <w:sz w:val="20"/>
              </w:rPr>
              <w:t>51.9%</w:t>
            </w:r>
          </w:p>
        </w:tc>
        <w:tc>
          <w:tcPr>
            <w:tcW w:type="dxa" w:w="2160"/>
          </w:tcPr>
          <w:p>
            <w:pPr>
              <w:jc w:val="center"/>
            </w:pPr>
            <w:r>
              <w:rPr>
                <w:sz w:val="20"/>
              </w:rPr>
              <w:t>-0.0%</w:t>
            </w:r>
          </w:p>
        </w:tc>
      </w:tr>
    </w:tbl>
    <w:p/>
    <w:p>
      <w:r>
        <w:br w:type="page"/>
      </w:r>
    </w:p>
    <w:p>
      <w:pPr>
        <w:pStyle w:val="Heading1"/>
      </w:pPr>
      <w:r>
        <w:rPr>
          <w:color w:val="1A1A2E"/>
        </w:rPr>
        <w:t>5. Analysis: Why the Results Differ</w:t>
      </w:r>
    </w:p>
    <w:p>
      <w:pPr>
        <w:pStyle w:val="Heading2"/>
      </w:pPr>
      <w:r>
        <w:rPr>
          <w:color w:val="1A1A2E"/>
        </w:rPr>
        <w:t>5.1 Judge Model Quality — The Main Factor</w:t>
      </w:r>
    </w:p>
    <w:p>
      <w:r>
        <w:t>Faithfulness and context recall are scored by an LLM acting as a judge. In the original evaluation, Ollama used its own llama3.2 (3B parameters) as the judge, while Groq used llama-3.3-70b (70B parameters).</w:t>
      </w:r>
    </w:p>
    <w:p>
      <w:r>
        <w:t>The 3B model is a weak evaluator. It struggles to properly assess whether a response is grounded in the provided context, often giving inconsistent and lower scores even when the answer is clearly faithful. The 70B model understands the evaluation task much better and scores more accurately.</w:t>
      </w:r>
    </w:p>
    <w:p>
      <w:r>
        <w:t>Evidence: When we re-judged Ollama's answers with the Groq 70B judge, faithfulness jumped from 56.6% to 88.0% and context recall from 38.6% to 100.0%. The answers didn't change — only the judge got smarter.</w:t>
      </w:r>
    </w:p>
    <w:p>
      <w:pPr>
        <w:pStyle w:val="Heading2"/>
      </w:pPr>
      <w:r>
        <w:rPr>
          <w:color w:val="1A1A2E"/>
        </w:rPr>
        <w:t>5.2 Generation Quality — A Secondary Factor</w:t>
      </w:r>
    </w:p>
    <w:p>
      <w:r>
        <w:t>The 70B model also generates slightly better RAG answers than the 3B model. Examples:</w:t>
      </w:r>
    </w:p>
    <w:p>
      <w:pPr>
        <w:pStyle w:val="ListBullet"/>
      </w:pPr>
      <w:r>
        <w:t>Melanoma: Groq's answer included "Melanoma is not always preventable, but..." which closely matches the reference. Ollama's version said "Melanoma can be prevented by..." — a subtle but meaningful inaccuracy that omits the nuance from the source material.</w:t>
      </w:r>
    </w:p>
    <w:p>
      <w:pPr>
        <w:pStyle w:val="ListBullet"/>
      </w:pPr>
      <w:r>
        <w:t>MRSA: Groq's answer stayed focused on "how you get MRSA" (the actual question), while Ollama's answer drifted into treatment details from other context chunks, reducing faithfulness.</w:t>
      </w:r>
    </w:p>
    <w:p>
      <w:pPr>
        <w:pStyle w:val="ListBullet"/>
      </w:pPr>
      <w:r>
        <w:t>Type 1 Diabetes: Both models acknowledged the thin context, but Groq's response was more concise and cited the source, while Ollama added unsupported advice about "exploring additional resources."</w:t>
      </w:r>
    </w:p>
    <w:p>
      <w:pPr>
        <w:pStyle w:val="Heading2"/>
      </w:pPr>
      <w:r>
        <w:rPr>
          <w:color w:val="1A1A2E"/>
        </w:rPr>
        <w:t>5.3 BLEU Tells the Objective Story</w:t>
      </w:r>
    </w:p>
    <w:p>
      <w:r>
        <w:t>BLEU is computed algorithmically with no LLM involvement, making it the most objective metric. The BLEU improvement was moderate (51.9% → 63.7%), confirming that the 70B model generates better answers, but not as dramatically as the original LLM-judged metrics suggested.</w:t>
      </w:r>
    </w:p>
    <w:p>
      <w:r>
        <w:t>BLEU scores are identical in both the original and fair comparison because they don't depend on the judge model at all.</w:t>
      </w:r>
    </w:p>
    <w:p>
      <w:pPr>
        <w:pStyle w:val="Heading2"/>
      </w:pPr>
      <w:r>
        <w:rPr>
          <w:color w:val="1A1A2E"/>
        </w:rPr>
        <w:t>5.4 Type 1 Diabetes — Low for Both</w:t>
      </w:r>
    </w:p>
    <w:p>
      <w:r>
        <w:t>Both models scored low on BLEU for this question because the reference answer is extremely short: "Advice on avoiding complications of type 1 diabetes." There simply isn't enough ground-truth content for either model to match against. This is a data quality issue, not a model quality issue.</w:t>
      </w:r>
    </w:p>
    <w:p>
      <w:pPr>
        <w:pStyle w:val="Heading1"/>
      </w:pPr>
      <w:r>
        <w:rPr>
          <w:color w:val="1A1A2E"/>
        </w:rPr>
        <w:t>6. Key Takeaways</w:t>
      </w:r>
    </w:p>
    <w:p>
      <w:pPr>
        <w:pStyle w:val="ListNumber"/>
      </w:pPr>
      <w:r>
        <w:t>Using a small model (3B) as both generator and judge produces unreliable evaluation scores. The 3B judge underscored Ollama's answers by over 30 percentage points on faithfulness.</w:t>
      </w:r>
    </w:p>
    <w:p>
      <w:pPr>
        <w:pStyle w:val="ListNumber"/>
      </w:pPr>
      <w:r>
        <w:t>The 70B model via Groq API provides better generation quality and much more reliable evaluation. The fair comparison shows the actual generation gap is modest (~12% on faithfulness, ~12% on BLEU).</w:t>
      </w:r>
    </w:p>
    <w:p>
      <w:pPr>
        <w:pStyle w:val="ListNumber"/>
      </w:pPr>
      <w:r>
        <w:t>BLEU scores are the most objective metric since they don't depend on LLM judgment. They should be used alongside LLM-judged metrics to cross-validate results.</w:t>
      </w:r>
    </w:p>
    <w:p>
      <w:pPr>
        <w:pStyle w:val="ListNumber"/>
      </w:pPr>
      <w:r>
        <w:t>For reliable evaluation, always use a strong model as the judge — ideally separate from the generation model. This avoids self-evaluation bias.</w:t>
      </w:r>
    </w:p>
    <w:p>
      <w:pPr>
        <w:pStyle w:val="ListNumber"/>
      </w:pPr>
      <w:r>
        <w:t>Both models performed well on context recall when fairly judged (100%), indicating the retrieval pipeline itself is working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