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96272"/>
          <w:sz w:val="16"/>
        </w:rPr>
        <w:t>PROJECT BRIEF  /  PRODUCT &amp; CUSTOMER SUCCESS</w:t>
      </w:r>
    </w:p>
    <w:p>
      <w:pPr>
        <w:pStyle w:val="Title"/>
      </w:pPr>
      <w:r>
        <w:t>Northstar launch</w:t>
      </w:r>
    </w:p>
    <w:p>
      <w:r>
        <w:rPr>
          <w:i/>
        </w:rPr>
        <w:t>Make the first ten minutes count.</w:t>
      </w:r>
    </w:p>
    <w:p>
      <w:r>
        <w:t>Northstar gives new customers a clear path from signup to their first useful result. We will replace a long setup checklist with three guided steps, then validate the experience with a 50-account pilot before the 24 November 2026 launch.</w:t>
      </w:r>
    </w:p>
    <w:p>
      <w:pPr>
        <w:spacing w:before="140" w:after="180"/>
      </w:pPr>
      <w:r>
        <w:rPr>
          <w:b/>
        </w:rPr>
        <w:t xml:space="preserve">Decision  </w:t>
      </w:r>
      <w:r>
        <w:t>Approve the 50-account pilot scope by 2 November.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shd w:fill="2B165E"/>
          </w:tcPr>
          <w:p>
            <w:r>
              <w:rPr>
                <w:b/>
                <w:color w:val="FFFFFF"/>
                <w:sz w:val="18"/>
              </w:rPr>
              <w:t>Pilot</w:t>
            </w:r>
          </w:p>
        </w:tc>
        <w:tc>
          <w:tcPr>
            <w:tcW w:type="dxa" w:w="3298"/>
            <w:shd w:fill="2B165E"/>
          </w:tcPr>
          <w:p>
            <w:r>
              <w:rPr>
                <w:b/>
                <w:color w:val="FFFFFF"/>
                <w:sz w:val="18"/>
              </w:rPr>
              <w:t>Launch</w:t>
            </w:r>
          </w:p>
        </w:tc>
        <w:tc>
          <w:tcPr>
            <w:tcW w:type="dxa" w:w="3298"/>
            <w:shd w:fill="2B165E"/>
          </w:tcPr>
          <w:p>
            <w:r>
              <w:rPr>
                <w:b/>
                <w:color w:val="FFFFFF"/>
                <w:sz w:val="18"/>
              </w:rPr>
              <w:t>Planned budget</w:t>
            </w:r>
          </w:p>
        </w:tc>
      </w:tr>
      <w:tr>
        <w:tc>
          <w:tcPr>
            <w:tcW w:type="dxa" w:w="3298"/>
            <w:shd w:fill="F5F2FA"/>
          </w:tcPr>
          <w:p>
            <w:pPr>
              <w:spacing w:after="100" w:before="100"/>
            </w:pPr>
            <w:r>
              <w:rPr>
                <w:sz w:val="18"/>
              </w:rPr>
              <w:t>50 accounts</w:t>
            </w:r>
          </w:p>
        </w:tc>
        <w:tc>
          <w:tcPr>
            <w:tcW w:type="dxa" w:w="3298"/>
            <w:shd w:fill="F5F2FA"/>
          </w:tcPr>
          <w:p>
            <w:pPr>
              <w:spacing w:after="100" w:before="100"/>
            </w:pPr>
            <w:r>
              <w:rPr>
                <w:sz w:val="18"/>
              </w:rPr>
              <w:t>24 November 2026</w:t>
            </w:r>
          </w:p>
        </w:tc>
        <w:tc>
          <w:tcPr>
            <w:tcW w:type="dxa" w:w="3298"/>
            <w:shd w:fill="F5F2FA"/>
          </w:tcPr>
          <w:p>
            <w:pPr>
              <w:spacing w:after="100" w:before="100"/>
            </w:pPr>
            <w:r>
              <w:rPr>
                <w:sz w:val="18"/>
              </w:rPr>
              <w:t>$18,400</w:t>
            </w:r>
          </w:p>
        </w:tc>
      </w:tr>
    </w:tbl>
    <w:p>
      <w:pPr>
        <w:pStyle w:val="Heading1"/>
      </w:pPr>
      <w:r>
        <w:t>What changes</w:t>
      </w:r>
    </w:p>
    <w:p>
      <w:pPr>
        <w:pStyle w:val="ListBullet"/>
      </w:pPr>
      <w:r>
        <w:t>Replace the twelve-step checklist with three guided setup steps.</w:t>
      </w:r>
    </w:p>
    <w:p>
      <w:pPr>
        <w:pStyle w:val="ListBullet"/>
      </w:pPr>
      <w:r>
        <w:t>Offer a useful sample workspace before asking customers to import their own data.</w:t>
      </w:r>
    </w:p>
    <w:p>
      <w:pPr>
        <w:pStyle w:val="ListBullet"/>
      </w:pPr>
      <w:r>
        <w:t>Give Customer Success a clear view of accounts that need help.</w:t>
      </w:r>
    </w:p>
    <w:p>
      <w:pPr>
        <w:pStyle w:val="Heading1"/>
      </w:pPr>
      <w:r>
        <w:t>How we measure success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shd w:fill="2B165E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298"/>
            <w:shd w:fill="2B165E"/>
          </w:tcPr>
          <w:p>
            <w:r>
              <w:rPr>
                <w:b/>
                <w:color w:val="FFFFFF"/>
                <w:sz w:val="18"/>
              </w:rPr>
              <w:t>Today</w:t>
            </w:r>
          </w:p>
        </w:tc>
        <w:tc>
          <w:tcPr>
            <w:tcW w:type="dxa" w:w="3298"/>
            <w:shd w:fill="2B165E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3298"/>
            <w:shd w:fill="F5F2FA"/>
          </w:tcPr>
          <w:p>
            <w:pPr>
              <w:spacing w:after="100" w:before="100"/>
            </w:pPr>
            <w:r>
              <w:rPr>
                <w:sz w:val="18"/>
              </w:rPr>
              <w:t>Setup completion</w:t>
            </w:r>
          </w:p>
        </w:tc>
        <w:tc>
          <w:tcPr>
            <w:tcW w:type="dxa" w:w="3298"/>
            <w:shd w:fill="F5F2FA"/>
          </w:tcPr>
          <w:p>
            <w:pPr>
              <w:spacing w:after="100" w:before="100"/>
            </w:pPr>
            <w:r>
              <w:rPr>
                <w:sz w:val="18"/>
              </w:rPr>
              <w:t>70%</w:t>
            </w:r>
          </w:p>
        </w:tc>
        <w:tc>
          <w:tcPr>
            <w:tcW w:type="dxa" w:w="3298"/>
            <w:shd w:fill="F5F2FA"/>
          </w:tcPr>
          <w:p>
            <w:pPr>
              <w:spacing w:after="100" w:before="100"/>
            </w:pPr>
            <w:r>
              <w:rPr>
                <w:sz w:val="18"/>
              </w:rPr>
              <w:t>90%</w:t>
            </w:r>
          </w:p>
        </w:tc>
      </w:tr>
      <w:tr>
        <w:tc>
          <w:tcPr>
            <w:tcW w:type="dxa" w:w="3298"/>
          </w:tcPr>
          <w:p>
            <w:pPr>
              <w:spacing w:after="100" w:before="100"/>
            </w:pPr>
            <w:r>
              <w:rPr>
                <w:sz w:val="18"/>
              </w:rPr>
              <w:t>Week-one activation</w:t>
            </w:r>
          </w:p>
        </w:tc>
        <w:tc>
          <w:tcPr>
            <w:tcW w:type="dxa" w:w="3298"/>
          </w:tcPr>
          <w:p>
            <w:pPr>
              <w:spacing w:after="100" w:before="100"/>
            </w:pPr>
            <w:r>
              <w:rPr>
                <w:sz w:val="18"/>
              </w:rPr>
              <w:t>42%</w:t>
            </w:r>
          </w:p>
        </w:tc>
        <w:tc>
          <w:tcPr>
            <w:tcW w:type="dxa" w:w="3298"/>
          </w:tcPr>
          <w:p>
            <w:pPr>
              <w:spacing w:after="100" w:before="100"/>
            </w:pPr>
            <w:r>
              <w:rPr>
                <w:sz w:val="18"/>
              </w:rPr>
              <w:t>60%</w:t>
            </w:r>
          </w:p>
        </w:tc>
      </w:tr>
      <w:tr>
        <w:tc>
          <w:tcPr>
            <w:tcW w:type="dxa" w:w="3298"/>
            <w:shd w:fill="F5F2FA"/>
          </w:tcPr>
          <w:p>
            <w:pPr>
              <w:spacing w:after="100" w:before="100"/>
            </w:pPr>
            <w:r>
              <w:rPr>
                <w:sz w:val="18"/>
              </w:rPr>
              <w:t>Time to first value</w:t>
            </w:r>
          </w:p>
        </w:tc>
        <w:tc>
          <w:tcPr>
            <w:tcW w:type="dxa" w:w="3298"/>
            <w:shd w:fill="F5F2FA"/>
          </w:tcPr>
          <w:p>
            <w:pPr>
              <w:spacing w:after="100" w:before="100"/>
            </w:pPr>
            <w:r>
              <w:rPr>
                <w:sz w:val="18"/>
              </w:rPr>
              <w:t>18 minutes</w:t>
            </w:r>
          </w:p>
        </w:tc>
        <w:tc>
          <w:tcPr>
            <w:tcW w:type="dxa" w:w="3298"/>
            <w:shd w:fill="F5F2FA"/>
          </w:tcPr>
          <w:p>
            <w:pPr>
              <w:spacing w:after="100" w:before="100"/>
            </w:pPr>
            <w:r>
              <w:rPr>
                <w:sz w:val="18"/>
              </w:rPr>
              <w:t>Under 10 minutes</w:t>
            </w:r>
          </w:p>
        </w:tc>
      </w:tr>
    </w:tbl>
    <w:p>
      <w:pPr>
        <w:pStyle w:val="Heading1"/>
      </w:pPr>
      <w:r>
        <w:t>Rollout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shd w:fill="2B165E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473"/>
            <w:shd w:fill="2B165E"/>
          </w:tcPr>
          <w:p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2473"/>
            <w:shd w:fill="2B165E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73"/>
            <w:shd w:fill="2B165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73"/>
            <w:shd w:fill="F5F2FA"/>
          </w:tcPr>
          <w:p>
            <w:pPr>
              <w:spacing w:after="100" w:before="100"/>
            </w:pPr>
            <w:r>
              <w:rPr>
                <w:sz w:val="18"/>
              </w:rPr>
              <w:t>2 Nov</w:t>
            </w:r>
          </w:p>
        </w:tc>
        <w:tc>
          <w:tcPr>
            <w:tcW w:type="dxa" w:w="2473"/>
            <w:shd w:fill="F5F2FA"/>
          </w:tcPr>
          <w:p>
            <w:pPr>
              <w:spacing w:after="100" w:before="100"/>
            </w:pPr>
            <w:r>
              <w:rPr>
                <w:sz w:val="18"/>
              </w:rPr>
              <w:t>Pilot scope approved</w:t>
            </w:r>
          </w:p>
        </w:tc>
        <w:tc>
          <w:tcPr>
            <w:tcW w:type="dxa" w:w="2473"/>
            <w:shd w:fill="F5F2FA"/>
          </w:tcPr>
          <w:p>
            <w:pPr>
              <w:spacing w:after="100" w:before="100"/>
            </w:pPr>
            <w:r>
              <w:rPr>
                <w:sz w:val="18"/>
              </w:rPr>
              <w:t>Maya Chen</w:t>
            </w:r>
          </w:p>
        </w:tc>
        <w:tc>
          <w:tcPr>
            <w:tcW w:type="dxa" w:w="2473"/>
            <w:shd w:fill="F5F2FA"/>
          </w:tcPr>
          <w:p>
            <w:pPr>
              <w:spacing w:after="100" w:before="100"/>
            </w:pPr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473"/>
          </w:tcPr>
          <w:p>
            <w:pPr>
              <w:spacing w:after="100" w:before="100"/>
            </w:pPr>
            <w:r>
              <w:rPr>
                <w:sz w:val="18"/>
              </w:rPr>
              <w:t>9 Nov</w:t>
            </w:r>
          </w:p>
        </w:tc>
        <w:tc>
          <w:tcPr>
            <w:tcW w:type="dxa" w:w="2473"/>
          </w:tcPr>
          <w:p>
            <w:pPr>
              <w:spacing w:after="100" w:before="100"/>
            </w:pPr>
            <w:r>
              <w:rPr>
                <w:sz w:val="18"/>
              </w:rPr>
              <w:t>Prototype review</w:t>
            </w:r>
          </w:p>
        </w:tc>
        <w:tc>
          <w:tcPr>
            <w:tcW w:type="dxa" w:w="2473"/>
          </w:tcPr>
          <w:p>
            <w:pPr>
              <w:spacing w:after="100" w:before="100"/>
            </w:pPr>
            <w:r>
              <w:rPr>
                <w:sz w:val="18"/>
              </w:rPr>
              <w:t>Luca Reed</w:t>
            </w:r>
          </w:p>
        </w:tc>
        <w:tc>
          <w:tcPr>
            <w:tcW w:type="dxa" w:w="2473"/>
          </w:tcPr>
          <w:p>
            <w:pPr>
              <w:spacing w:after="100" w:before="100"/>
            </w:pPr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2473"/>
            <w:shd w:fill="F5F2FA"/>
          </w:tcPr>
          <w:p>
            <w:pPr>
              <w:spacing w:after="100" w:before="100"/>
            </w:pPr>
            <w:r>
              <w:rPr>
                <w:sz w:val="18"/>
              </w:rPr>
              <w:t>16 Nov</w:t>
            </w:r>
          </w:p>
        </w:tc>
        <w:tc>
          <w:tcPr>
            <w:tcW w:type="dxa" w:w="2473"/>
            <w:shd w:fill="F5F2FA"/>
          </w:tcPr>
          <w:p>
            <w:pPr>
              <w:spacing w:after="100" w:before="100"/>
            </w:pPr>
            <w:r>
              <w:rPr>
                <w:sz w:val="18"/>
              </w:rPr>
              <w:t>50-account pilot</w:t>
            </w:r>
          </w:p>
        </w:tc>
        <w:tc>
          <w:tcPr>
            <w:tcW w:type="dxa" w:w="2473"/>
            <w:shd w:fill="F5F2FA"/>
          </w:tcPr>
          <w:p>
            <w:pPr>
              <w:spacing w:after="100" w:before="100"/>
            </w:pPr>
            <w:r>
              <w:rPr>
                <w:sz w:val="18"/>
              </w:rPr>
              <w:t>Sam Rivera</w:t>
            </w:r>
          </w:p>
        </w:tc>
        <w:tc>
          <w:tcPr>
            <w:tcW w:type="dxa" w:w="2473"/>
            <w:shd w:fill="F5F2FA"/>
          </w:tcPr>
          <w:p>
            <w:pPr>
              <w:spacing w:after="100" w:before="100"/>
            </w:pPr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473"/>
          </w:tcPr>
          <w:p>
            <w:pPr>
              <w:spacing w:after="100" w:before="100"/>
            </w:pPr>
            <w:r>
              <w:rPr>
                <w:sz w:val="18"/>
              </w:rPr>
              <w:t>24 Nov</w:t>
            </w:r>
          </w:p>
        </w:tc>
        <w:tc>
          <w:tcPr>
            <w:tcW w:type="dxa" w:w="2473"/>
          </w:tcPr>
          <w:p>
            <w:pPr>
              <w:spacing w:after="100" w:before="100"/>
            </w:pPr>
            <w:r>
              <w:rPr>
                <w:sz w:val="18"/>
              </w:rPr>
              <w:t>General availability</w:t>
            </w:r>
          </w:p>
        </w:tc>
        <w:tc>
          <w:tcPr>
            <w:tcW w:type="dxa" w:w="2473"/>
          </w:tcPr>
          <w:p>
            <w:pPr>
              <w:spacing w:after="100" w:before="100"/>
            </w:pPr>
            <w:r>
              <w:rPr>
                <w:sz w:val="18"/>
              </w:rPr>
              <w:t>Maya Chen</w:t>
            </w:r>
          </w:p>
        </w:tc>
        <w:tc>
          <w:tcPr>
            <w:tcW w:type="dxa" w:w="2473"/>
          </w:tcPr>
          <w:p>
            <w:pPr>
              <w:spacing w:after="100" w:before="100"/>
            </w:pPr>
            <w:r>
              <w:rPr>
                <w:sz w:val="18"/>
              </w:rPr>
              <w:t>Planned</w:t>
            </w:r>
          </w:p>
        </w:tc>
      </w:tr>
    </w:tbl>
    <w:p>
      <w:pPr>
        <w:pStyle w:val="Heading1"/>
      </w:pPr>
      <w:r>
        <w:t>Guardrails</w:t>
      </w:r>
    </w:p>
    <w:p>
      <w:pPr>
        <w:pStyle w:val="ListBullet"/>
      </w:pPr>
      <w:r>
        <w:t>If pilot activation is below 60%, extend the pilot rather than widen the rollout.</w:t>
      </w:r>
    </w:p>
    <w:p>
      <w:pPr>
        <w:pStyle w:val="ListBullet"/>
      </w:pPr>
      <w:r>
        <w:t>Keep the current onboarding path available until the pilot is complete.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96272"/>
        <w:sz w:val="16"/>
      </w:rPr>
      <w:t>Northstar  •  Synthetic demo content  •  27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unito Sans" w:hAnsi="Nunito Sans"/>
      <w:color w:val="2521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Nunito Sans" w:hAnsi="Nunito Sans"/>
      <w:b/>
      <w:bCs/>
      <w:color w:val="2B165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unito Sans" w:hAnsi="Nunito Sans"/>
      <w:b/>
      <w:bCs/>
      <w:color w:val="2B16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unito Sans" w:hAnsi="Nunito Sans"/>
      <w:color w:val="2B165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launch — formatted</dc:title>
  <dc:subject>Original synthetic content; names, dates and figures are fictional.</dc:subject>
  <dc:creator>Sarj Wiki demo</dc:creator>
  <cp:keywords/>
  <dc:description>generated by python-docx</dc:description>
  <cp:lastModifiedBy>Sarj Wiki demo</cp:lastModifiedBy>
  <cp:revision>1</cp:revision>
  <dcterms:created xsi:type="dcterms:W3CDTF">2026-10-27T12:00:00Z</dcterms:created>
  <dcterms:modified xsi:type="dcterms:W3CDTF">2026-10-27T12:00:00Z</dcterms:modified>
  <cp:category/>
</cp:coreProperties>
</file>