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color w:val="292929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28"/>
          <w:szCs w:val="28"/>
          <w:u w:val="single"/>
          <w:rtl w:val="0"/>
        </w:rPr>
        <w:t xml:space="preserve">Latent Features and Manifolds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A latent variable is a variable that is not directly observable and is assumed to affect the response variables (manifest variables).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Latent variables are used to represent the effect of these unobservable factors.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These variables which you can’t measure on a quantitative scale are called latent variables.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Benefits of using Latent Variable Models: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i)Fewer Parameters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ii)Simple Model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iii)Easy to interpret.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Drawbacks: Harder to train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Sometimes there might not be the use of latent variables as it introduces an extra parameter and it becomes harder to train with.</w:t>
      </w:r>
    </w:p>
    <w:p w:rsidR="00000000" w:rsidDel="00000000" w:rsidP="00000000" w:rsidRDefault="00000000" w:rsidRPr="00000000" w14:paraId="0000000B">
      <w:pPr>
        <w:shd w:fill="ffffff" w:val="clear"/>
        <w:spacing w:after="0" w:before="600" w:line="276" w:lineRule="auto"/>
        <w:ind w:left="720" w:firstLine="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center"/>
        <w:rPr>
          <w:rFonts w:ascii="Calibri" w:cs="Calibri" w:eastAsia="Calibri" w:hAnsi="Calibri"/>
          <w:b w:val="1"/>
          <w:color w:val="292929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center"/>
        <w:rPr>
          <w:rFonts w:ascii="Calibri" w:cs="Calibri" w:eastAsia="Calibri" w:hAnsi="Calibri"/>
          <w:b w:val="1"/>
          <w:color w:val="292929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28"/>
          <w:szCs w:val="28"/>
          <w:u w:val="single"/>
          <w:rtl w:val="0"/>
        </w:rPr>
        <w:t xml:space="preserve">Latent Variable Models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Factor analysis model: a fundamental tool in multivariate statistics to summarize several (continuous) measurements through a small number of (continuous) latent traits; no covariates are included.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Item Response Theory models: models for items (categorical responses) measuring a common latent trait assumed to be continuous (or less often discrete) and typically representing an ability or a psychological attitude.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Generalized linear mixed models (random-effects models): extension of the class of Generalized linear models (GLM) for continuous or categorical responses which account for unobserved heterogeneity, beyond the effect of observable covariates.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Finite mixture model: model, used even for a single response variable, in which subjects are assumed to come from subpopulations having different distributions of the response variables; typically covariates are ruled out.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Latent class model: a model for categorical response variables based on a discrete latent variable, the levels of which correspond to latent classes in the population; typically covariates are ruled out.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Finite mixture regression model (Latent regression model): version of the finite mixture (or latent class model) which includes observable covariates affecting the conditional distribution of the response variables and/or the distribution of the latent variables.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Models for longitudinal/panel data based on a state-space formulation: models in which the response variables (categorical or continuous) are assumed to depend on a latent process made of continuous latent variables.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Latent Markov models: models for longitudinal data in which the response variables are assumed to depend on an unobservable Markov chain, as in hidden Markov models for time series; covariates may be included in different ways.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Latent Growth/Curve models: models based on a random-effects formulation which are used the study the evolution of a phenomenon across time on the basis of longitudinal data; covariates are typically ruled out.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  <w:b w:val="1"/>
          <w:color w:val="292929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28"/>
          <w:szCs w:val="28"/>
          <w:u w:val="single"/>
          <w:rtl w:val="0"/>
        </w:rPr>
        <w:t xml:space="preserve">Relevant Articles to Real Estate Investment (House Price Prediction)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292929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https://towardsdatascience.com/automating-real-estate-investment-analysis-d2b07395833b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292929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https://www.forbes.com/sites/forbesbizcouncil/2021/10/04/how-real-estate-investors-can-use-artificial-intelligence/?sh=707cbd67454d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292929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https://www.linkedin.com/pulse/real-estate-investing-machine-learning-part-1-valentino-pintea-cfa/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292929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https://www.irjet.net/archives/V4/i3/IRJET-V4I3499.pdf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292929"/>
          <w:sz w:val="24"/>
          <w:szCs w:val="24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rjet.net/archives/V4/i3/IRJET-V4I3499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automating-real-estate-investment-analysis-d2b07395833b" TargetMode="External"/><Relationship Id="rId7" Type="http://schemas.openxmlformats.org/officeDocument/2006/relationships/hyperlink" Target="https://www.forbes.com/sites/forbesbizcouncil/2021/10/04/how-real-estate-investors-can-use-artificial-intelligence/?sh=707cbd67454d" TargetMode="External"/><Relationship Id="rId8" Type="http://schemas.openxmlformats.org/officeDocument/2006/relationships/hyperlink" Target="https://www.linkedin.com/pulse/real-estate-investing-machine-learning-part-1-valentino-pintea-cf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