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78.png" ContentType="image/png"/>
  <Override PartName="/word/media/rId91.png" ContentType="image/png"/>
  <Override PartName="/word/media/rId96.png" ContentType="image/png"/>
  <Override PartName="/word/media/rId85.png" ContentType="image/png"/>
  <Override PartName="/word/media/image1.emf" ContentType="image/x-emf"/>
  <Override PartName="/word/media/image2.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hmtitle"/>
      </w:pPr>
      <w:r>
        <w:t xml:space="preserve">Protocol Sensitivity in Unsupervised Industrial Anomaly Detection:</w:t>
      </w:r>
      <w:r>
        <w:t xml:space="preserve"> </w:t>
      </w:r>
      <w:r>
        <w:t xml:space="preserve">Threshold Transfer, Retraining Risk, and Inference Cost</w:t>
      </w:r>
    </w:p>
    <w:p>
      <w:pPr>
        <w:pStyle w:val="phmauthorlist"/>
      </w:pPr>
      <w:r>
        <w:t xml:space="preserve">Sarjan Shah</w:t>
      </w:r>
      <w:r>
        <w:rPr>
          <w:vertAlign w:val="superscript"/>
        </w:rPr>
        <w:t xml:space="preserve">1</w:t>
      </w:r>
      <w:r>
        <w:t xml:space="preserve"> and Abhi Shah</w:t>
      </w:r>
      <w:r>
        <w:rPr>
          <w:vertAlign w:val="superscript"/>
        </w:rPr>
        <w:t xml:space="preserve">1</w:t>
      </w:r>
    </w:p>
    <w:p>
      <w:pPr>
        <w:pStyle w:val="phmaffiliation"/>
      </w:pPr>
      <w:r>
        <w:rPr>
          <w:vertAlign w:val="superscript"/>
        </w:rPr>
        <w:t xml:space="preserve">1</w:t>
      </w:r>
      <w:r>
        <w:t xml:space="preserve">Department of Information Technology, Lok Jagruti University, Vadodara, Gujarat, India</w:t>
      </w:r>
    </w:p>
    <w:p>
      <w:pPr>
        <w:pStyle w:val="phmemail"/>
      </w:pPr>
      <w:r>
        <w:t xml:space="preserve">shahsarjan968@gmail.com</w:t>
      </w:r>
    </w:p>
    <w:p>
      <w:pPr>
        <w:pStyle w:val="phmemail"/>
      </w:pPr>
      <w:r>
        <w:t xml:space="preserve">abhi.shah@ljku.edu.in</w:t>
      </w:r>
    </w:p>
    <w:p>
      <w:pPr>
        <w:pStyle w:val="phmheadingabstract"/>
      </w:pPr>
      <w:r>
        <w:t xml:space="preserve">Abstract</w:t>
      </w:r>
    </w:p>
    <w:p>
      <w:pPr>
        <w:pStyle w:val="phmbodytext"/>
      </w:pPr>
      <w:r>
        <w:t xml:space="preserve">Comparisons of unsupervised anomaly detectors for industrial sensor data often</w:t>
      </w:r>
      <w:r>
        <w:t xml:space="preserve"> </w:t>
      </w:r>
      <w:r>
        <w:t xml:space="preserve">report a winning method, but the winner can depend on evaluation choices that are</w:t>
      </w:r>
      <w:r>
        <w:t xml:space="preserve"> </w:t>
      </w:r>
      <w:r>
        <w:t xml:space="preserve">rarely varied. This paper shows how three such choices change the conclusions:</w:t>
      </w:r>
      <w:r>
        <w:t xml:space="preserve"> </w:t>
      </w:r>
      <w:r>
        <w:t xml:space="preserve">which data define the normal training period (a widely shared re-upload of SWaT</w:t>
      </w:r>
      <w:r>
        <w:t xml:space="preserve"> </w:t>
      </w:r>
      <w:r>
        <w:t xml:space="preserve">places the attack period’s normal rows in the file named for normal operation),</w:t>
      </w:r>
      <w:r>
        <w:t xml:space="preserve"> </w:t>
      </w:r>
      <w:r>
        <w:t xml:space="preserve">how detection thresholds are calibrated, and whether retraining data are selected</w:t>
      </w:r>
      <w:r>
        <w:t xml:space="preserve"> </w:t>
      </w:r>
      <w:r>
        <w:t xml:space="preserve">with labels. Nine lightweight detectors and a small LSTM autoencoder are</w:t>
      </w:r>
      <w:r>
        <w:t xml:space="preserve"> </w:t>
      </w:r>
      <w:r>
        <w:t xml:space="preserve">evaluated under standard protocols with threshold-free metrics (AUROC, AUPRC),</w:t>
      </w:r>
      <w:r>
        <w:t xml:space="preserve"> </w:t>
      </w:r>
      <w:r>
        <w:t xml:space="preserve">threshold-dependent metrics under two calibration rules, event recall and</w:t>
      </w:r>
      <w:r>
        <w:t xml:space="preserve"> </w:t>
      </w:r>
      <w:r>
        <w:t xml:space="preserve">block-bootstrap confidence intervals on four benchmarks: SKAB (pump and valve</w:t>
      </w:r>
      <w:r>
        <w:t xml:space="preserve"> </w:t>
      </w:r>
      <w:r>
        <w:t xml:space="preserve">testbed), SWaT and WADI (water treatment and distribution, official iTrust releases)</w:t>
      </w:r>
      <w:r>
        <w:t xml:space="preserve"> </w:t>
      </w:r>
      <w:r>
        <w:t xml:space="preserve">and HAI (turbine, boiler and water-treatment hardware-in-the-loop testbed). On SWaT,</w:t>
      </w:r>
      <w:r>
        <w:t xml:space="preserve"> </w:t>
      </w:r>
      <w:r>
        <w:t xml:space="preserve">all ten detectors rank attacks equally well (AUROC 0.81–0.86, overlapping</w:t>
      </w:r>
      <w:r>
        <w:t xml:space="preserve"> </w:t>
      </w:r>
      <w:r>
        <w:t xml:space="preserve">intervals); on SKAB with pooled training none is reliably better than chance, while</w:t>
      </w:r>
      <w:r>
        <w:t xml:space="preserve"> </w:t>
      </w:r>
      <w:r>
        <w:t xml:space="preserve">SKAB’s per-run protocol yields run-level AUROC up to 0.79 and an inverted ranking;</w:t>
      </w:r>
      <w:r>
        <w:t xml:space="preserve"> </w:t>
      </w:r>
      <w:r>
        <w:t xml:space="preserve">on HAI, PCA reconstruction and LOF lead (0.93, 0.92) and Elliptic Envelope trails</w:t>
      </w:r>
      <w:r>
        <w:t xml:space="preserve"> </w:t>
      </w:r>
      <w:r>
        <w:t xml:space="preserve">(0.66). Protocol choices moved MCC by up to 0.8 for the same detector. Thresholds</w:t>
      </w:r>
      <w:r>
        <w:t xml:space="preserve"> </w:t>
      </w:r>
      <w:r>
        <w:t xml:space="preserve">set only from normal data failed wherever chemical analysers drifted between the</w:t>
      </w:r>
      <w:r>
        <w:t xml:space="preserve"> </w:t>
      </w:r>
      <w:r>
        <w:t xml:space="preserve">normal and the attack recordings: on SWaT and WADI, distance- and reconstruction-based</w:t>
      </w:r>
      <w:r>
        <w:t xml:space="preserve"> </w:t>
      </w:r>
      <w:r>
        <w:t xml:space="preserve">detectors raised alarms on 42–75% of normal readings, while detectors that score each</w:t>
      </w:r>
      <w:r>
        <w:t xml:space="preserve"> </w:t>
      </w:r>
      <w:r>
        <w:t xml:space="preserve">sensor’s rarity separately stayed below 12%. Adding one drifting analyser (AIT201,</w:t>
      </w:r>
      <w:r>
        <w:t xml:space="preserve"> </w:t>
      </w:r>
      <w:r>
        <w:t xml:space="preserve">missing from a public re-upload of SWaT) raised the</w:t>
      </w:r>
      <w:r>
        <w:t xml:space="preserve"> </w:t>
      </w:r>
      <w:r>
        <w:rPr>
          <w:i/>
          <w:iCs/>
        </w:rPr>
        <w:t xml:space="preserve">z</w:t>
      </w:r>
      <w:r>
        <w:t xml:space="preserve">-score’s false-alarm rate from</w:t>
      </w:r>
      <w:r>
        <w:t xml:space="preserve"> </w:t>
      </w:r>
      <w:r>
        <w:t xml:space="preserve">1.4% to 42%; removing three drifting analysers from WADI cut false alarms from 56%</w:t>
      </w:r>
      <w:r>
        <w:t xml:space="preserve"> </w:t>
      </w:r>
      <w:r>
        <w:t xml:space="preserve">to about 1%. In a streaming</w:t>
      </w:r>
      <w:r>
        <w:t xml:space="preserve"> </w:t>
      </w:r>
      <w:r>
        <w:t xml:space="preserve">simulation, SWaT’s normal operation drifted enough to raise a static Isolation</w:t>
      </w:r>
      <w:r>
        <w:t xml:space="preserve"> </w:t>
      </w:r>
      <w:r>
        <w:t xml:space="preserve">Forest’s false-alarm rate from 12% to 76%; retraining restored detection only when</w:t>
      </w:r>
      <w:r>
        <w:t xml:space="preserve"> </w:t>
      </w:r>
      <w:r>
        <w:t xml:space="preserve">retraining data were known to be normal; a drift trigger saved some refits relative to</w:t>
      </w:r>
      <w:r>
        <w:t xml:space="preserve"> </w:t>
      </w:r>
      <w:r>
        <w:t xml:space="preserve">a schedule but its checks cost more than refitting every hour; and label-free</w:t>
      </w:r>
      <w:r>
        <w:t xml:space="preserve"> </w:t>
      </w:r>
      <w:r>
        <w:t xml:space="preserve">retraining failed. Single-reading</w:t>
      </w:r>
      <w:r>
        <w:t xml:space="preserve"> </w:t>
      </w:r>
      <w:r>
        <w:t xml:space="preserve">cost in a one-CPU, 1 GB container ranged from microseconds to about 700 ms. The</w:t>
      </w:r>
      <w:r>
        <w:t xml:space="preserve"> </w:t>
      </w:r>
      <w:r>
        <w:t xml:space="preserve">results argue for choosing detectors by threshold stability and retraining needs and</w:t>
      </w:r>
      <w:r>
        <w:t xml:space="preserve"> </w:t>
      </w:r>
      <w:r>
        <w:t xml:space="preserve">for reporting protocols in enough detail to tell which of these a benchmark number</w:t>
      </w:r>
      <w:r>
        <w:t xml:space="preserve"> </w:t>
      </w:r>
      <w:r>
        <w:t xml:space="preserve">measures.</w:t>
      </w:r>
    </w:p>
    <w:p>
      <w:pPr>
        <w:pStyle w:val="phmbodytext"/>
      </w:pPr>
      <w:r>
        <w:rPr>
          <w:b/>
          <w:bCs/>
        </w:rPr>
        <w:t xml:space="preserve">Keywords:</w:t>
      </w:r>
      <w:r>
        <w:t xml:space="preserve"> </w:t>
      </w:r>
      <w:r>
        <w:t xml:space="preserve">unsupervised anomaly detection; multivariate time</w:t>
      </w:r>
      <w:r>
        <w:t xml:space="preserve"> </w:t>
      </w:r>
      <w:r>
        <w:t xml:space="preserve">series; evaluation protocol; concept drift; retraining policy; resource-constrained inference</w:t>
      </w:r>
    </w:p>
    <w:p>
      <w:pPr>
        <w:pStyle w:val="phmnormal"/>
        <w:sectPr>
          <w:type w:val="continuous"/>
          <w:pgSz w:w="12240" w:h="15840"/>
          <w:pgMar w:top="2160" w:right="1080" w:bottom="1440" w:left="1080" w:header="720" w:footer="720" w:gutter="0"/>
          <w:cols w:space="720"/>
        </w:sectPr>
      </w:pPr>
      <w:r>
        <w:rPr>
          <w:i/>
          <w:sz w:val="16"/>
        </w:rPr>
        <w:t xml:space="preserve">Sarjan Shah et al. This is an open-access article distributed under the terms of the Creative Commons Attribution 3.0 United States License, which permits unrestricted use, distribution, and reproduction in any medium, provided the original author and source are credited.</w:t>
      </w:r>
    </w:p>
    <w:bookmarkStart w:id="22" w:name="introduction"/>
    <w:p>
      <w:pPr>
        <w:pStyle w:val="phmheading1"/>
      </w:pPr>
      <w:r>
        <w:t xml:space="preserve">Introduction</w:t>
      </w:r>
    </w:p>
    <w:p>
      <w:pPr>
        <w:pStyle w:val="phmbodytext"/>
      </w:pPr>
      <w:r>
        <w:t xml:space="preserve">Pumps, valves and treatment plants are instrumented with sensors whose joint</w:t>
      </w:r>
      <w:r>
        <w:t xml:space="preserve"> </w:t>
      </w:r>
      <w:r>
        <w:t xml:space="preserve">behaviour changes before or during a fault. Because faults and attacks are rare</w:t>
      </w:r>
      <w:r>
        <w:t xml:space="preserve"> </w:t>
      </w:r>
      <w:r>
        <w:t xml:space="preserve">and costly to label, condition monitoring often relies on</w:t>
      </w:r>
      <w:r>
        <w:t xml:space="preserve"> </w:t>
      </w:r>
      <w:r>
        <w:rPr>
          <w:i/>
          <w:iCs/>
        </w:rPr>
        <w:t xml:space="preserve">unsupervised</w:t>
      </w:r>
      <w:r>
        <w:t xml:space="preserve"> </w:t>
      </w:r>
      <w:r>
        <w:t xml:space="preserve">(novelty) detectors that are fitted to normal operation and flag departures from</w:t>
      </w:r>
      <w:r>
        <w:t xml:space="preserve"> </w:t>
      </w:r>
      <w:r>
        <w:t xml:space="preserve">it (Chandola et al., 2009; Mukherjee, 2021). In practice, false alarms decide whether such a</w:t>
      </w:r>
      <w:r>
        <w:t xml:space="preserve"> </w:t>
      </w:r>
      <w:r>
        <w:t xml:space="preserve">monitor is trusted, which is why deployed systems add contextual filtering and</w:t>
      </w:r>
      <w:r>
        <w:t xml:space="preserve"> </w:t>
      </w:r>
      <w:r>
        <w:t xml:space="preserve">adaptive thresholds on top of the detector (Lee, 2017). For an engineer choosing such a detector for a</w:t>
      </w:r>
      <w:r>
        <w:t xml:space="preserve"> </w:t>
      </w:r>
      <w:r>
        <w:t xml:space="preserve">resource-limited monitoring node, three practical questions matter: which</w:t>
      </w:r>
      <w:r>
        <w:t xml:space="preserve"> </w:t>
      </w:r>
      <w:r>
        <w:t xml:space="preserve">detector separates anomalies from normal operation best, whether that answer</w:t>
      </w:r>
      <w:r>
        <w:t xml:space="preserve"> </w:t>
      </w:r>
      <w:r>
        <w:t xml:space="preserve">survives the passage of time once the detector is deployed, and what the</w:t>
      </w:r>
      <w:r>
        <w:t xml:space="preserve"> </w:t>
      </w:r>
      <w:r>
        <w:t xml:space="preserve">detector costs to run.</w:t>
      </w:r>
    </w:p>
    <w:p>
      <w:pPr>
        <w:pStyle w:val="phmbodytext"/>
      </w:pPr>
      <w:r>
        <w:t xml:space="preserve">Published comparisons give less guidance on these questions than their</w:t>
      </w:r>
      <w:r>
        <w:t xml:space="preserve"> </w:t>
      </w:r>
      <w:r>
        <w:t xml:space="preserve">headline numbers suggest. Large benchmark studies report that no family of</w:t>
      </w:r>
      <w:r>
        <w:t xml:space="preserve"> </w:t>
      </w:r>
      <w:r>
        <w:t xml:space="preserve">methods is consistently best and that deep models often do not beat</w:t>
      </w:r>
      <w:r>
        <w:t xml:space="preserve"> </w:t>
      </w:r>
      <w:r>
        <w:t xml:space="preserve">well-chosen classical ones (Audibert et al., 2022; Schmidl et al., 2022; Sarfraz et al., 2024). A</w:t>
      </w:r>
      <w:r>
        <w:t xml:space="preserve"> </w:t>
      </w:r>
      <w:r>
        <w:t xml:space="preserve">parallel line of work shows that evaluation choices, such as point adjustment,</w:t>
      </w:r>
      <w:r>
        <w:t xml:space="preserve"> </w:t>
      </w:r>
      <w:r>
        <w:t xml:space="preserve">metrics that reward trivial detectors, and flawed benchmark labels, can</w:t>
      </w:r>
      <w:r>
        <w:t xml:space="preserve"> </w:t>
      </w:r>
      <w:r>
        <w:t xml:space="preserve">manufacture apparent progress (Kim et al., 2022; Garg et al., 2021; Wu &amp; Keogh, 2023; Liu &amp; Paparrizos, 2024). These</w:t>
      </w:r>
      <w:r>
        <w:t xml:space="preserve"> </w:t>
      </w:r>
      <w:r>
        <w:t xml:space="preserve">critiques concern mainly metrics and labels. Less attention has been paid to</w:t>
      </w:r>
      <w:r>
        <w:t xml:space="preserve"> </w:t>
      </w:r>
      <w:r>
        <w:t xml:space="preserve">the other protocol choices an applied study must make: how the training and</w:t>
      </w:r>
      <w:r>
        <w:t xml:space="preserve"> </w:t>
      </w:r>
      <w:r>
        <w:t xml:space="preserve">test data are defined, how a detection threshold is calibrated, and, once</w:t>
      </w:r>
      <w:r>
        <w:t xml:space="preserve"> </w:t>
      </w:r>
      <w:r>
        <w:t xml:space="preserve">deployed, how and on which data a detector is retrained.</w:t>
      </w:r>
    </w:p>
    <w:p>
      <w:pPr>
        <w:pStyle w:val="phmbodytext"/>
      </w:pPr>
      <w:r>
        <w:t xml:space="preserve">This study began as a conventional detector comparison on the Skoltech Anomaly</w:t>
      </w:r>
      <w:r>
        <w:t xml:space="preserve"> </w:t>
      </w:r>
      <w:r>
        <w:t xml:space="preserve">Benchmark (SKAB) (Katser &amp; Kozitsin, 2020) and the Secure Water Treatment testbed (SWaT)</w:t>
      </w:r>
      <w:r>
        <w:t xml:space="preserve"> </w:t>
      </w:r>
      <w:r>
        <w:t xml:space="preserve">(Goh et al., 2016; Mathur &amp; Tippenhauer, 2016). An initial analysis, built with choices that are</w:t>
      </w:r>
      <w:r>
        <w:t xml:space="preserve"> </w:t>
      </w:r>
      <w:r>
        <w:t xml:space="preserve">common in applied work, named clear winners on each dataset and a large benefit</w:t>
      </w:r>
      <w:r>
        <w:t xml:space="preserve"> </w:t>
      </w:r>
      <w:r>
        <w:t xml:space="preserve">from drift-triggered retraining. A subsequent audit showed that those conclusions</w:t>
      </w:r>
      <w:r>
        <w:t xml:space="preserve"> </w:t>
      </w:r>
      <w:r>
        <w:t xml:space="preserve">rested on three protocol choices: the SWaT copy used (a public re-upload) stores</w:t>
      </w:r>
      <w:r>
        <w:t xml:space="preserve"> </w:t>
      </w:r>
      <w:r>
        <w:t xml:space="preserve">the normal-labelled rows of the attack period in the file named for normal</w:t>
      </w:r>
      <w:r>
        <w:t xml:space="preserve"> </w:t>
      </w:r>
      <w:r>
        <w:t xml:space="preserve">operation, so the model had been trained on the normal intervals</w:t>
      </w:r>
      <w:r>
        <w:t xml:space="preserve"> </w:t>
      </w:r>
      <w:r>
        <w:rPr>
          <w:i/>
          <w:iCs/>
        </w:rPr>
        <w:t xml:space="preserve">between</w:t>
      </w:r>
      <w:r>
        <w:t xml:space="preserve"> </w:t>
      </w:r>
      <w:r>
        <w:t xml:space="preserve">attacks rather than on the separate normal run; thresholds had been calibrated</w:t>
      </w:r>
      <w:r>
        <w:t xml:space="preserve"> </w:t>
      </w:r>
      <w:r>
        <w:t xml:space="preserve">with different rules for different detectors; and retraining data had been</w:t>
      </w:r>
      <w:r>
        <w:t xml:space="preserve"> </w:t>
      </w:r>
      <w:r>
        <w:t xml:space="preserve">selected with ground-truth labels. Instead of only correcting these choices, this</w:t>
      </w:r>
      <w:r>
        <w:t xml:space="preserve"> </w:t>
      </w:r>
      <w:r>
        <w:t xml:space="preserve">paper measures how much each one changes the conclusions, re-runs SWaT on the official</w:t>
      </w:r>
      <w:r>
        <w:t xml:space="preserve"> </w:t>
      </w:r>
      <w:r>
        <w:t xml:space="preserve">release, and adds two further benchmarks (HAI and WADI) to test whether the corrected</w:t>
      </w:r>
      <w:r>
        <w:t xml:space="preserve"> </w:t>
      </w:r>
      <w:r>
        <w:t xml:space="preserve">findings hold.</w:t>
      </w:r>
    </w:p>
    <w:p>
      <w:pPr>
        <w:pStyle w:val="phmbodytext"/>
      </w:pPr>
      <w:r>
        <w:t xml:space="preserve">The contributions are empirical and methodological, not algorithmic:</w:t>
      </w:r>
    </w:p>
    <w:p>
      <w:pPr>
        <w:numPr>
          <w:ilvl w:val="0"/>
          <w:numId w:val="1001"/>
        </w:numPr>
      </w:pPr>
      <w:r>
        <w:t xml:space="preserve">A controlled comparison of nine lightweight unsupervised detectors and a</w:t>
      </w:r>
      <w:r>
        <w:t xml:space="preserve"> </w:t>
      </w:r>
      <w:r>
        <w:t xml:space="preserve">small LSTM autoencoder on SKAB, SWaT, WADI and HAI under standard, documented protocols,</w:t>
      </w:r>
      <w:r>
        <w:t xml:space="preserve"> </w:t>
      </w:r>
      <w:r>
        <w:t xml:space="preserve">reported with threshold-free metrics (AUROC, AUPRC), threshold-dependent</w:t>
      </w:r>
      <w:r>
        <w:t xml:space="preserve"> </w:t>
      </w:r>
      <w:r>
        <w:t xml:space="preserve">metrics (MCC, event recall, false-alarm rate) and block-bootstrap confidence</w:t>
      </w:r>
      <w:r>
        <w:t xml:space="preserve"> </w:t>
      </w:r>
      <w:r>
        <w:t xml:space="preserve">intervals (Section </w:t>
      </w:r>
      <w:hyperlink w:anchor="sec:results">
        <w:r>
          <w:rPr>
            <w:rStyle w:val="Hyperlink"/>
          </w:rPr>
          <w:t xml:space="preserve">5</w:t>
        </w:r>
      </w:hyperlink>
      <w:r>
        <w:t xml:space="preserve">).</w:t>
      </w:r>
    </w:p>
    <w:p>
      <w:pPr>
        <w:numPr>
          <w:ilvl w:val="0"/>
          <w:numId w:val="1001"/>
        </w:numPr>
      </w:pPr>
      <w:r>
        <w:t xml:space="preserve">A protocol-sensitivity analysis showing how the split definition, the</w:t>
      </w:r>
      <w:r>
        <w:t xml:space="preserve"> </w:t>
      </w:r>
      <w:r>
        <w:t xml:space="preserve">training protocol, the threshold rule and the sensor set change the measured</w:t>
      </w:r>
      <w:r>
        <w:t xml:space="preserve"> </w:t>
      </w:r>
      <w:r>
        <w:t xml:space="preserve">performance and the ranking of detectors, including a check of a public SWaT re-upload</w:t>
      </w:r>
      <w:r>
        <w:t xml:space="preserve"> </w:t>
      </w:r>
      <w:r>
        <w:t xml:space="preserve">against the official release (Section </w:t>
      </w:r>
      <w:hyperlink w:anchor="sec:protocol">
        <w:r>
          <w:rPr>
            <w:rStyle w:val="Hyperlink"/>
          </w:rPr>
          <w:t xml:space="preserve">5.5</w:t>
        </w:r>
      </w:hyperlink>
      <w:r>
        <w:t xml:space="preserve">).</w:t>
      </w:r>
    </w:p>
    <w:p>
      <w:pPr>
        <w:numPr>
          <w:ilvl w:val="0"/>
          <w:numId w:val="1001"/>
        </w:numPr>
      </w:pPr>
      <w:r>
        <w:t xml:space="preserve">A retraining-policy study on SWaT’s genuine normal run and attack period</w:t>
      </w:r>
      <w:r>
        <w:t xml:space="preserve"> </w:t>
      </w:r>
      <w:r>
        <w:t xml:space="preserve">that compares never, periodic, drift-triggered and continuous retraining, with</w:t>
      </w:r>
      <w:r>
        <w:t xml:space="preserve"> </w:t>
      </w:r>
      <w:r>
        <w:t xml:space="preserve">retraining data selected with or without labels (Section </w:t>
      </w:r>
      <w:hyperlink w:anchor="sec:drift">
        <w:r>
          <w:rPr>
            <w:rStyle w:val="Hyperlink"/>
          </w:rPr>
          <w:t xml:space="preserve">6</w:t>
        </w:r>
      </w:hyperlink>
      <w:r>
        <w:t xml:space="preserve">).</w:t>
      </w:r>
    </w:p>
    <w:p>
      <w:pPr>
        <w:numPr>
          <w:ilvl w:val="0"/>
          <w:numId w:val="1001"/>
        </w:numPr>
      </w:pPr>
      <w:r>
        <w:t xml:space="preserve">Single-reading latency, throughput, model size and peak memory for every</w:t>
      </w:r>
      <w:r>
        <w:t xml:space="preserve"> </w:t>
      </w:r>
      <w:r>
        <w:t xml:space="preserve">detector inside a one-CPU, 1 GB ARM64 container (Section </w:t>
      </w:r>
      <w:hyperlink w:anchor="sec:edge">
        <w:r>
          <w:rPr>
            <w:rStyle w:val="Hyperlink"/>
          </w:rPr>
          <w:t xml:space="preserve">7</w:t>
        </w:r>
      </w:hyperlink>
      <w:r>
        <w:t xml:space="preserve">).</w:t>
      </w:r>
    </w:p>
    <w:p>
      <w:pPr>
        <w:pStyle w:val="phmbodytext"/>
      </w:pPr>
      <w:r>
        <w:t xml:space="preserve">The study answers four research questions:</w:t>
      </w:r>
    </w:p>
    <w:p>
      <w:pPr>
        <w:pStyle w:val="DefinitionTerm"/>
      </w:pPr>
      <w:r>
        <w:t xml:space="preserve">RQ1</w:t>
      </w:r>
    </w:p>
    <w:p>
      <w:pPr>
        <w:pStyle w:val="Definition"/>
      </w:pPr>
      <w:r>
        <w:t xml:space="preserve">Under standard, documented protocols with uncertainty estimates, do</w:t>
      </w:r>
      <w:r>
        <w:t xml:space="preserve"> </w:t>
      </w:r>
      <w:r>
        <w:t xml:space="preserve">lightweight detectors differ in how well they rank anomalies on SKAB, SWaT, WADI and HAI?</w:t>
      </w:r>
    </w:p>
    <w:p>
      <w:pPr>
        <w:pStyle w:val="DefinitionTerm"/>
      </w:pPr>
      <w:r>
        <w:t xml:space="preserve">RQ2</w:t>
      </w:r>
    </w:p>
    <w:p>
      <w:pPr>
        <w:pStyle w:val="Definition"/>
      </w:pPr>
      <w:r>
        <w:t xml:space="preserve">How much do the split definition, the training protocol and the</w:t>
      </w:r>
      <w:r>
        <w:t xml:space="preserve"> </w:t>
      </w:r>
      <w:r>
        <w:t xml:space="preserve">threshold rule change measured performance and the ranking of detectors?</w:t>
      </w:r>
    </w:p>
    <w:p>
      <w:pPr>
        <w:pStyle w:val="DefinitionTerm"/>
      </w:pPr>
      <w:r>
        <w:t xml:space="preserve">RQ3</w:t>
      </w:r>
    </w:p>
    <w:p>
      <w:pPr>
        <w:pStyle w:val="Definition"/>
      </w:pPr>
      <w:r>
        <w:t xml:space="preserve">Does drift-triggered retraining outperform periodic or continuous</w:t>
      </w:r>
      <w:r>
        <w:t xml:space="preserve"> </w:t>
      </w:r>
      <w:r>
        <w:t xml:space="preserve">retraining, and what happens when retraining data are selected without labels?</w:t>
      </w:r>
    </w:p>
    <w:p>
      <w:pPr>
        <w:pStyle w:val="DefinitionTerm"/>
      </w:pPr>
      <w:r>
        <w:t xml:space="preserve">RQ4</w:t>
      </w:r>
    </w:p>
    <w:p>
      <w:pPr>
        <w:pStyle w:val="Definition"/>
      </w:pPr>
      <w:r>
        <w:t xml:space="preserve">What does each detector cost per reading under a one-CPU, 1 GB</w:t>
      </w:r>
      <w:r>
        <w:t xml:space="preserve"> </w:t>
      </w:r>
      <w:r>
        <w:t xml:space="preserve">memory cap?</w:t>
      </w:r>
    </w:p>
    <w:bookmarkEnd w:id="22"/>
    <w:bookmarkStart w:id="28" w:name="sec:related"/>
    <w:p>
      <w:pPr>
        <w:pStyle w:val="phmheading1"/>
      </w:pPr>
      <w:r>
        <w:t xml:space="preserve">Related Work</w:t>
      </w:r>
    </w:p>
    <w:bookmarkStart w:id="23" w:name="detectors."/>
    <w:p>
      <w:pPr>
        <w:pStyle w:val="phmheading4"/>
      </w:pPr>
      <w:r>
        <w:t xml:space="preserve">Detectors.</w:t>
      </w:r>
    </w:p>
    <w:p>
      <w:pPr>
        <w:pStyle w:val="phmbodytext"/>
      </w:pPr>
      <w:r>
        <w:t xml:space="preserve">Classical unsupervised detectors differ in what they</w:t>
      </w:r>
      <w:r>
        <w:t xml:space="preserve"> </w:t>
      </w:r>
      <w:r>
        <w:t xml:space="preserve">treat as normal. Distance- and density-based methods such as the Local Outlier</w:t>
      </w:r>
      <w:r>
        <w:t xml:space="preserve"> </w:t>
      </w:r>
      <w:r>
        <w:t xml:space="preserve">Factor (LOF) score a point by the relative density of its neighbourhood</w:t>
      </w:r>
      <w:r>
        <w:t xml:space="preserve"> </w:t>
      </w:r>
      <w:r>
        <w:t xml:space="preserve">(Breunig et al., 2000); boundary methods such as the One-Class SVM enclose the</w:t>
      </w:r>
      <w:r>
        <w:t xml:space="preserve"> </w:t>
      </w:r>
      <w:r>
        <w:t xml:space="preserve">bulk of the training data (Schölkopf et al., 2001); covariance methods flag large</w:t>
      </w:r>
      <w:r>
        <w:t xml:space="preserve"> </w:t>
      </w:r>
      <w:r>
        <w:t xml:space="preserve">Mahalanobis distances, with the Minimum Covariance Determinant (MCD) giving a</w:t>
      </w:r>
      <w:r>
        <w:t xml:space="preserve"> </w:t>
      </w:r>
      <w:r>
        <w:t xml:space="preserve">robust estimate (Rousseeuw &amp; Van Driessen, 1999); PCA reconstruction scores the residual</w:t>
      </w:r>
      <w:r>
        <w:t xml:space="preserve"> </w:t>
      </w:r>
      <w:r>
        <w:t xml:space="preserve">outside a low-rank normal subspace (Shyu et al., 2003); Isolation Forest isolates</w:t>
      </w:r>
      <w:r>
        <w:t xml:space="preserve"> </w:t>
      </w:r>
      <w:r>
        <w:t xml:space="preserve">points by random partitioning (Liu et al., 2008); and the histogram- and</w:t>
      </w:r>
      <w:r>
        <w:t xml:space="preserve"> </w:t>
      </w:r>
      <w:r>
        <w:t xml:space="preserve">copula-based HBOS, COPOD and ECOD combine per-feature tail probabilities and are</w:t>
      </w:r>
      <w:r>
        <w:t xml:space="preserve"> </w:t>
      </w:r>
      <w:r>
        <w:t xml:space="preserve">fast and nearly parameter-free (Goldstein &amp; Uchida, 2016; Li et al., 2023; Zhao et al., 2019). Deep</w:t>
      </w:r>
      <w:r>
        <w:t xml:space="preserve"> </w:t>
      </w:r>
      <w:r>
        <w:t xml:space="preserve">sequence models, including LSTM encoder-decoders (Malhotra et al., 2016),</w:t>
      </w:r>
      <w:r>
        <w:t xml:space="preserve"> </w:t>
      </w:r>
      <w:r>
        <w:t xml:space="preserve">prediction-error detectors (Hundman et al., 2018), adversarial autoencoders</w:t>
      </w:r>
      <w:r>
        <w:t xml:space="preserve"> </w:t>
      </w:r>
      <w:r>
        <w:t xml:space="preserve">(Audibert et al., 2020), graph networks (Deng &amp; Hooi, 2021) and transformers</w:t>
      </w:r>
      <w:r>
        <w:t xml:space="preserve"> </w:t>
      </w:r>
      <w:r>
        <w:t xml:space="preserve">(Tuli et al., 2022), report strong results on SWaT, usually with protocols and</w:t>
      </w:r>
      <w:r>
        <w:t xml:space="preserve"> </w:t>
      </w:r>
      <w:r>
        <w:t xml:space="preserve">metrics that differ from paper to paper.</w:t>
      </w:r>
    </w:p>
    <w:bookmarkEnd w:id="23"/>
    <w:bookmarkStart w:id="24" w:name="what-benchmark-studies-agree-on."/>
    <w:p>
      <w:pPr>
        <w:pStyle w:val="phmheading4"/>
      </w:pPr>
      <w:r>
        <w:t xml:space="preserve">What benchmark studies agree on.</w:t>
      </w:r>
    </w:p>
    <w:p>
      <w:pPr>
        <w:pStyle w:val="phmbodytext"/>
      </w:pPr>
      <w:r>
        <w:t xml:space="preserve">Comparisons that put conventional,</w:t>
      </w:r>
      <w:r>
        <w:t xml:space="preserve"> </w:t>
      </w:r>
      <w:r>
        <w:t xml:space="preserve">machine-learning and deep detectors side by side find that no family wins</w:t>
      </w:r>
      <w:r>
        <w:t xml:space="preserve"> </w:t>
      </w:r>
      <w:r>
        <w:t xml:space="preserve">consistently (Audibert et al., 2022), that multivariate problems are harder on</w:t>
      </w:r>
      <w:r>
        <w:t xml:space="preserve"> </w:t>
      </w:r>
      <w:r>
        <w:t xml:space="preserve">average (Schmidl et al., 2022), and that simple or linear baselines match many</w:t>
      </w:r>
      <w:r>
        <w:t xml:space="preserve"> </w:t>
      </w:r>
      <w:r>
        <w:t xml:space="preserve">recent deep models once inflated metrics are removed (Sarfraz et al., 2024). Tabular</w:t>
      </w:r>
      <w:r>
        <w:t xml:space="preserve"> </w:t>
      </w:r>
      <w:r>
        <w:t xml:space="preserve">benchmarks reach similar conclusions (Goldstein &amp; Uchida, 2016; Han et al., 2022). A result of</w:t>
      </w:r>
      <w:r>
        <w:t xml:space="preserve"> </w:t>
      </w:r>
      <w:r>
        <w:t xml:space="preserve">the form</w:t>
      </w:r>
      <w:r>
        <w:t xml:space="preserve"> </w:t>
      </w:r>
      <w:r>
        <w:t xml:space="preserve">“detector X wins on dataset A but not on B”</w:t>
      </w:r>
      <w:r>
        <w:t xml:space="preserve"> </w:t>
      </w:r>
      <w:r>
        <w:t xml:space="preserve">is therefore expected</w:t>
      </w:r>
      <w:r>
        <w:t xml:space="preserve"> </w:t>
      </w:r>
      <w:r>
        <w:t xml:space="preserve">and is not, on its own, a contribution.</w:t>
      </w:r>
    </w:p>
    <w:bookmarkEnd w:id="24"/>
    <w:bookmarkStart w:id="25" w:name="where-evaluations-go-wrong."/>
    <w:p>
      <w:pPr>
        <w:pStyle w:val="phmheading4"/>
      </w:pPr>
      <w:r>
        <w:t xml:space="preserve">Where evaluations go wrong.</w:t>
      </w:r>
    </w:p>
    <w:p>
      <w:pPr>
        <w:pStyle w:val="phmbodytext"/>
      </w:pPr>
      <w:r>
        <w:t xml:space="preserve">Point adjustment credits a whole event</w:t>
      </w:r>
      <w:r>
        <w:t xml:space="preserve"> </w:t>
      </w:r>
      <w:r>
        <w:t xml:space="preserve">when any of its points is flagged and can make random scores look competitive</w:t>
      </w:r>
      <w:r>
        <w:t xml:space="preserve"> </w:t>
      </w:r>
      <w:r>
        <w:t xml:space="preserve">(Kim et al., 2022). Point-wise F1 and accuracy can reward detectors that flag</w:t>
      </w:r>
      <w:r>
        <w:t xml:space="preserve"> </w:t>
      </w:r>
      <w:r>
        <w:t xml:space="preserve">almost everything, which the Matthews correlation coefficient (MCC) does not</w:t>
      </w:r>
      <w:r>
        <w:t xml:space="preserve"> </w:t>
      </w:r>
      <w:r>
        <w:t xml:space="preserve">(Chicco &amp; Jurman, 2020; Garg et al., 2021). Threshold-dependent metrics make comparisons hinge</w:t>
      </w:r>
      <w:r>
        <w:t xml:space="preserve"> </w:t>
      </w:r>
      <w:r>
        <w:t xml:space="preserve">on the threshold rule; threshold-free AUC measures and their range-aware</w:t>
      </w:r>
      <w:r>
        <w:t xml:space="preserve"> </w:t>
      </w:r>
      <w:r>
        <w:t xml:space="preserve">extensions avoid this (Paparrizos et al., 2022; Liu &amp; Paparrizos, 2024), and range-based</w:t>
      </w:r>
      <w:r>
        <w:t xml:space="preserve"> </w:t>
      </w:r>
      <w:r>
        <w:t xml:space="preserve">precision and recall account for events rather than points (Tatbul et al., 2018).</w:t>
      </w:r>
      <w:r>
        <w:t xml:space="preserve"> </w:t>
      </w:r>
      <w:r>
        <w:t xml:space="preserve">Benchmark data can itself be flawed (Wu &amp; Keogh, 2023), and the PHM community has</w:t>
      </w:r>
      <w:r>
        <w:t xml:space="preserve"> </w:t>
      </w:r>
      <w:r>
        <w:t xml:space="preserve">called for shared measurement and evaluation practice for health-monitoring methods</w:t>
      </w:r>
      <w:r>
        <w:t xml:space="preserve"> </w:t>
      </w:r>
      <w:r>
        <w:t xml:space="preserve">(Weiss &amp; Brundage, 2021). These studies examine metrics</w:t>
      </w:r>
      <w:r>
        <w:t xml:space="preserve"> </w:t>
      </w:r>
      <w:r>
        <w:t xml:space="preserve">and labels; the protocol choices examined here (split semantics, threshold</w:t>
      </w:r>
      <w:r>
        <w:t xml:space="preserve"> </w:t>
      </w:r>
      <w:r>
        <w:t xml:space="preserve">calibration rule, and the label assumption in retraining) are complementary.</w:t>
      </w:r>
    </w:p>
    <w:bookmarkEnd w:id="25"/>
    <w:bookmarkStart w:id="26" w:name="drift-and-retraining."/>
    <w:p>
      <w:pPr>
        <w:pStyle w:val="phmheading4"/>
      </w:pPr>
      <w:r>
        <w:t xml:space="preserve">Drift and retraining.</w:t>
      </w:r>
    </w:p>
    <w:p>
      <w:pPr>
        <w:pStyle w:val="phmbodytext"/>
      </w:pPr>
      <w:r>
        <w:t xml:space="preserve">Concept-drift research distinguishes</w:t>
      </w:r>
      <w:r>
        <w:t xml:space="preserve"> </w:t>
      </w:r>
      <w:r>
        <w:t xml:space="preserve">detecting a change, understanding it and adapting to it (Gama et al., 2014; Lu et al., 2019).</w:t>
      </w:r>
      <w:r>
        <w:t xml:space="preserve"> </w:t>
      </w:r>
      <w:r>
        <w:t xml:space="preserve">Two-sample tests on feature distributions are a simple and competitive way to</w:t>
      </w:r>
      <w:r>
        <w:t xml:space="preserve"> </w:t>
      </w:r>
      <w:r>
        <w:t xml:space="preserve">detect shift (Rabanser et al., 2019); adaptive windows such as ADWIN resize the</w:t>
      </w:r>
      <w:r>
        <w:t xml:space="preserve"> </w:t>
      </w:r>
      <w:r>
        <w:t xml:space="preserve">reference automatically (Bifet &amp; Gavaldà, 2007); streaming anomaly benchmarks such as</w:t>
      </w:r>
      <w:r>
        <w:t xml:space="preserve"> </w:t>
      </w:r>
      <w:r>
        <w:t xml:space="preserve">NAB score detectors online (Ahmad et al., 2017). For an anomaly detector, adapting</w:t>
      </w:r>
      <w:r>
        <w:t xml:space="preserve"> </w:t>
      </w:r>
      <w:r>
        <w:t xml:space="preserve">to drift carries a specific risk: data used for retraining may contain the very</w:t>
      </w:r>
      <w:r>
        <w:t xml:space="preserve"> </w:t>
      </w:r>
      <w:r>
        <w:t xml:space="preserve">anomalies the detector should flag. Retraining policies have been compared</w:t>
      </w:r>
      <w:r>
        <w:t xml:space="preserve"> </w:t>
      </w:r>
      <w:r>
        <w:t xml:space="preserve">directly for anomaly detectors in IT operations, where periodic (blind)</w:t>
      </w:r>
      <w:r>
        <w:t xml:space="preserve"> </w:t>
      </w:r>
      <w:r>
        <w:t xml:space="preserve">retraining performed slightly better than retraining triggered by a drift</w:t>
      </w:r>
      <w:r>
        <w:t xml:space="preserve"> </w:t>
      </w:r>
      <w:r>
        <w:t xml:space="preserve">detector and the best retraining window depended on the detector</w:t>
      </w:r>
      <w:r>
        <w:t xml:space="preserve"> </w:t>
      </w:r>
      <w:r>
        <w:t xml:space="preserve">(Poenaru-Olaru et al., 2024); a recent preprint on streaming classifiers likewise reports</w:t>
      </w:r>
      <w:r>
        <w:t xml:space="preserve"> </w:t>
      </w:r>
      <w:r>
        <w:t xml:space="preserve">periodic retraining outperforming error- and ADWIN-triggered policies except under</w:t>
      </w:r>
      <w:r>
        <w:t xml:space="preserve"> </w:t>
      </w:r>
      <w:r>
        <w:t xml:space="preserve">recurring drift (Dasari, 2026). Those studies retrain on data whose labels or</w:t>
      </w:r>
      <w:r>
        <w:t xml:space="preserve"> </w:t>
      </w:r>
      <w:r>
        <w:t xml:space="preserve">normality are known. The present study asks the same question for lightweight</w:t>
      </w:r>
      <w:r>
        <w:t xml:space="preserve"> </w:t>
      </w:r>
      <w:r>
        <w:t xml:space="preserve">detectors on industrial-control data and adds the factor a deployed detector cannot</w:t>
      </w:r>
      <w:r>
        <w:t xml:space="preserve"> </w:t>
      </w:r>
      <w:r>
        <w:t xml:space="preserve">avoid: whether the retraining data are selected with labels, by the detector’s own</w:t>
      </w:r>
      <w:r>
        <w:t xml:space="preserve"> </w:t>
      </w:r>
      <w:r>
        <w:t xml:space="preserve">predictions, or not at all.</w:t>
      </w:r>
    </w:p>
    <w:bookmarkEnd w:id="26"/>
    <w:bookmarkStart w:id="27" w:name="resource-cost."/>
    <w:p>
      <w:pPr>
        <w:pStyle w:val="phmheading4"/>
      </w:pPr>
      <w:r>
        <w:t xml:space="preserve">Resource cost.</w:t>
      </w:r>
    </w:p>
    <w:p>
      <w:pPr>
        <w:pStyle w:val="phmbodytext"/>
      </w:pPr>
      <w:r>
        <w:t xml:space="preserve">MLPerf Tiny measures accuracy, latency and energy of</w:t>
      </w:r>
      <w:r>
        <w:t xml:space="preserve"> </w:t>
      </w:r>
      <w:r>
        <w:t xml:space="preserve">single inferences on constrained hardware, including an anomaly-detection task</w:t>
      </w:r>
      <w:r>
        <w:t xml:space="preserve"> </w:t>
      </w:r>
      <w:r>
        <w:t xml:space="preserve">(Banbury et al., 2021). Comparable cost reporting for classical multivariate</w:t>
      </w:r>
      <w:r>
        <w:t xml:space="preserve"> </w:t>
      </w:r>
      <w:r>
        <w:t xml:space="preserve">detectors on industrial data is rare. Here, cost is measured as single-reading</w:t>
      </w:r>
      <w:r>
        <w:t xml:space="preserve"> </w:t>
      </w:r>
      <w:r>
        <w:t xml:space="preserve">latency, batch throughput, model size, load time and peak memory under explicit</w:t>
      </w:r>
      <w:r>
        <w:t xml:space="preserve"> </w:t>
      </w:r>
      <w:r>
        <w:t xml:space="preserve">CPU and memory caps. Energy is not measured.</w:t>
      </w:r>
    </w:p>
    <w:bookmarkEnd w:id="27"/>
    <w:bookmarkEnd w:id="28"/>
    <w:bookmarkStart w:id="33" w:name="sec:data"/>
    <w:p>
      <w:pPr>
        <w:pStyle w:val="phmheading1"/>
      </w:pPr>
      <w:r>
        <w:t xml:space="preserve">Datasets</w:t>
      </w:r>
    </w:p>
    <w:bookmarkStart w:id="29" w:name="skab."/>
    <w:p>
      <w:pPr>
        <w:pStyle w:val="phmheading4"/>
      </w:pPr>
      <w:r>
        <w:t xml:space="preserve">SKAB.</w:t>
      </w:r>
    </w:p>
    <w:p>
      <w:pPr>
        <w:pStyle w:val="phmbodytext"/>
      </w:pPr>
      <w:r>
        <w:t xml:space="preserve">SKAB was recorded on a water-circulation testbed (pump,</w:t>
      </w:r>
      <w:r>
        <w:t xml:space="preserve"> </w:t>
      </w:r>
      <w:r>
        <w:t xml:space="preserve">pipes, valves) with eight sensors sampled at 1 Hz: two accelerometers (RMS),</w:t>
      </w:r>
      <w:r>
        <w:t xml:space="preserve"> </w:t>
      </w:r>
      <w:r>
        <w:t xml:space="preserve">motor current, pressure, water temperature, pump-housing temperature, voltage</w:t>
      </w:r>
      <w:r>
        <w:t xml:space="preserve"> </w:t>
      </w:r>
      <w:r>
        <w:t xml:space="preserve">and volumetric flow rate (Katser &amp; Kozitsin, 2020). It contains one 9</w:t>
      </w:r>
      <w:r>
        <w:t xml:space="preserve">,</w:t>
      </w:r>
      <w:r>
        <w:t xml:space="preserve">401-row anomaly-free</w:t>
      </w:r>
      <w:r>
        <w:t xml:space="preserve"> </w:t>
      </w:r>
      <w:r>
        <w:t xml:space="preserve">run and 34 fault runs (46</w:t>
      </w:r>
      <w:r>
        <w:t xml:space="preserve">,</w:t>
      </w:r>
      <w:r>
        <w:t xml:space="preserve">860 rows in total) in three families: valve 1</w:t>
      </w:r>
      <w:r>
        <w:t xml:space="preserve"> </w:t>
      </w:r>
      <w:r>
        <w:t xml:space="preserve">(16 runs), valve 2 (4) and other faults (14). Faults are physically induced and</w:t>
      </w:r>
      <w:r>
        <w:t xml:space="preserve"> </w:t>
      </w:r>
      <w:r>
        <w:t xml:space="preserve">labelled per second. Each file is an independent experiment.</w:t>
      </w:r>
    </w:p>
    <w:bookmarkEnd w:id="29"/>
    <w:bookmarkStart w:id="30" w:name="swat."/>
    <w:p>
      <w:pPr>
        <w:pStyle w:val="phmheading4"/>
      </w:pPr>
      <w:r>
        <w:t xml:space="preserve">SWaT.</w:t>
      </w:r>
    </w:p>
    <w:p>
      <w:pPr>
        <w:pStyle w:val="phmbodytext"/>
      </w:pPr>
      <w:r>
        <w:t xml:space="preserve">SWaT is a six-stage water-treatment plant with 51 sensors and</w:t>
      </w:r>
      <w:r>
        <w:t xml:space="preserve"> </w:t>
      </w:r>
      <w:r>
        <w:t xml:space="preserve">actuators sampled at 1 Hz (Goh et al., 2016; Mathur &amp; Tippenhauer, 2016). The official release used here</w:t>
      </w:r>
      <w:r>
        <w:t xml:space="preserve"> </w:t>
      </w:r>
      <w:r>
        <w:t xml:space="preserve">(iTrust, SUTD: SWaT.A1 &amp; A2, December 2015) has a seven-day normal run</w:t>
      </w:r>
      <w:r>
        <w:t xml:space="preserve"> </w:t>
      </w:r>
      <w:r>
        <w:t xml:space="preserve">(</w:t>
      </w:r>
      <w:r>
        <w:rPr>
          <w:rStyle w:val="VerbatimChar"/>
        </w:rPr>
        <w:t xml:space="preserve">Normal_v1</w:t>
      </w:r>
      <w:r>
        <w:t xml:space="preserve">, 22–28 December, 495</w:t>
      </w:r>
      <w:r>
        <w:t xml:space="preserve">,</w:t>
      </w:r>
      <w:r>
        <w:t xml:space="preserve">000 rows, the first 30 minutes of start-up</w:t>
      </w:r>
      <w:r>
        <w:t xml:space="preserve"> </w:t>
      </w:r>
      <w:r>
        <w:t xml:space="preserve">already removed) and an attack period (</w:t>
      </w:r>
      <w:r>
        <w:rPr>
          <w:rStyle w:val="VerbatimChar"/>
        </w:rPr>
        <w:t xml:space="preserve">Attack_v0</w:t>
      </w:r>
      <w:r>
        <w:t xml:space="preserve">, 28 December–2 January,</w:t>
      </w:r>
      <w:r>
        <w:t xml:space="preserve"> </w:t>
      </w:r>
      <w:r>
        <w:t xml:space="preserve">449</w:t>
      </w:r>
      <w:r>
        <w:t xml:space="preserve">,</w:t>
      </w:r>
      <w:r>
        <w:t xml:space="preserve">919 rows) in which 54</w:t>
      </w:r>
      <w:r>
        <w:t xml:space="preserve">,</w:t>
      </w:r>
      <w:r>
        <w:t xml:space="preserve">621 rows (12.1%) belong to 36 attacks (37 rows spelled</w:t>
      </w:r>
      <w:r>
        <w:t xml:space="preserve"> </w:t>
      </w:r>
      <w:r>
        <w:t xml:space="preserve">"A ttack" in the label column are counted as attacks). Following common practice</w:t>
      </w:r>
      <w:r>
        <w:t xml:space="preserve"> </w:t>
      </w:r>
      <w:r>
        <w:t xml:space="preserve">(Li et al., 2019), the normal run is used from 22 December 22:00, six hours after the</w:t>
      </w:r>
      <w:r>
        <w:t xml:space="preserve"> </w:t>
      </w:r>
      <w:r>
        <w:t xml:space="preserve">plant started. The 25 continuous sensors (flows, levels, pressures and chemical</w:t>
      </w:r>
      <w:r>
        <w:t xml:space="preserve"> </w:t>
      </w:r>
      <w:r>
        <w:t xml:space="preserve">analysers) are used; the 26 discrete actuator states are not.</w:t>
      </w:r>
    </w:p>
    <w:p>
      <w:pPr>
        <w:pStyle w:val="phmbodytext"/>
      </w:pPr>
      <w:r>
        <w:t xml:space="preserve">A widely downloaded public re-upload of the same data (Kaggle,</w:t>
      </w:r>
      <w:r>
        <w:t xml:space="preserve"> </w:t>
      </w:r>
      <w:r>
        <w:rPr>
          <w:rStyle w:val="VerbatimChar"/>
        </w:rPr>
        <w:t xml:space="preserve">vishala28/swat-dataset-secure-water-treatment-system</w:t>
      </w:r>
      <w:r>
        <w:t xml:space="preserve">, v3) was used in the</w:t>
      </w:r>
      <w:r>
        <w:t xml:space="preserve"> </w:t>
      </w:r>
      <w:r>
        <w:t xml:space="preserve">initial analysis. Its</w:t>
      </w:r>
      <w:r>
        <w:t xml:space="preserve"> </w:t>
      </w:r>
      <w:r>
        <w:rPr>
          <w:rStyle w:val="VerbatimChar"/>
        </w:rPr>
        <w:t xml:space="preserve">normal.csv</w:t>
      </w:r>
      <w:r>
        <w:t xml:space="preserve"> </w:t>
      </w:r>
      <w:r>
        <w:t xml:space="preserve">holds the normal run twice, with seven</w:t>
      </w:r>
      <w:r>
        <w:t xml:space="preserve"> </w:t>
      </w:r>
      <w:r>
        <w:t xml:space="preserve">channels blank (including the analyser AIT201), plus the normal-labelled rows of the</w:t>
      </w:r>
      <w:r>
        <w:t xml:space="preserve"> </w:t>
      </w:r>
      <w:r>
        <w:t xml:space="preserve">attack period, and its</w:t>
      </w:r>
      <w:r>
        <w:t xml:space="preserve"> </w:t>
      </w:r>
      <w:r>
        <w:rPr>
          <w:rStyle w:val="VerbatimChar"/>
        </w:rPr>
        <w:t xml:space="preserve">attack.csv</w:t>
      </w:r>
      <w:r>
        <w:t xml:space="preserve"> </w:t>
      </w:r>
      <w:r>
        <w:t xml:space="preserve">holds only the attack rows. Rebuilding the</w:t>
      </w:r>
      <w:r>
        <w:t xml:space="preserve"> </w:t>
      </w:r>
      <w:r>
        <w:t xml:space="preserve">standard split from it by de-duplicating timestamps reproduces the official row counts;</w:t>
      </w:r>
      <w:r>
        <w:t xml:space="preserve"> </w:t>
      </w:r>
      <w:r>
        <w:t xml:space="preserve">Section </w:t>
      </w:r>
      <w:hyperlink w:anchor="sec:protocol">
        <w:r>
          <w:rPr>
            <w:rStyle w:val="Hyperlink"/>
          </w:rPr>
          <w:t xml:space="preserve">5.5</w:t>
        </w:r>
      </w:hyperlink>
      <w:r>
        <w:t xml:space="preserve"> </w:t>
      </w:r>
      <w:r>
        <w:t xml:space="preserve">compares results from the two copies.</w:t>
      </w:r>
    </w:p>
    <w:bookmarkEnd w:id="30"/>
    <w:bookmarkStart w:id="31" w:name="wadi."/>
    <w:p>
      <w:pPr>
        <w:pStyle w:val="phmheading4"/>
      </w:pPr>
      <w:r>
        <w:t xml:space="preserve">WADI.</w:t>
      </w:r>
    </w:p>
    <w:p>
      <w:pPr>
        <w:pStyle w:val="phmbodytext"/>
      </w:pPr>
      <w:r>
        <w:t xml:space="preserve">WADI is a water-distribution testbed built as an extension of SWaT,</w:t>
      </w:r>
      <w:r>
        <w:t xml:space="preserve"> </w:t>
      </w:r>
      <w:r>
        <w:t xml:space="preserve">with 127 points sampled at 1 Hz (Ahmed et al., 2017). The official A2 release (iTrust,</w:t>
      </w:r>
      <w:r>
        <w:t xml:space="preserve"> </w:t>
      </w:r>
      <w:r>
        <w:t xml:space="preserve">November 2019) provides a 14-day normal run (784</w:t>
      </w:r>
      <w:r>
        <w:t xml:space="preserve">,</w:t>
      </w:r>
      <w:r>
        <w:t xml:space="preserve">571 rows, 25 September–7 October</w:t>
      </w:r>
      <w:r>
        <w:t xml:space="preserve"> </w:t>
      </w:r>
      <w:r>
        <w:t xml:space="preserve">2017) and a two-day attack file (172</w:t>
      </w:r>
      <w:r>
        <w:t xml:space="preserve">,</w:t>
      </w:r>
      <w:r>
        <w:t xml:space="preserve">803 rows, 9–11 October) in which 9</w:t>
      </w:r>
      <w:r>
        <w:t xml:space="preserve">,</w:t>
      </w:r>
      <w:r>
        <w:t xml:space="preserve">977 rows</w:t>
      </w:r>
      <w:r>
        <w:t xml:space="preserve"> </w:t>
      </w:r>
      <w:r>
        <w:t xml:space="preserve">(5.8%) belong to 14 attacks. Four columns are empty in both files and are dropped; the</w:t>
      </w:r>
      <w:r>
        <w:t xml:space="preserve"> </w:t>
      </w:r>
      <w:r>
        <w:t xml:space="preserve">first 21</w:t>
      </w:r>
      <w:r>
        <w:t xml:space="preserve">,</w:t>
      </w:r>
      <w:r>
        <w:t xml:space="preserve">600 normal rows are removed as for SWaT; the 67 points with more than ten</w:t>
      </w:r>
      <w:r>
        <w:t xml:space="preserve"> </w:t>
      </w:r>
      <w:r>
        <w:t xml:space="preserve">distinct values in the training rows are used. The file’s time column is malformed, so</w:t>
      </w:r>
      <w:r>
        <w:t xml:space="preserve"> </w:t>
      </w:r>
      <w:r>
        <w:t xml:space="preserve">rows are indexed by their 1 Hz order.</w:t>
      </w:r>
    </w:p>
    <w:bookmarkEnd w:id="31"/>
    <w:bookmarkStart w:id="32" w:name="hai."/>
    <w:p>
      <w:pPr>
        <w:pStyle w:val="phmheading4"/>
      </w:pPr>
      <w:r>
        <w:t xml:space="preserve">HAI.</w:t>
      </w:r>
    </w:p>
    <w:p>
      <w:pPr>
        <w:pStyle w:val="phmbodytext"/>
      </w:pPr>
      <w:r>
        <w:t xml:space="preserve">HAI (version 21.03) comes from a hardware-in-the-loop testbed in</w:t>
      </w:r>
      <w:r>
        <w:t xml:space="preserve"> </w:t>
      </w:r>
      <w:r>
        <w:t xml:space="preserve">which a steam-turbine process, a boiler process and a water-treatment process are</w:t>
      </w:r>
      <w:r>
        <w:t xml:space="preserve"> </w:t>
      </w:r>
      <w:r>
        <w:t xml:space="preserve">coupled through a simulator, sampled at 1 Hz (Shin et al., 2020; Shin et al., 2021). It provides</w:t>
      </w:r>
      <w:r>
        <w:t xml:space="preserve"> </w:t>
      </w:r>
      <w:r>
        <w:t xml:space="preserve">three normal training files (921</w:t>
      </w:r>
      <w:r>
        <w:t xml:space="preserve">,</w:t>
      </w:r>
      <w:r>
        <w:t xml:space="preserve">603 rows) and five test files (402</w:t>
      </w:r>
      <w:r>
        <w:t xml:space="preserve">,</w:t>
      </w:r>
      <w:r>
        <w:t xml:space="preserve">005 rows) in</w:t>
      </w:r>
      <w:r>
        <w:t xml:space="preserve"> </w:t>
      </w:r>
      <w:r>
        <w:t xml:space="preserve">which 2.2% of rows belong to 50 scripted attacks. Of its 78 points, the 55 with more</w:t>
      </w:r>
      <w:r>
        <w:t xml:space="preserve"> </w:t>
      </w:r>
      <w:r>
        <w:t xml:space="preserve">than ten distinct values in the training files are treated as continuous and used.</w:t>
      </w:r>
      <w:r>
        <w:t xml:space="preserve"> </w:t>
      </w:r>
      <w:r>
        <w:t xml:space="preserve">HAI adds a second process type beyond water and a test set with a much lower</w:t>
      </w:r>
      <w:r>
        <w:t xml:space="preserve"> </w:t>
      </w:r>
      <w:r>
        <w:t xml:space="preserve">anomaly rate than SWaT.</w:t>
      </w:r>
    </w:p>
    <w:bookmarkEnd w:id="32"/>
    <w:bookmarkEnd w:id="33"/>
    <w:bookmarkStart w:id="46" w:name="sec:method"/>
    <w:p>
      <w:pPr>
        <w:pStyle w:val="phmheading1"/>
      </w:pPr>
      <w:r>
        <w:t xml:space="preserve">Method</w:t>
      </w:r>
    </w:p>
    <w:bookmarkStart w:id="34" w:name="features"/>
    <w:p>
      <w:pPr>
        <w:pStyle w:val="phmheading2"/>
      </w:pPr>
      <w:r>
        <w:t xml:space="preserve">Features</w:t>
      </w:r>
    </w:p>
    <w:p>
      <w:pPr>
        <w:pStyle w:val="phmbodytext"/>
      </w:pPr>
      <w:r>
        <w:t xml:space="preserve">For each continuous sensor, the raw value, 5-second and 30-second causal</w:t>
      </w:r>
      <w:r>
        <w:t xml:space="preserve"> </w:t>
      </w:r>
      <w:r>
        <w:t xml:space="preserve">rolling means, a 5-second rolling standard deviation and the first difference</w:t>
      </w:r>
      <w:r>
        <w:t xml:space="preserve"> </w:t>
      </w:r>
      <w:r>
        <w:t xml:space="preserve">are computed (40 features on SKAB, 125 on SWaT, 335 on WADI, 275 on HAI). Features are computed on each</w:t>
      </w:r>
      <w:r>
        <w:t xml:space="preserve"> </w:t>
      </w:r>
      <w:r>
        <w:t xml:space="preserve">complete recording</w:t>
      </w:r>
      <w:r>
        <w:t xml:space="preserve"> </w:t>
      </w:r>
      <w:r>
        <w:rPr>
          <w:i/>
          <w:iCs/>
        </w:rPr>
        <w:t xml:space="preserve">before</w:t>
      </w:r>
      <w:r>
        <w:t xml:space="preserve"> </w:t>
      </w:r>
      <w:r>
        <w:t xml:space="preserve">any rows are removed, so windows never join</w:t>
      </w:r>
      <w:r>
        <w:t xml:space="preserve"> </w:t>
      </w:r>
      <w:r>
        <w:t xml:space="preserve">readings across a removed fault and, at test time, use only past readings.</w:t>
      </w:r>
      <w:r>
        <w:t xml:space="preserve"> </w:t>
      </w:r>
      <w:r>
        <w:t xml:space="preserve">The initial analysis’ elapsed-time feature was removed: its range differs between</w:t>
      </w:r>
      <w:r>
        <w:t xml:space="preserve"> </w:t>
      </w:r>
      <w:r>
        <w:t xml:space="preserve">training (up to 9</w:t>
      </w:r>
      <w:r>
        <w:t xml:space="preserve">,</w:t>
      </w:r>
      <w:r>
        <w:t xml:space="preserve">960 s on SKAB) and test segments (at most 291 s), and it</w:t>
      </w:r>
      <w:r>
        <w:t xml:space="preserve"> </w:t>
      </w:r>
      <w:r>
        <w:t xml:space="preserve">has no meaning for a monitor that runs continuously. Its effect is reported</w:t>
      </w:r>
      <w:r>
        <w:t xml:space="preserve"> </w:t>
      </w:r>
      <w:r>
        <w:t xml:space="preserve">in Section </w:t>
      </w:r>
      <w:hyperlink w:anchor="sec:protocol">
        <w:r>
          <w:rPr>
            <w:rStyle w:val="Hyperlink"/>
          </w:rPr>
          <w:t xml:space="preserve">5.5</w:t>
        </w:r>
      </w:hyperlink>
      <w:r>
        <w:t xml:space="preserve">. Wall-clock features remain excluded because they</w:t>
      </w:r>
      <w:r>
        <w:t xml:space="preserve"> </w:t>
      </w:r>
      <w:r>
        <w:t xml:space="preserve">leak the identity of the recording session.</w:t>
      </w:r>
    </w:p>
    <w:bookmarkEnd w:id="34"/>
    <w:bookmarkStart w:id="35" w:name="detectors"/>
    <w:p>
      <w:pPr>
        <w:pStyle w:val="phmheading2"/>
      </w:pPr>
      <w:r>
        <w:t xml:space="preserve">Detectors</w:t>
      </w:r>
    </w:p>
    <w:p>
      <w:pPr>
        <w:pStyle w:val="phmbodytext"/>
      </w:pPr>
      <w:r>
        <w:t xml:space="preserve">Nine classical detectors are evaluated, all producing a continuous anomaly score:</w:t>
      </w:r>
      <w:r>
        <w:t xml:space="preserve"> </w:t>
      </w:r>
      <w:r>
        <w:t xml:space="preserve">a maximum absolute</w:t>
      </w:r>
      <w:r>
        <w:t xml:space="preserve"> </w:t>
      </w:r>
      <w:r>
        <w:rPr>
          <w:i/>
          <w:iCs/>
        </w:rPr>
        <w:t xml:space="preserve">z</w:t>
      </w:r>
      <w:r>
        <w:t xml:space="preserve">-score; PCA reconstruction error (95% of variance);</w:t>
      </w:r>
      <w:r>
        <w:t xml:space="preserve"> </w:t>
      </w:r>
      <w:r>
        <w:t xml:space="preserve">Elliptic Envelope (robust MCD on ten whitened principal components, needed</w:t>
      </w:r>
      <w:r>
        <w:t xml:space="preserve"> </w:t>
      </w:r>
      <w:r>
        <w:t xml:space="preserve">because the features are collinear); Isolation Forest (100 trees); One-Class SVM</w:t>
      </w:r>
      <w:r>
        <w:t xml:space="preserve"> </w:t>
      </w:r>
      <w:r>
        <w:t xml:space="preserve">(RBF kernel,</w:t>
      </w:r>
      <w:r>
        <w:t xml:space="preserve"> </w:t>
      </w:r>
      <m:oMath>
        <m:r>
          <m:t>ν</m:t>
        </m:r>
        <m:r>
          <m:rPr>
            <m:sty m:val="p"/>
          </m:rPr>
          <m:t>=</m:t>
        </m:r>
        <m:r>
          <m:t>0.1</m:t>
        </m:r>
      </m:oMath>
      <w:r>
        <w:t xml:space="preserve">); LOF (</w:t>
      </w:r>
      <m:oMath>
        <m:r>
          <m:t>k</m:t>
        </m:r>
        <m:r>
          <m:rPr>
            <m:sty m:val="p"/>
          </m:rPr>
          <m:t>=</m:t>
        </m:r>
        <m:r>
          <m:t>20</m:t>
        </m:r>
      </m:oMath>
      <w:r>
        <w:t xml:space="preserve">, novelty mode); and ECOD, COPOD and</w:t>
      </w:r>
      <w:r>
        <w:t xml:space="preserve"> </w:t>
      </w:r>
      <w:r>
        <w:t xml:space="preserve">HBOS from PyOD (Zhao et al., 2019), with library defaults. On SWaT, WADI and HAI,</w:t>
      </w:r>
      <w:r>
        <w:t xml:space="preserve"> </w:t>
      </w:r>
      <w:r>
        <w:t xml:space="preserve">One-Class SVM and LOF are fitted on a 20</w:t>
      </w:r>
      <w:r>
        <w:t xml:space="preserve">,</w:t>
      </w:r>
      <w:r>
        <w:t xml:space="preserve">000-row evenly spaced subsample of the training data</w:t>
      </w:r>
      <w:r>
        <w:t xml:space="preserve"> </w:t>
      </w:r>
      <w:r>
        <w:t xml:space="preserve">because their cost grows quadratically; on WADI and HAI, ECOD and COPOD are fitted on a</w:t>
      </w:r>
      <w:r>
        <w:t xml:space="preserve"> </w:t>
      </w:r>
      <w:r>
        <w:t xml:space="preserve">100</w:t>
      </w:r>
      <w:r>
        <w:t xml:space="preserve">,</w:t>
      </w:r>
      <w:r>
        <w:t xml:space="preserve">000-row subsample because PyOD rescores test data jointly with the stored</w:t>
      </w:r>
      <w:r>
        <w:t xml:space="preserve"> </w:t>
      </w:r>
      <w:r>
        <w:t xml:space="preserve">training data and the full set exceeded 16 GB of memory (test data are scored in</w:t>
      </w:r>
      <w:r>
        <w:t xml:space="preserve"> </w:t>
      </w:r>
      <w:r>
        <w:t xml:space="preserve">50</w:t>
      </w:r>
      <w:r>
        <w:t xml:space="preserve">,</w:t>
      </w:r>
      <w:r>
        <w:t xml:space="preserve">000-row chunks, so their WADI and HAI scores depend slightly on chunk size). All other</w:t>
      </w:r>
      <w:r>
        <w:t xml:space="preserve"> </w:t>
      </w:r>
      <w:r>
        <w:t xml:space="preserve">detectors use every training row. The deep baseline is an LSTM autoencoder (one-layer encoder and decoder,</w:t>
      </w:r>
      <w:r>
        <w:t xml:space="preserve"> </w:t>
      </w:r>
      <w:r>
        <w:t xml:space="preserve">64 hidden units,</w:t>
      </w:r>
      <w:r>
        <w:t xml:space="preserve"> </w:t>
      </w:r>
      <m:oMath>
        <m:r>
          <m:rPr>
            <m:sty m:val="p"/>
          </m:rPr>
          <m:t>≈</m:t>
        </m:r>
      </m:oMath>
      <w:r>
        <w:t xml:space="preserve"> 52k–58k parameters) on 30-second windows of raw</w:t>
      </w:r>
      <w:r>
        <w:t xml:space="preserve"> </w:t>
      </w:r>
      <w:r>
        <w:t xml:space="preserve">scaled sensors, trained for 25 epochs with Adam; a row’s score is the</w:t>
      </w:r>
      <w:r>
        <w:t xml:space="preserve"> </w:t>
      </w:r>
      <w:r>
        <w:t xml:space="preserve">reconstruction error of the window ending at that row (Malhotra et al., 2016).</w:t>
      </w:r>
      <w:r>
        <w:t xml:space="preserve"> </w:t>
      </w:r>
      <w:r>
        <w:t xml:space="preserve">All models are fitted on rows labelled normal, with one exception: under the</w:t>
      </w:r>
      <w:r>
        <w:t xml:space="preserve"> </w:t>
      </w:r>
      <w:r>
        <w:t xml:space="preserve">SKAB reference protocol the first 400 rows of each run are used as given, and</w:t>
      </w:r>
      <w:r>
        <w:t xml:space="preserve"> </w:t>
      </w:r>
      <w:r>
        <w:t xml:space="preserve">2.1% of them are labelled anomalous. Table </w:t>
      </w:r>
      <w:hyperlink w:anchor="tab:impl">
        <w:r>
          <w:rPr>
            <w:rStyle w:val="Hyperlink"/>
          </w:rPr>
          <w:t xml:space="preserve">1</w:t>
        </w:r>
      </w:hyperlink>
      <w:r>
        <w:t xml:space="preserve"> </w:t>
      </w:r>
      <w:r>
        <w:t xml:space="preserve">lists the implementation</w:t>
      </w:r>
      <w:r>
        <w:t xml:space="preserve"> </w:t>
      </w:r>
      <w:r>
        <w:t xml:space="preserve">details.</w:t>
      </w:r>
    </w:p>
    <w:bookmarkEnd w:id="35"/>
    <w:bookmarkStart w:id="36" w:name="sec:thr"/>
    <w:p>
      <w:pPr>
        <w:pStyle w:val="phmheading2"/>
      </w:pPr>
      <w:r>
        <w:t xml:space="preserve">Threshold rules</w:t>
      </w:r>
    </w:p>
    <w:p>
      <w:pPr>
        <w:pStyle w:val="phmbodytext"/>
      </w:pPr>
      <w:r>
        <w:t xml:space="preserve">A score becomes an alarm when it exceeds a threshold</w:t>
      </w:r>
      <w:r>
        <w:t xml:space="preserve"> </w:t>
      </w:r>
      <m:oMath>
        <m:r>
          <m:t>τ</m:t>
        </m:r>
      </m:oMath>
      <w:r>
        <w:t xml:space="preserve">. Because the</w:t>
      </w:r>
      <w:r>
        <w:t xml:space="preserve"> </w:t>
      </w:r>
      <w:r>
        <w:t xml:space="preserve">comparison should not depend on one rule, two rules are applied identically to</w:t>
      </w:r>
      <w:r>
        <w:t xml:space="preserve"> </w:t>
      </w:r>
      <w:r>
        <w:t xml:space="preserve">every detector:</w:t>
      </w:r>
    </w:p>
    <w:p>
      <w:pPr>
        <w:numPr>
          <w:ilvl w:val="0"/>
          <w:numId w:val="1002"/>
        </w:numPr>
      </w:pPr>
      <w:r>
        <w:rPr>
          <w:b/>
          <w:bCs/>
        </w:rPr>
        <w:t xml:space="preserve">Label-free:</w:t>
      </w:r>
      <w:r>
        <w:t xml:space="preserve"> </w:t>
      </w:r>
      <m:oMath>
        <m:r>
          <m:t>τ</m:t>
        </m:r>
      </m:oMath>
      <w:r>
        <w:t xml:space="preserve"> </w:t>
      </w:r>
      <w:r>
        <w:t xml:space="preserve">is the 99th percentile of scores on held-out</w:t>
      </w:r>
      <w:r>
        <w:t xml:space="preserve"> </w:t>
      </w:r>
      <w:r>
        <w:rPr>
          <w:i/>
          <w:iCs/>
        </w:rPr>
        <w:t xml:space="preserve">normal</w:t>
      </w:r>
      <w:r>
        <w:t xml:space="preserve"> </w:t>
      </w:r>
      <w:r>
        <w:t xml:space="preserve">data, so about 1% of normal readings are expected to raise an</w:t>
      </w:r>
      <w:r>
        <w:t xml:space="preserve"> </w:t>
      </w:r>
      <w:r>
        <w:t xml:space="preserve">alarm. No anomaly labels are used.</w:t>
      </w:r>
    </w:p>
    <w:p>
      <w:pPr>
        <w:numPr>
          <w:ilvl w:val="0"/>
          <w:numId w:val="1002"/>
        </w:numPr>
      </w:pPr>
      <w:r>
        <w:rPr>
          <w:b/>
          <w:bCs/>
        </w:rPr>
        <w:t xml:space="preserve">Validation-MCC:</w:t>
      </w:r>
      <w:r>
        <w:t xml:space="preserve"> </w:t>
      </w:r>
      <m:oMath>
        <m:r>
          <m:t>τ</m:t>
        </m:r>
      </m:oMath>
      <w:r>
        <w:t xml:space="preserve"> </w:t>
      </w:r>
      <w:r>
        <w:t xml:space="preserve">maximises MCC on a labelled validation</w:t>
      </w:r>
      <w:r>
        <w:t xml:space="preserve"> </w:t>
      </w:r>
      <w:r>
        <w:t xml:space="preserve">set that contains anomalies, excluding thresholds that flag more than 99% of</w:t>
      </w:r>
      <w:r>
        <w:t xml:space="preserve"> </w:t>
      </w:r>
      <w:r>
        <w:t xml:space="preserve">rows. This is semi-supervised calibration and is reported as such.</w:t>
      </w:r>
    </w:p>
    <w:p>
      <w:pPr>
        <w:pStyle w:val="phmbodytext"/>
      </w:pPr>
      <w:r>
        <w:t xml:space="preserve">A third rule, maximising validation F1, is used only to show how much the</w:t>
      </w:r>
      <w:r>
        <w:t xml:space="preserve"> </w:t>
      </w:r>
      <w:r>
        <w:t xml:space="preserve">initial analysis’ choice of F1 mattered.</w:t>
      </w:r>
    </w:p>
    <w:bookmarkEnd w:id="36"/>
    <w:bookmarkStart w:id="42" w:name="splits"/>
    <w:p>
      <w:pPr>
        <w:pStyle w:val="phmheading2"/>
      </w:pPr>
      <w:r>
        <w:t xml:space="preserve">Splits</w:t>
      </w:r>
    </w:p>
    <w:bookmarkStart w:id="37" w:name="skab-pooled-protocol."/>
    <w:p>
      <w:pPr>
        <w:pStyle w:val="phmheading4"/>
      </w:pPr>
      <w:r>
        <w:t xml:space="preserve">SKAB, pooled protocol.</w:t>
      </w:r>
    </w:p>
    <w:p>
      <w:pPr>
        <w:pStyle w:val="phmbodytext"/>
      </w:pPr>
      <w:r>
        <w:t xml:space="preserve">As in the initial analysis, each fault run is</w:t>
      </w:r>
      <w:r>
        <w:t xml:space="preserve"> </w:t>
      </w:r>
      <w:r>
        <w:t xml:space="preserve">split chronologically into its first 80% and last 20%. The training portions of</w:t>
      </w:r>
      <w:r>
        <w:t xml:space="preserve"> </w:t>
      </w:r>
      <w:r>
        <w:t xml:space="preserve">20% of the runs (whole runs, fixed seed) form a labelled validation set; the</w:t>
      </w:r>
      <w:r>
        <w:t xml:space="preserve"> </w:t>
      </w:r>
      <w:r>
        <w:t xml:space="preserve">model is trained on the anomaly-free run plus the normal rows of the remaining</w:t>
      </w:r>
      <w:r>
        <w:t xml:space="preserve"> </w:t>
      </w:r>
      <w:r>
        <w:t xml:space="preserve">training portions; the last 20% of every run is the test set (7</w:t>
      </w:r>
      <w:r>
        <w:t xml:space="preserve">,</w:t>
      </w:r>
      <w:r>
        <w:t xml:space="preserve">503 rows,</w:t>
      </w:r>
      <w:r>
        <w:t xml:space="preserve"> </w:t>
      </w:r>
      <w:r>
        <w:t xml:space="preserve">30.0% anomalous).</w:t>
      </w:r>
    </w:p>
    <w:bookmarkEnd w:id="37"/>
    <w:bookmarkStart w:id="38" w:name="skab-benchmark-protocol."/>
    <w:p>
      <w:pPr>
        <w:pStyle w:val="phmheading4"/>
      </w:pPr>
      <w:r>
        <w:t xml:space="preserve">SKAB, benchmark protocol.</w:t>
      </w:r>
    </w:p>
    <w:p>
      <w:pPr>
        <w:pStyle w:val="phmbodytext"/>
      </w:pPr>
      <w:r>
        <w:t xml:space="preserve">The SKAB reference implementation trains</w:t>
      </w:r>
      <w:r>
        <w:t xml:space="preserve"> </w:t>
      </w:r>
      <w:r>
        <w:t xml:space="preserve">a model per run on its first 400 rows and tests on the rest. This protocol is</w:t>
      </w:r>
      <w:r>
        <w:t xml:space="preserve"> </w:t>
      </w:r>
      <w:r>
        <w:t xml:space="preserve">also reported, with the label-free threshold set from each run’s own training</w:t>
      </w:r>
      <w:r>
        <w:t xml:space="preserve"> </w:t>
      </w:r>
      <w:r>
        <w:t xml:space="preserve">scores, so results can be read against the SKAB leaderboard.</w:t>
      </w:r>
    </w:p>
    <w:bookmarkEnd w:id="38"/>
    <w:bookmarkStart w:id="39" w:name="swat-standard-protocol."/>
    <w:p>
      <w:pPr>
        <w:pStyle w:val="phmheading4"/>
      </w:pPr>
      <w:r>
        <w:t xml:space="preserve">SWaT, standard protocol.</w:t>
      </w:r>
    </w:p>
    <w:p>
      <w:pPr>
        <w:pStyle w:val="phmbodytext"/>
      </w:pPr>
      <w:r>
        <w:t xml:space="preserve">Detectors are trained on the normal run</w:t>
      </w:r>
      <w:r>
        <w:t xml:space="preserve"> </w:t>
      </w:r>
      <w:r>
        <w:t xml:space="preserve">from 22 December 22:00 to 27 December 13:18 (400</w:t>
      </w:r>
      <w:r>
        <w:t xml:space="preserve">,</w:t>
      </w:r>
      <w:r>
        <w:t xml:space="preserve">680 rows); the rest of the run</w:t>
      </w:r>
      <w:r>
        <w:t xml:space="preserve"> </w:t>
      </w:r>
      <w:r>
        <w:t xml:space="preserve">(74</w:t>
      </w:r>
      <w:r>
        <w:t xml:space="preserve">,</w:t>
      </w:r>
      <w:r>
        <w:t xml:space="preserve">520 rows) is held-out normal data</w:t>
      </w:r>
      <w:r>
        <w:t xml:space="preserve"> </w:t>
      </w:r>
      <w:r>
        <w:t xml:space="preserve">for the label-free threshold; the first third of the attack period is the</w:t>
      </w:r>
      <w:r>
        <w:t xml:space="preserve"> </w:t>
      </w:r>
      <w:r>
        <w:t xml:space="preserve">labelled validation set for the validation-MCC threshold. Threshold-free metrics</w:t>
      </w:r>
      <w:r>
        <w:t xml:space="preserve"> </w:t>
      </w:r>
      <w:r>
        <w:t xml:space="preserve">and label-free results are reported on the full attack period; both threshold</w:t>
      </w:r>
      <w:r>
        <w:t xml:space="preserve"> </w:t>
      </w:r>
      <w:r>
        <w:t xml:space="preserve">rules are also compared on its last two thirds, which neither rule has seen.</w:t>
      </w:r>
    </w:p>
    <w:bookmarkEnd w:id="39"/>
    <w:bookmarkStart w:id="40" w:name="wadi.-1"/>
    <w:p>
      <w:pPr>
        <w:pStyle w:val="phmheading4"/>
      </w:pPr>
      <w:r>
        <w:t xml:space="preserve">WADI.</w:t>
      </w:r>
    </w:p>
    <w:p>
      <w:pPr>
        <w:pStyle w:val="phmbodytext"/>
      </w:pPr>
      <w:r>
        <w:t xml:space="preserve">The same design is used on WADI: training on the first 85% of the</w:t>
      </w:r>
      <w:r>
        <w:t xml:space="preserve"> </w:t>
      </w:r>
      <w:r>
        <w:t xml:space="preserve">normal run, the last 15% as held-out normal data, the first third of the attack file</w:t>
      </w:r>
      <w:r>
        <w:t xml:space="preserve"> </w:t>
      </w:r>
      <w:r>
        <w:t xml:space="preserve">for the validation-MCC threshold, and metrics on the whole file and on its last two</w:t>
      </w:r>
      <w:r>
        <w:t xml:space="preserve"> </w:t>
      </w:r>
      <w:r>
        <w:t xml:space="preserve">thirds.</w:t>
      </w:r>
    </w:p>
    <w:bookmarkEnd w:id="40"/>
    <w:bookmarkStart w:id="41" w:name="hai.-1"/>
    <w:p>
      <w:pPr>
        <w:pStyle w:val="phmheading4"/>
      </w:pPr>
      <w:r>
        <w:t xml:space="preserve">HAI.</w:t>
      </w:r>
    </w:p>
    <w:p>
      <w:pPr>
        <w:pStyle w:val="phmbodytext"/>
      </w:pPr>
      <w:r>
        <w:t xml:space="preserve">The same design is used: training on the three normal files except</w:t>
      </w:r>
      <w:r>
        <w:t xml:space="preserve"> </w:t>
      </w:r>
      <w:r>
        <w:t xml:space="preserve">the last 15% of the third, which is held-out normal data for the label-free</w:t>
      </w:r>
      <w:r>
        <w:t xml:space="preserve"> </w:t>
      </w:r>
      <w:r>
        <w:t xml:space="preserve">threshold; the first test file is the labelled validation set for the</w:t>
      </w:r>
      <w:r>
        <w:t xml:space="preserve"> </w:t>
      </w:r>
      <w:r>
        <w:t xml:space="preserve">validation-MCC threshold; metrics are reported on all five test files and, for the</w:t>
      </w:r>
      <w:r>
        <w:t xml:space="preserve"> </w:t>
      </w:r>
      <w:r>
        <w:t xml:space="preserve">rule comparison, on test files 2–5. Bootstrap blocks are one-hour blocks within</w:t>
      </w:r>
      <w:r>
        <w:t xml:space="preserve"> </w:t>
      </w:r>
      <w:r>
        <w:t xml:space="preserve">each test file.</w:t>
      </w:r>
    </w:p>
    <w:bookmarkEnd w:id="41"/>
    <w:bookmarkEnd w:id="42"/>
    <w:bookmarkStart w:id="43" w:name="metrics-and-uncertainty"/>
    <w:p>
      <w:pPr>
        <w:pStyle w:val="phmheading2"/>
      </w:pPr>
      <w:r>
        <w:t xml:space="preserve">Metrics and uncertainty</w:t>
      </w:r>
    </w:p>
    <w:p>
      <w:pPr>
        <w:pStyle w:val="phmbodytext"/>
      </w:pPr>
      <w:r>
        <w:t xml:space="preserve">AUROC and average precision (AUPRC) summarise ranking quality independent of</w:t>
      </w:r>
      <w:r>
        <w:t xml:space="preserve"> </w:t>
      </w:r>
      <w:r>
        <w:t xml:space="preserve">any threshold. At a threshold, precision, recall, F1, MCC, false-alarm rate on</w:t>
      </w:r>
      <w:r>
        <w:t xml:space="preserve"> </w:t>
      </w:r>
      <w:r>
        <w:t xml:space="preserve">normal rows, event recall (the fraction of contiguous anomalous segments with at</w:t>
      </w:r>
      <w:r>
        <w:t xml:space="preserve"> </w:t>
      </w:r>
      <w:r>
        <w:t xml:space="preserve">least one alarm) and median detection delay are reported. MCC is</w:t>
      </w:r>
    </w:p>
    <w:p>
      <w:pPr>
        <w:pStyle w:val="phmbodytext"/>
      </w:pPr>
      <m:oMathPara>
        <m:oMathParaPr>
          <m:jc m:val="center"/>
        </m:oMathParaPr>
        <m:oMath>
          <m:r>
            <m:rPr>
              <m:sty m:val="p"/>
            </m:rPr>
            <m:t>M</m:t>
          </m:r>
          <m:r>
            <m:rPr>
              <m:sty m:val="p"/>
            </m:rPr>
            <m:t>C</m:t>
          </m:r>
          <m:r>
            <m:rPr>
              <m:sty m:val="p"/>
            </m:rPr>
            <m:t>C</m:t>
          </m:r>
          <m:r>
            <m:rPr>
              <m:sty m:val="p"/>
            </m:rPr>
            <m:t>=</m:t>
          </m:r>
          <m:f>
            <m:fPr>
              <m:type m:val="bar"/>
            </m:fPr>
            <m:num>
              <m:r>
                <m:t>T</m:t>
              </m:r>
              <m:r>
                <m:t>P</m:t>
              </m:r>
              <m:r>
                <m:rPr>
                  <m:sty m:val="p"/>
                </m:rPr>
                <m:t>⋅</m:t>
              </m:r>
              <m:r>
                <m:t>T</m:t>
              </m:r>
              <m:r>
                <m:t>N</m:t>
              </m:r>
              <m:r>
                <m:rPr>
                  <m:sty m:val="p"/>
                </m:rPr>
                <m:t>−</m:t>
              </m:r>
              <m:r>
                <m:t>F</m:t>
              </m:r>
              <m:r>
                <m:t>P</m:t>
              </m:r>
              <m:r>
                <m:rPr>
                  <m:sty m:val="p"/>
                </m:rPr>
                <m:t>⋅</m:t>
              </m:r>
              <m:r>
                <m:t>F</m:t>
              </m:r>
              <m:r>
                <m:t>N</m:t>
              </m:r>
            </m:num>
            <m:den>
              <m:rad>
                <m:radPr>
                  <m:degHide m:val="on"/>
                </m:radPr>
                <m:deg/>
                <m:e>
                  <m:r>
                    <m:rPr>
                      <m:sty m:val="p"/>
                    </m:rPr>
                    <m:t>(</m:t>
                  </m:r>
                  <m:r>
                    <m:t>T</m:t>
                  </m:r>
                  <m:r>
                    <m:t>P</m:t>
                  </m:r>
                  <m:r>
                    <m:rPr>
                      <m:sty m:val="p"/>
                    </m:rPr>
                    <m:t>+</m:t>
                  </m:r>
                  <m:r>
                    <m:t>F</m:t>
                  </m:r>
                  <m:r>
                    <m:t>P</m:t>
                  </m:r>
                  <m:r>
                    <m:rPr>
                      <m:sty m:val="p"/>
                    </m:rPr>
                    <m:t>)</m:t>
                  </m:r>
                  <m:r>
                    <m:rPr>
                      <m:sty m:val="p"/>
                    </m:rPr>
                    <m:t>(</m:t>
                  </m:r>
                  <m:r>
                    <m:t>T</m:t>
                  </m:r>
                  <m:r>
                    <m:t>P</m:t>
                  </m:r>
                  <m:r>
                    <m:rPr>
                      <m:sty m:val="p"/>
                    </m:rPr>
                    <m:t>+</m:t>
                  </m:r>
                  <m:r>
                    <m:t>F</m:t>
                  </m:r>
                  <m:r>
                    <m:t>N</m:t>
                  </m:r>
                  <m:r>
                    <m:rPr>
                      <m:sty m:val="p"/>
                    </m:rPr>
                    <m:t>)</m:t>
                  </m:r>
                  <m:r>
                    <m:rPr>
                      <m:sty m:val="p"/>
                    </m:rPr>
                    <m:t>(</m:t>
                  </m:r>
                  <m:r>
                    <m:t>T</m:t>
                  </m:r>
                  <m:r>
                    <m:t>N</m:t>
                  </m:r>
                  <m:r>
                    <m:rPr>
                      <m:sty m:val="p"/>
                    </m:rPr>
                    <m:t>+</m:t>
                  </m:r>
                  <m:r>
                    <m:t>F</m:t>
                  </m:r>
                  <m:r>
                    <m:t>P</m:t>
                  </m:r>
                  <m:r>
                    <m:rPr>
                      <m:sty m:val="p"/>
                    </m:rPr>
                    <m:t>)</m:t>
                  </m:r>
                  <m:r>
                    <m:rPr>
                      <m:sty m:val="p"/>
                    </m:rPr>
                    <m:t>(</m:t>
                  </m:r>
                  <m:r>
                    <m:t>T</m:t>
                  </m:r>
                  <m:r>
                    <m:t>N</m:t>
                  </m:r>
                  <m:r>
                    <m:rPr>
                      <m:sty m:val="p"/>
                    </m:rPr>
                    <m:t>+</m:t>
                  </m:r>
                  <m:r>
                    <m:t>F</m:t>
                  </m:r>
                  <m:r>
                    <m:t>N</m:t>
                  </m:r>
                  <m:r>
                    <m:rPr>
                      <m:sty m:val="p"/>
                    </m:rPr>
                    <m:t>)</m:t>
                  </m:r>
                </m:e>
              </m:rad>
            </m:den>
          </m:f>
        </m:oMath>
      </m:oMathPara>
    </w:p>
    <w:p>
      <w:pPr>
        <w:pStyle w:val="phmbodytext"/>
      </w:pPr>
      <w:r>
        <w:t xml:space="preserve">which is zero for any predictor independent of the labels, including one that</w:t>
      </w:r>
      <w:r>
        <w:t xml:space="preserve"> </w:t>
      </w:r>
      <w:r>
        <w:t xml:space="preserve">flags every row; F1 for that predictor equals</w:t>
      </w:r>
      <w:r>
        <w:t xml:space="preserve"> </w:t>
      </w:r>
      <m:oMath>
        <m:r>
          <m:t>2</m:t>
        </m:r>
        <m:r>
          <m:t>π</m:t>
        </m:r>
        <m:r>
          <m:rPr>
            <m:sty m:val="p"/>
          </m:rPr>
          <m:t>/</m:t>
        </m:r>
        <m:r>
          <m:rPr>
            <m:sty m:val="p"/>
          </m:rPr>
          <m:t>(</m:t>
        </m:r>
        <m:r>
          <m:t>1</m:t>
        </m:r>
        <m:r>
          <m:rPr>
            <m:sty m:val="p"/>
          </m:rPr>
          <m:t>+</m:t>
        </m:r>
        <m:r>
          <m:t>π</m:t>
        </m:r>
        <m:r>
          <m:rPr>
            <m:sty m:val="p"/>
          </m:rPr>
          <m:t>)</m:t>
        </m:r>
      </m:oMath>
      <w:r>
        <w:t xml:space="preserve"> </w:t>
      </w:r>
      <w:r>
        <w:t xml:space="preserve">for anomaly</w:t>
      </w:r>
      <w:r>
        <w:t xml:space="preserve"> </w:t>
      </w:r>
      <w:r>
        <w:t xml:space="preserve">prevalence</w:t>
      </w:r>
      <w:r>
        <w:t xml:space="preserve"> </w:t>
      </w:r>
      <m:oMath>
        <m:r>
          <m:t>π</m:t>
        </m:r>
      </m:oMath>
      <w:r>
        <w:t xml:space="preserve"> </w:t>
      </w:r>
      <w:r>
        <w:t xml:space="preserve">(0.46 on the SKAB test set), which is why F1 alone can credit</w:t>
      </w:r>
      <w:r>
        <w:t xml:space="preserve"> </w:t>
      </w:r>
      <w:r>
        <w:t xml:space="preserve">a detector that separates nothing (Chicco &amp; Jurman, 2020). Precision is bounded by</w:t>
      </w:r>
      <w:r>
        <w:t xml:space="preserve"> </w:t>
      </w:r>
      <w:r>
        <w:t xml:space="preserve">prevalence in the same way: with false-alarm rate</w:t>
      </w:r>
      <w:r>
        <w:t xml:space="preserve"> </w:t>
      </w:r>
      <m:oMath>
        <m:r>
          <m:t>f</m:t>
        </m:r>
      </m:oMath>
      <w:r>
        <w:t xml:space="preserve"> </w:t>
      </w:r>
      <w:r>
        <w:t xml:space="preserve">and recall</w:t>
      </w:r>
      <w:r>
        <w:t xml:space="preserve"> </w:t>
      </w:r>
      <m:oMath>
        <m:r>
          <m:t>r</m:t>
        </m:r>
      </m:oMath>
      <w:r>
        <w:t xml:space="preserve">,</w:t>
      </w:r>
      <w:r>
        <w:t xml:space="preserve"> </w:t>
      </w: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t>π</m:t>
        </m:r>
        <m:r>
          <m:t>r</m:t>
        </m:r>
        <m:r>
          <m:rPr>
            <m:sty m:val="p"/>
          </m:rPr>
          <m:t>/</m:t>
        </m:r>
        <m:r>
          <m:rPr>
            <m:sty m:val="p"/>
          </m:rPr>
          <m:t>(</m:t>
        </m:r>
        <m:r>
          <m:t>π</m:t>
        </m:r>
        <m:r>
          <m:t>r</m:t>
        </m:r>
        <m:r>
          <m:rPr>
            <m:sty m:val="p"/>
          </m:rPr>
          <m:t>+</m:t>
        </m:r>
        <m:r>
          <m:rPr>
            <m:sty m:val="p"/>
          </m:rPr>
          <m:t>(</m:t>
        </m:r>
        <m:r>
          <m:t>1</m:t>
        </m:r>
        <m:r>
          <m:rPr>
            <m:sty m:val="p"/>
          </m:rPr>
          <m:t>−</m:t>
        </m:r>
        <m:r>
          <m:t>π</m:t>
        </m:r>
        <m:r>
          <m:rPr>
            <m:sty m:val="p"/>
          </m:rPr>
          <m:t>)</m:t>
        </m:r>
        <m:r>
          <m:t>f</m:t>
        </m:r>
        <m:r>
          <m:rPr>
            <m:sty m:val="p"/>
          </m:rPr>
          <m:t>)</m:t>
        </m:r>
      </m:oMath>
      <w:r>
        <w:t xml:space="preserve">, so the same detector looks much</w:t>
      </w:r>
      <w:r>
        <w:t xml:space="preserve"> </w:t>
      </w:r>
      <w:r>
        <w:t xml:space="preserve">worse in precision on SWaT (</w:t>
      </w:r>
      <m:oMath>
        <m:r>
          <m:t>π</m:t>
        </m:r>
        <m:r>
          <m:rPr>
            <m:sty m:val="p"/>
          </m:rPr>
          <m:t>=</m:t>
        </m:r>
        <m:r>
          <m:t>0.121</m:t>
        </m:r>
      </m:oMath>
      <w:r>
        <w:t xml:space="preserve">) than on a test set built with</w:t>
      </w:r>
      <w:r>
        <w:t xml:space="preserve"> </w:t>
      </w:r>
      <m:oMath>
        <m:r>
          <m:t>π</m:t>
        </m:r>
        <m:r>
          <m:rPr>
            <m:sty m:val="p"/>
          </m:rPr>
          <m:t>=</m:t>
        </m:r>
        <m:r>
          <m:t>0.315</m:t>
        </m:r>
      </m:oMath>
      <w:r>
        <w:t xml:space="preserve">, as in the initial analysis.</w:t>
      </w:r>
      <w:r>
        <w:t xml:space="preserve"> </w:t>
      </w:r>
      <w:r>
        <w:t xml:space="preserve">Test rows are strongly autocorrelated, so 95% confidence intervals are</w:t>
      </w:r>
      <w:r>
        <w:t xml:space="preserve"> </w:t>
      </w:r>
      <w:r>
        <w:t xml:space="preserve">obtained by resampling whole blocks with replacement: the 34 test files on SKAB</w:t>
      </w:r>
      <w:r>
        <w:t xml:space="preserve"> </w:t>
      </w:r>
      <w:r>
        <w:t xml:space="preserve">and non-overlapping one-hour blocks on SWaT. The same resamples are used for</w:t>
      </w:r>
      <w:r>
        <w:t xml:space="preserve"> </w:t>
      </w:r>
      <w:r>
        <w:t xml:space="preserve">every detector, so paired differences are valid. Isolation Forest is repeated</w:t>
      </w:r>
      <w:r>
        <w:t xml:space="preserve"> </w:t>
      </w:r>
      <w:r>
        <w:t xml:space="preserve">over ten seeds and the LSTM autoencoder over three seeds on SKAB.</w:t>
      </w:r>
    </w:p>
    <w:bookmarkEnd w:id="43"/>
    <w:bookmarkStart w:id="44" w:name="drift-and-retraining"/>
    <w:p>
      <w:pPr>
        <w:pStyle w:val="phmheading2"/>
      </w:pPr>
      <w:r>
        <w:t xml:space="preserve">Drift and retraining</w:t>
      </w:r>
    </w:p>
    <w:p>
      <w:pPr>
        <w:pStyle w:val="phmbodytext"/>
      </w:pPr>
      <w:r>
        <w:t xml:space="preserve">The retraining study simulates deployment on SWaT. An initial model is fitted</w:t>
      </w:r>
      <w:r>
        <w:t xml:space="preserve"> </w:t>
      </w:r>
      <w:r>
        <w:t xml:space="preserve">on the first 50</w:t>
      </w:r>
      <w:r>
        <w:t xml:space="preserve">,</w:t>
      </w:r>
      <w:r>
        <w:t xml:space="preserve">000 normal rows after start-up (about 14 hours). The</w:t>
      </w:r>
      <w:r>
        <w:t xml:space="preserve"> </w:t>
      </w:r>
      <w:r>
        <w:t xml:space="preserve">remainder of the normal week and then the attack period are streamed in</w:t>
      </w:r>
      <w:r>
        <w:t xml:space="preserve"> </w:t>
      </w:r>
      <w:r>
        <w:t xml:space="preserve">one-hour batches; each batch is scored</w:t>
      </w:r>
      <w:r>
        <w:t xml:space="preserve"> </w:t>
      </w:r>
      <w:r>
        <w:rPr>
          <w:i/>
          <w:iCs/>
        </w:rPr>
        <w:t xml:space="preserve">before</w:t>
      </w:r>
      <w:r>
        <w:t xml:space="preserve"> </w:t>
      </w:r>
      <w:r>
        <w:t xml:space="preserve">it can be used for</w:t>
      </w:r>
      <w:r>
        <w:t xml:space="preserve"> </w:t>
      </w:r>
      <w:r>
        <w:t xml:space="preserve">retraining. Four policies are compared:</w:t>
      </w:r>
      <w:r>
        <w:t xml:space="preserve"> </w:t>
      </w:r>
      <w:r>
        <w:rPr>
          <w:i/>
          <w:iCs/>
        </w:rPr>
        <w:t xml:space="preserve">static</w:t>
      </w:r>
      <w:r>
        <w:t xml:space="preserve"> </w:t>
      </w:r>
      <w:r>
        <w:t xml:space="preserve">(never retrain);</w:t>
      </w:r>
      <w:r>
        <w:t xml:space="preserve"> </w:t>
      </w:r>
      <w:r>
        <w:rPr>
          <w:i/>
          <w:iCs/>
        </w:rPr>
        <w:t xml:space="preserve">drift-triggered</w:t>
      </w:r>
      <w:r>
        <w:t xml:space="preserve"> </w:t>
      </w:r>
      <w:r>
        <w:t xml:space="preserve">(retrain when the mean two-sample Kolmogorov–Smirnov</w:t>
      </w:r>
      <w:r>
        <w:t xml:space="preserve"> </w:t>
      </w:r>
      <w:r>
        <w:t xml:space="preserve">statistic between the batch and the current reference,</w:t>
      </w:r>
      <w:r>
        <w:t xml:space="preserve"> </w:t>
      </w:r>
      <m:oMath>
        <m:acc>
          <m:accPr>
            <m:chr m:val="‾"/>
          </m:accPr>
          <m:e>
            <m:r>
              <m:t>D</m:t>
            </m:r>
          </m:e>
        </m:acc>
        <m:r>
          <m:rPr>
            <m:sty m:val="p"/>
          </m:rPr>
          <m:t>=</m:t>
        </m:r>
        <m:f>
          <m:fPr>
            <m:type m:val="bar"/>
          </m:fPr>
          <m:num>
            <m:r>
              <m:t>1</m:t>
            </m:r>
          </m:num>
          <m:den>
            <m:r>
              <m:t>d</m:t>
            </m:r>
          </m:den>
        </m:f>
        <m:nary>
          <m:naryPr>
            <m:chr m:val="∑"/>
            <m:limLoc m:val="undOvr"/>
            <m:subHide m:val="off"/>
            <m:supHide m:val="off"/>
          </m:naryPr>
          <m:sub>
            <m:r>
              <m:t>j</m:t>
            </m:r>
            <m:r>
              <m:rPr>
                <m:sty m:val="p"/>
              </m:rPr>
              <m:t>=</m:t>
            </m:r>
            <m:r>
              <m:t>1</m:t>
            </m:r>
          </m:sub>
          <m:sup>
            <m:r>
              <m:t>d</m:t>
            </m:r>
          </m:sup>
          <m:e>
            <m:sSub>
              <m:e>
                <m:r>
                  <m:rPr>
                    <m:sty m:val="p"/>
                  </m:rPr>
                  <m:t>sup</m:t>
                </m:r>
              </m:e>
              <m:sub>
                <m:r>
                  <m:t>x</m:t>
                </m:r>
              </m:sub>
            </m:sSub>
          </m:e>
        </m:nary>
        <m:d>
          <m:dPr>
            <m:begChr m:val="|"/>
            <m:sepChr m:val=""/>
            <m:endChr m:val="|"/>
            <m:grow/>
          </m:dPr>
          <m:e>
            <m:sSubSup>
              <m:e>
                <m:r>
                  <m:t>F</m:t>
                </m:r>
              </m:e>
              <m:sub>
                <m:r>
                  <m:t>j</m:t>
                </m:r>
              </m:sub>
              <m:sup>
                <m:r>
                  <m:rPr>
                    <m:sty m:val="p"/>
                  </m:rPr>
                  <m:t>r</m:t>
                </m:r>
                <m:r>
                  <m:rPr>
                    <m:sty m:val="p"/>
                  </m:rPr>
                  <m:t>e</m:t>
                </m:r>
                <m:r>
                  <m:rPr>
                    <m:sty m:val="p"/>
                  </m:rPr>
                  <m:t>f</m:t>
                </m:r>
              </m:sup>
            </m:sSubSup>
            <m:r>
              <m:rPr>
                <m:sty m:val="p"/>
              </m:rPr>
              <m:t>(</m:t>
            </m:r>
            <m:r>
              <m:t>x</m:t>
            </m:r>
            <m:r>
              <m:rPr>
                <m:sty m:val="p"/>
              </m:rPr>
              <m:t>)</m:t>
            </m:r>
            <m:r>
              <m:rPr>
                <m:sty m:val="p"/>
              </m:rPr>
              <m:t>−</m:t>
            </m:r>
            <m:sSubSup>
              <m:e>
                <m:r>
                  <m:t>F</m:t>
                </m:r>
              </m:e>
              <m:sub>
                <m:r>
                  <m:t>j</m:t>
                </m:r>
              </m:sub>
              <m:sup>
                <m:r>
                  <m:rPr>
                    <m:sty m:val="p"/>
                  </m:rPr>
                  <m:t>w</m:t>
                </m:r>
                <m:r>
                  <m:rPr>
                    <m:sty m:val="p"/>
                  </m:rPr>
                  <m:t>i</m:t>
                </m:r>
                <m:r>
                  <m:rPr>
                    <m:sty m:val="p"/>
                  </m:rPr>
                  <m:t>n</m:t>
                </m:r>
              </m:sup>
            </m:sSubSup>
            <m:r>
              <m:rPr>
                <m:sty m:val="p"/>
              </m:rPr>
              <m:t>(</m:t>
            </m:r>
            <m:r>
              <m:t>x</m:t>
            </m:r>
            <m:r>
              <m:rPr>
                <m:sty m:val="p"/>
              </m:rPr>
              <m:t>)</m:t>
            </m:r>
          </m:e>
        </m:d>
      </m:oMath>
      <w:r>
        <w:t xml:space="preserve"> </w:t>
      </w:r>
      <w:r>
        <w:t xml:space="preserve">(Massey, 1951), exceeds the 95th percentile of its within-initial-window</w:t>
      </w:r>
      <w:r>
        <w:t xml:space="preserve"> </w:t>
      </w:r>
      <w:r>
        <w:t xml:space="preserve">values);</w:t>
      </w:r>
      <w:r>
        <w:t xml:space="preserve"> </w:t>
      </w:r>
      <w:r>
        <w:rPr>
          <w:i/>
          <w:iCs/>
        </w:rPr>
        <w:t xml:space="preserve">periodic</w:t>
      </w:r>
      <w:r>
        <w:t xml:space="preserve"> </w:t>
      </w:r>
      <w:r>
        <w:t xml:space="preserve">(the same number of retrains as the triggered policy,</w:t>
      </w:r>
      <w:r>
        <w:t xml:space="preserve"> </w:t>
      </w:r>
      <w:r>
        <w:t xml:space="preserve">evenly spaced); and</w:t>
      </w:r>
      <w:r>
        <w:t xml:space="preserve"> </w:t>
      </w:r>
      <w:r>
        <w:rPr>
          <w:i/>
          <w:iCs/>
        </w:rPr>
        <w:t xml:space="preserve">always</w:t>
      </w:r>
      <w:r>
        <w:t xml:space="preserve"> </w:t>
      </w:r>
      <w:r>
        <w:t xml:space="preserve">(after every batch). Each retrain uses the</w:t>
      </w:r>
      <w:r>
        <w:t xml:space="preserve"> </w:t>
      </w:r>
      <w:r>
        <w:t xml:space="preserve">last five batches, with rows selected in one of three ways:</w:t>
      </w:r>
      <w:r>
        <w:t xml:space="preserve"> </w:t>
      </w:r>
      <w:r>
        <w:rPr>
          <w:i/>
          <w:iCs/>
        </w:rPr>
        <w:t xml:space="preserve">oracle</w:t>
      </w:r>
      <w:r>
        <w:t xml:space="preserve"> </w:t>
      </w:r>
      <w:r>
        <w:t xml:space="preserve">(ground-truth normal rows, as in the initial analysis),</w:t>
      </w:r>
      <w:r>
        <w:t xml:space="preserve"> </w:t>
      </w:r>
      <w:r>
        <w:rPr>
          <w:i/>
          <w:iCs/>
        </w:rPr>
        <w:t xml:space="preserve">predicted-normal</w:t>
      </w:r>
      <w:r>
        <w:t xml:space="preserve"> </w:t>
      </w:r>
      <w:r>
        <w:t xml:space="preserve">(rows the current model did not flag) or</w:t>
      </w:r>
      <w:r>
        <w:t xml:space="preserve"> </w:t>
      </w:r>
      <w:r>
        <w:rPr>
          <w:i/>
          <w:iCs/>
        </w:rPr>
        <w:t xml:space="preserve">all</w:t>
      </w:r>
      <w:r>
        <w:t xml:space="preserve"> </w:t>
      </w:r>
      <w:r>
        <w:t xml:space="preserve">rows. After every fit the</w:t>
      </w:r>
      <w:r>
        <w:t xml:space="preserve"> </w:t>
      </w:r>
      <w:r>
        <w:t xml:space="preserve">threshold is the 99th percentile of the fit-window scores. Isolation Forest and</w:t>
      </w:r>
      <w:r>
        <w:t xml:space="preserve"> </w:t>
      </w:r>
      <w:r>
        <w:t xml:space="preserve">Elliptic Envelope are tested. The scaler is fitted once on the initial window.</w:t>
      </w:r>
      <w:r>
        <w:t xml:space="preserve"> </w:t>
      </w:r>
      <w:r>
        <w:t xml:space="preserve">The KS statistic is used instead of its</w:t>
      </w:r>
      <w:r>
        <w:t xml:space="preserve"> </w:t>
      </w:r>
      <m:oMath>
        <m:r>
          <m:t>p</m:t>
        </m:r>
      </m:oMath>
      <w:r>
        <w:t xml:space="preserve">-value because, with thousands of</w:t>
      </w:r>
      <w:r>
        <w:t xml:space="preserve"> </w:t>
      </w:r>
      <w:r>
        <w:t xml:space="preserve">rows per batch,</w:t>
      </w:r>
      <w:r>
        <w:t xml:space="preserve"> </w:t>
      </w:r>
      <m:oMath>
        <m:r>
          <m:t>p</m:t>
        </m:r>
      </m:oMath>
      <w:r>
        <w:t xml:space="preserve">-values vanish for negligible differences, whereas</w:t>
      </w:r>
      <w:r>
        <w:t xml:space="preserve"> </w:t>
      </w:r>
      <m:oMath>
        <m:acc>
          <m:accPr>
            <m:chr m:val="‾"/>
          </m:accPr>
          <m:e>
            <m:r>
              <m:t>D</m:t>
            </m:r>
          </m:e>
        </m:acc>
      </m:oMath>
      <w:r>
        <w:t xml:space="preserve"> </w:t>
      </w:r>
      <w:r>
        <w:t xml:space="preserve">is a bounded effect size.</w:t>
      </w:r>
    </w:p>
    <w:bookmarkEnd w:id="44"/>
    <w:bookmarkStart w:id="45" w:name="resource-measurement"/>
    <w:p>
      <w:pPr>
        <w:pStyle w:val="phmheading2"/>
      </w:pPr>
      <w:r>
        <w:t xml:space="preserve">Resource measurement</w:t>
      </w:r>
    </w:p>
    <w:p>
      <w:pPr>
        <w:pStyle w:val="phmbodytext"/>
      </w:pPr>
      <w:r>
        <w:t xml:space="preserve">Each detector is fitted and timed in its own freshly started (spawned) process</w:t>
      </w:r>
      <w:r>
        <w:t xml:space="preserve"> </w:t>
      </w:r>
      <w:r>
        <w:t xml:space="preserve">inside a Docker container run with</w:t>
      </w:r>
      <w:r>
        <w:t xml:space="preserve"> </w:t>
      </w:r>
      <w:r>
        <w:rPr>
          <w:rStyle w:val="VerbatimChar"/>
        </w:rPr>
        <w:t xml:space="preserve">--cpus=1 --memory=1g</w:t>
      </w:r>
      <w:r>
        <w:t xml:space="preserve"> </w:t>
      </w:r>
      <w:r>
        <w:t xml:space="preserve">on an ARM64</w:t>
      </w:r>
      <w:r>
        <w:t xml:space="preserve"> </w:t>
      </w:r>
      <w:r>
        <w:t xml:space="preserve">(Apple M4) host, with BLAS threads limited to one; the container’s control group</w:t>
      </w:r>
      <w:r>
        <w:t xml:space="preserve"> </w:t>
      </w:r>
      <w:r>
        <w:t xml:space="preserve">confirmed a 1.0-CPU quota and a 1</w:t>
      </w:r>
      <w:r>
        <w:t xml:space="preserve">,</w:t>
      </w:r>
      <w:r>
        <w:t xml:space="preserve">024 MB memory limit. Reported are fit time,</w:t>
      </w:r>
      <w:r>
        <w:t xml:space="preserve"> </w:t>
      </w:r>
      <w:r>
        <w:t xml:space="preserve">serialised model size, load time from the serialised form, single-reading latency</w:t>
      </w:r>
      <w:r>
        <w:t xml:space="preserve"> </w:t>
      </w:r>
      <w:r>
        <w:t xml:space="preserve">over 1</w:t>
      </w:r>
      <w:r>
        <w:t xml:space="preserve">,</w:t>
      </w:r>
      <w:r>
        <w:t xml:space="preserve">000 calls after one warm-up call (median, 95th and 99th percentiles), batch</w:t>
      </w:r>
      <w:r>
        <w:t xml:space="preserve"> </w:t>
      </w:r>
      <w:r>
        <w:t xml:space="preserve">throughput on 10</w:t>
      </w:r>
      <w:r>
        <w:t xml:space="preserve">,</w:t>
      </w:r>
      <w:r>
        <w:t xml:space="preserve">000 rows, and memory in two parts: the process’s resident memory</w:t>
      </w:r>
      <w:r>
        <w:t xml:space="preserve"> </w:t>
      </w:r>
      <w:r>
        <w:t xml:space="preserve">after the interpreter, libraries and data are loaded (</w:t>
      </w:r>
      <w:r>
        <w:rPr>
          <w:i/>
          <w:iCs/>
        </w:rPr>
        <w:t xml:space="preserve">baseline</w:t>
      </w:r>
      <w:r>
        <w:t xml:space="preserve">), and the peak</w:t>
      </w:r>
      <w:r>
        <w:t xml:space="preserve"> </w:t>
      </w:r>
      <w:r>
        <w:t xml:space="preserve">increase above that baseline while fitting and scoring (</w:t>
      </w:r>
      <w:r>
        <w:rPr>
          <w:i/>
          <w:iCs/>
        </w:rPr>
        <w:t xml:space="preserve">model memory</w:t>
      </w:r>
      <w:r>
        <w:t xml:space="preserve">, from</w:t>
      </w:r>
      <w:r>
        <w:t xml:space="preserve"> </w:t>
      </w:r>
      <w:r>
        <w:t xml:space="preserve">the kernel’s high-water mark reset after loading). The container-wide peak and</w:t>
      </w:r>
      <w:r>
        <w:t xml:space="preserve"> </w:t>
      </w:r>
      <w:r>
        <w:t xml:space="preserve">memory events are read from the control group.</w:t>
      </w:r>
      <w:r>
        <w:t xml:space="preserve"> </w:t>
      </w:r>
      <w:r>
        <w:t xml:space="preserve">The cost of recomputing the rolling features for one new reading from a</w:t>
      </w:r>
      <w:r>
        <w:t xml:space="preserve"> </w:t>
      </w:r>
      <w:r>
        <w:t xml:space="preserve">30-row buffer is reported separately. This is a capped container, not an edge</w:t>
      </w:r>
      <w:r>
        <w:t xml:space="preserve"> </w:t>
      </w:r>
      <w:r>
        <w:t xml:space="preserve">device: a physical device’s slower cores, thermal limits and I/O are not</w:t>
      </w:r>
      <w:r>
        <w:t xml:space="preserve"> </w:t>
      </w:r>
      <w:r>
        <w:t xml:space="preserve">represented, so latencies are lower bounds.</w:t>
      </w:r>
    </w:p>
    <w:bookmarkEnd w:id="45"/>
    <w:bookmarkEnd w:id="46"/>
    <w:bookmarkStart w:id="58" w:name="sec:results"/>
    <w:p>
      <w:pPr>
        <w:pStyle w:val="phmheading1"/>
      </w:pPr>
      <w:r>
        <w:t xml:space="preserve">Results</w:t>
      </w:r>
    </w:p>
    <w:bookmarkStart w:id="47" w:name="skab-under-the-pooled-protocol"/>
    <w:p>
      <w:pPr>
        <w:pStyle w:val="phmheading2"/>
      </w:pPr>
      <w:r>
        <w:t xml:space="preserve">SKAB under the pooled protocol</w:t>
      </w:r>
    </w:p>
    <w:p>
      <w:pPr>
        <w:pStyle w:val="phmbodytext"/>
      </w:pPr>
      <w:r>
        <w:t xml:space="preserve">Table </w:t>
      </w:r>
      <w:hyperlink w:anchor="tab:skab">
        <w:r>
          <w:rPr>
            <w:rStyle w:val="Hyperlink"/>
          </w:rPr>
          <w:t xml:space="preserve">2</w:t>
        </w:r>
      </w:hyperlink>
      <w:r>
        <w:t xml:space="preserve"> </w:t>
      </w:r>
      <w:r>
        <w:t xml:space="preserve">and Fig. </w:t>
      </w:r>
      <w:hyperlink w:anchor="fig:auroc">
        <w:r>
          <w:rPr>
            <w:rStyle w:val="Hyperlink"/>
          </w:rPr>
          <w:t xml:space="preserve">1</w:t>
        </w:r>
      </w:hyperlink>
      <w:r>
        <w:t xml:space="preserve"> </w:t>
      </w:r>
      <w:r>
        <w:t xml:space="preserve">(left) report SKAB under the pooled</w:t>
      </w:r>
      <w:r>
        <w:t xml:space="preserve"> </w:t>
      </w:r>
      <w:r>
        <w:t xml:space="preserve">protocol. Every detector is close to chance. The highest AUROC is Isolation</w:t>
      </w:r>
      <w:r>
        <w:t xml:space="preserve"> </w:t>
      </w:r>
      <w:r>
        <w:t xml:space="preserve">Forest’s 0.575 (95% CI 0.504–0.645; mean 0.575 ± 0.018 over ten seeds),</w:t>
      </w:r>
      <w:r>
        <w:t xml:space="preserve"> </w:t>
      </w:r>
      <w:r>
        <w:t xml:space="preserve">and its CI barely excludes 0.5; the CIs of the top five detectors overlap, and</w:t>
      </w:r>
      <w:r>
        <w:t xml:space="preserve"> </w:t>
      </w:r>
      <w:r>
        <w:t xml:space="preserve">the paired difference between the two best (Isolation Forest and COPOD) is</w:t>
      </w:r>
      <w:r>
        <w:t xml:space="preserve"> </w:t>
      </w:r>
      <w:r>
        <w:t xml:space="preserve">0.012 (CI −0.066 to 0.092). The LSTM autoencoder is below chance</w:t>
      </w:r>
      <w:r>
        <w:t xml:space="preserve"> </w:t>
      </w:r>
      <w:r>
        <w:t xml:space="preserve">(AUROC 0.442, three seeds within ± 0.001). With a calibrated threshold the</w:t>
      </w:r>
      <w:r>
        <w:t xml:space="preserve"> </w:t>
      </w:r>
      <w:r>
        <w:t xml:space="preserve">best MCC is 0.113 (COPOD; CI 0.045–0.190). The label-free rule gives MCC</w:t>
      </w:r>
      <w:r>
        <w:t xml:space="preserve"> </w:t>
      </w:r>
      <w:r>
        <w:t xml:space="preserve">within ± 0.05 of zero for every detector: thresholds learned from normal</w:t>
      </w:r>
      <w:r>
        <w:t xml:space="preserve"> </w:t>
      </w:r>
      <w:r>
        <w:t xml:space="preserve">data in this pooled setting do not separate faults.</w:t>
      </w:r>
    </w:p>
    <w:bookmarkEnd w:id="47"/>
    <w:bookmarkStart w:id="48" w:name="swat-under-the-standard-protocol"/>
    <w:p>
      <w:pPr>
        <w:pStyle w:val="phmheading2"/>
      </w:pPr>
      <w:r>
        <w:t xml:space="preserve">SWaT under the standard protocol</w:t>
      </w:r>
    </w:p>
    <w:p>
      <w:pPr>
        <w:pStyle w:val="phmbodytext"/>
      </w:pPr>
      <w:r>
        <w:t xml:space="preserve">Table </w:t>
      </w:r>
      <w:hyperlink w:anchor="tab:swat">
        <w:r>
          <w:rPr>
            <w:rStyle w:val="Hyperlink"/>
          </w:rPr>
          <w:t xml:space="preserve">3</w:t>
        </w:r>
      </w:hyperlink>
      <w:r>
        <w:t xml:space="preserve"> </w:t>
      </w:r>
      <w:r>
        <w:t xml:space="preserve">and Fig. </w:t>
      </w:r>
      <w:hyperlink w:anchor="fig:auroc">
        <w:r>
          <w:rPr>
            <w:rStyle w:val="Hyperlink"/>
          </w:rPr>
          <w:t xml:space="preserve">1</w:t>
        </w:r>
      </w:hyperlink>
      <w:r>
        <w:t xml:space="preserve"> </w:t>
      </w:r>
      <w:r>
        <w:t xml:space="preserve">report SWaT (official release, 25</w:t>
      </w:r>
      <w:r>
        <w:t xml:space="preserve"> </w:t>
      </w:r>
      <w:r>
        <w:t xml:space="preserve">sensors). All ten detectors rank attack rows well (AUROC 0.811–0.856) and their</w:t>
      </w:r>
      <w:r>
        <w:t xml:space="preserve"> </w:t>
      </w:r>
      <w:r>
        <w:t xml:space="preserve">CIs overlap almost completely; the difference between the top two (ECOD and COPOD) is</w:t>
      </w:r>
      <w:r>
        <w:t xml:space="preserve"> </w:t>
      </w:r>
      <w:r>
        <w:t xml:space="preserve">0.007 (CI −0.003 to 0.017). Isolation Forest’s AUROC over ten seeds is</w:t>
      </w:r>
      <w:r>
        <w:t xml:space="preserve"> </w:t>
      </w:r>
      <w:r>
        <w:t xml:space="preserve">0.819 ± 0.005. The LSTM autoencoder ranks attacks as well as the classical detectors</w:t>
      </w:r>
      <w:r>
        <w:t xml:space="preserve"> </w:t>
      </w:r>
      <w:r>
        <w:t xml:space="preserve">(AUROC 0.822, AUPRC 0.731).</w:t>
      </w:r>
    </w:p>
    <w:p>
      <w:pPr>
        <w:pStyle w:val="phmbodytext"/>
      </w:pPr>
      <w:r>
        <w:t xml:space="preserve">The detectors separate once a threshold is applied. With the label-free rule, which</w:t>
      </w:r>
      <w:r>
        <w:t xml:space="preserve"> </w:t>
      </w:r>
      <w:r>
        <w:t xml:space="preserve">targets 1% false alarms on held-out normal-week data, COPOD reaches MCC 0.628 (CI</w:t>
      </w:r>
      <w:r>
        <w:t xml:space="preserve"> </w:t>
      </w:r>
      <w:r>
        <w:t xml:space="preserve">0.488–0.730), Isolation Forest 0.539 and HBOS 0.463, with false-alarm rates of</w:t>
      </w:r>
      <w:r>
        <w:t xml:space="preserve"> </w:t>
      </w:r>
      <w:r>
        <w:t xml:space="preserve">0.1–11.8% on the attack period’s normal rows. The</w:t>
      </w:r>
      <w:r>
        <w:t xml:space="preserve"> </w:t>
      </w:r>
      <w:r>
        <w:rPr>
          <w:i/>
          <w:iCs/>
        </w:rPr>
        <w:t xml:space="preserve">z</w:t>
      </w:r>
      <w:r>
        <w:t xml:space="preserve">-score, One-Class SVM, LOF, PCA</w:t>
      </w:r>
      <w:r>
        <w:t xml:space="preserve"> </w:t>
      </w:r>
      <w:r>
        <w:t xml:space="preserve">reconstruction and the LSTM autoencoder instead raise alarms on 42–75% of the attack</w:t>
      </w:r>
      <w:r>
        <w:t xml:space="preserve"> </w:t>
      </w:r>
      <w:r>
        <w:t xml:space="preserve">period’s</w:t>
      </w:r>
      <w:r>
        <w:t xml:space="preserve"> </w:t>
      </w:r>
      <w:r>
        <w:rPr>
          <w:i/>
          <w:iCs/>
        </w:rPr>
        <w:t xml:space="preserve">normal</w:t>
      </w:r>
      <w:r>
        <w:t xml:space="preserve"> </w:t>
      </w:r>
      <w:r>
        <w:t xml:space="preserve">rows, although their thresholds gave exactly 1% on held-out</w:t>
      </w:r>
      <w:r>
        <w:t xml:space="preserve"> </w:t>
      </w:r>
      <w:r>
        <w:t xml:space="preserve">normal-week data. Their scores shift between the normal week and the attack week</w:t>
      </w:r>
      <w:r>
        <w:t xml:space="preserve"> </w:t>
      </w:r>
      <w:r>
        <w:t xml:space="preserve">independently of the attacks. The shift comes from SWaT’s chemical analysers: relative</w:t>
      </w:r>
      <w:r>
        <w:t xml:space="preserve"> </w:t>
      </w:r>
      <w:r>
        <w:t xml:space="preserve">to the training range, AIT402 is out of range on 98% of the attack period’s normal</w:t>
      </w:r>
      <w:r>
        <w:t xml:space="preserve"> </w:t>
      </w:r>
      <w:r>
        <w:t xml:space="preserve">rows, AIT201 on 73% and AIT501–504 on 53–58%. Detectors that combine all features</w:t>
      </w:r>
      <w:r>
        <w:t xml:space="preserve"> </w:t>
      </w:r>
      <w:r>
        <w:t xml:space="preserve">through distances or reconstructions inherit any single feature’s shift; detectors that</w:t>
      </w:r>
      <w:r>
        <w:t xml:space="preserve"> </w:t>
      </w:r>
      <w:r>
        <w:t xml:space="preserve">score each feature’s rarity separately (COPOD, ECOD, HBOS) or split on one feature at a</w:t>
      </w:r>
      <w:r>
        <w:t xml:space="preserve"> </w:t>
      </w:r>
      <w:r>
        <w:t xml:space="preserve">time (Isolation Forest) bound its influence. Elliptic Envelope shows the opposite failure,</w:t>
      </w:r>
      <w:r>
        <w:t xml:space="preserve"> </w:t>
      </w:r>
      <w:r>
        <w:t xml:space="preserve">with very few alarms (MCC 0.005). When a labelled third of the attack period is used to</w:t>
      </w:r>
      <w:r>
        <w:t xml:space="preserve"> </w:t>
      </w:r>
      <w:r>
        <w:t xml:space="preserve">calibrate thresholds, MCC on the remaining two thirds rises sharply for the detectors</w:t>
      </w:r>
      <w:r>
        <w:t xml:space="preserve"> </w:t>
      </w:r>
      <w:r>
        <w:t xml:space="preserve">whose label-free thresholds failed (One-Class SVM 0.822,</w:t>
      </w:r>
      <w:r>
        <w:t xml:space="preserve"> </w:t>
      </w:r>
      <w:r>
        <w:rPr>
          <w:i/>
          <w:iCs/>
        </w:rPr>
        <w:t xml:space="preserve">z</w:t>
      </w:r>
      <w:r>
        <w:t xml:space="preserve">-score 0.820, LOF</w:t>
      </w:r>
      <w:r>
        <w:t xml:space="preserve"> </w:t>
      </w:r>
      <w:r>
        <w:t xml:space="preserve">0.742), but not for PCA reconstruction (0.078) or the LSTM autoencoder (0.101).</w:t>
      </w:r>
    </w:p>
    <w:bookmarkEnd w:id="48"/>
    <w:bookmarkStart w:id="49" w:name="sec:hai"/>
    <w:p>
      <w:pPr>
        <w:pStyle w:val="phmheading2"/>
      </w:pPr>
      <w:r>
        <w:t xml:space="preserve">HAI</w:t>
      </w:r>
    </w:p>
    <w:p>
      <w:pPr>
        <w:pStyle w:val="phmbodytext"/>
      </w:pPr>
      <w:r>
        <w:t xml:space="preserve">Table </w:t>
      </w:r>
      <w:hyperlink w:anchor="tab:hai">
        <w:r>
          <w:rPr>
            <w:rStyle w:val="Hyperlink"/>
          </w:rPr>
          <w:t xml:space="preserve">4</w:t>
        </w:r>
      </w:hyperlink>
      <w:r>
        <w:t xml:space="preserve"> </w:t>
      </w:r>
      <w:r>
        <w:t xml:space="preserve">reports HAI. Unlike SWaT, the detectors do separate. PCA</w:t>
      </w:r>
      <w:r>
        <w:t xml:space="preserve"> </w:t>
      </w:r>
      <w:r>
        <w:t xml:space="preserve">reconstruction (AUROC 0.929, CI 0.899–0.954), LOF (0.920) and the LSTM</w:t>
      </w:r>
      <w:r>
        <w:t xml:space="preserve"> </w:t>
      </w:r>
      <w:r>
        <w:t xml:space="preserve">autoencoder (0.916) lead, followed by One-Class SVM and the</w:t>
      </w:r>
      <w:r>
        <w:t xml:space="preserve"> </w:t>
      </w:r>
      <w:r>
        <w:rPr>
          <w:i/>
          <w:iCs/>
        </w:rPr>
        <w:t xml:space="preserve">z</w:t>
      </w:r>
      <w:r>
        <w:t xml:space="preserve">-score (0.895);</w:t>
      </w:r>
      <w:r>
        <w:t xml:space="preserve"> </w:t>
      </w:r>
      <w:r>
        <w:t xml:space="preserve">the difference between the top two is 0.008 (CI −0.009 to 0.025). HBOS</w:t>
      </w:r>
      <w:r>
        <w:t xml:space="preserve"> </w:t>
      </w:r>
      <w:r>
        <w:t xml:space="preserve">(0.728) and Elliptic Envelope (0.663, CI 0.608–0.716) are clearly worse,</w:t>
      </w:r>
      <w:r>
        <w:t xml:space="preserve"> </w:t>
      </w:r>
      <w:r>
        <w:t xml:space="preserve">and Isolation Forest sits in between (0.837; 0.815 ± 0.009 over ten seeds).</w:t>
      </w:r>
      <w:r>
        <w:t xml:space="preserve"> </w:t>
      </w:r>
      <w:r>
        <w:t xml:space="preserve">Label-free thresholds transfer well on HAI: held-out normal data from the training</w:t>
      </w:r>
      <w:r>
        <w:t xml:space="preserve"> </w:t>
      </w:r>
      <w:r>
        <w:t xml:space="preserve">period predicted the test-period false-alarm rate closely (0.4–1.6% for every</w:t>
      </w:r>
      <w:r>
        <w:t xml:space="preserve"> </w:t>
      </w:r>
      <w:r>
        <w:t xml:space="preserve">classical detector against a 1% target; 9.1% for the LSTM autoencoder), and the</w:t>
      </w:r>
      <w:r>
        <w:t xml:space="preserve"> </w:t>
      </w:r>
      <w:r>
        <w:t xml:space="preserve">leading five detectors raised alarms in all 50 attacks. With these thresholds MCC is</w:t>
      </w:r>
      <w:r>
        <w:t xml:space="preserve"> </w:t>
      </w:r>
      <w:r>
        <w:t xml:space="preserve">0.597–0.627 for PCA reconstruction, LOF, One-Class SVM and the</w:t>
      </w:r>
      <w:r>
        <w:t xml:space="preserve"> </w:t>
      </w:r>
      <w:r>
        <w:rPr>
          <w:i/>
          <w:iCs/>
        </w:rPr>
        <w:t xml:space="preserve">z</w:t>
      </w:r>
      <w:r>
        <w:t xml:space="preserve">-score.</w:t>
      </w:r>
      <w:r>
        <w:t xml:space="preserve"> </w:t>
      </w:r>
      <w:r>
        <w:t xml:space="preserve">Calibrating on a labelled test file raises MCC on the remaining files only slightly</w:t>
      </w:r>
      <w:r>
        <w:t xml:space="preserve"> </w:t>
      </w:r>
      <w:r>
        <w:t xml:space="preserve">(by 0.05–0.06) for the leaders, but by 0.33 for the LSTM autoencoder, whose</w:t>
      </w:r>
      <w:r>
        <w:t xml:space="preserve"> </w:t>
      </w:r>
      <w:r>
        <w:t xml:space="preserve">label-free threshold was too low.</w:t>
      </w:r>
    </w:p>
    <w:p>
      <w:pPr>
        <w:pStyle w:val="phmbodytext"/>
      </w:pPr>
      <w:r>
        <w:t xml:space="preserve">Across the two plants, the detectors that lead differ: PCA reconstruction and LOF,</w:t>
      </w:r>
      <w:r>
        <w:t xml:space="preserve"> </w:t>
      </w:r>
      <w:r>
        <w:t xml:space="preserve">which failed under label-free thresholds on SWaT, lead on HAI, where no analyser drift of</w:t>
      </w:r>
      <w:r>
        <w:t xml:space="preserve"> </w:t>
      </w:r>
      <w:r>
        <w:t xml:space="preserve">the SWaT kind occurs and thresholds transfer; Elliptic Envelope trails on both.</w:t>
      </w:r>
    </w:p>
    <w:bookmarkEnd w:id="49"/>
    <w:bookmarkStart w:id="50" w:name="sec:wadi"/>
    <w:p>
      <w:pPr>
        <w:pStyle w:val="phmheading2"/>
      </w:pPr>
      <w:r>
        <w:t xml:space="preserve">WADI</w:t>
      </w:r>
    </w:p>
    <w:p>
      <w:pPr>
        <w:pStyle w:val="phmbodytext"/>
      </w:pPr>
      <w:r>
        <w:t xml:space="preserve">WADI is the hardest benchmark (Table </w:t>
      </w:r>
      <w:hyperlink w:anchor="tab:wadi">
        <w:r>
          <w:rPr>
            <w:rStyle w:val="Hyperlink"/>
          </w:rPr>
          <w:t xml:space="preserve">5</w:t>
        </w:r>
      </w:hyperlink>
      <w:r>
        <w:t xml:space="preserve">). With all 67 points, the</w:t>
      </w:r>
      <w:r>
        <w:t xml:space="preserve"> </w:t>
      </w:r>
      <w:r>
        <w:t xml:space="preserve">per-feature detectors lead (HBOS AUROC 0.741, Isolation Forest 0.720, COPOD and ECOD</w:t>
      </w:r>
      <w:r>
        <w:t xml:space="preserve"> </w:t>
      </w:r>
      <w:r>
        <w:t xml:space="preserve">0.71; Isolation Forest 0.725 ± 0.016 over ten seeds), while the</w:t>
      </w:r>
      <w:r>
        <w:t xml:space="preserve"> </w:t>
      </w:r>
      <w:r>
        <w:rPr>
          <w:i/>
          <w:iCs/>
        </w:rPr>
        <w:t xml:space="preserve">z</w:t>
      </w:r>
      <w:r>
        <w:t xml:space="preserve">-score, One-Class</w:t>
      </w:r>
      <w:r>
        <w:t xml:space="preserve"> </w:t>
      </w:r>
      <w:r>
        <w:t xml:space="preserve">SVM, LOF, PCA reconstruction, Elliptic Envelope and the LSTM autoencoder are at chance</w:t>
      </w:r>
      <w:r>
        <w:t xml:space="preserve"> </w:t>
      </w:r>
      <w:r>
        <w:t xml:space="preserve">(AUROC 0.46–0.52). These six detectors raise alarms on 55.8–56.1% of the attack</w:t>
      </w:r>
      <w:r>
        <w:t xml:space="preserve"> </w:t>
      </w:r>
      <w:r>
        <w:t xml:space="preserve">file’s normal rows under the label-free rule, and the near-identical rate points to a</w:t>
      </w:r>
      <w:r>
        <w:t xml:space="preserve"> </w:t>
      </w:r>
      <w:r>
        <w:t xml:space="preserve">single cause: the analyser 2B_AIT_002_PV is outside its training range on 55.5% of</w:t>
      </w:r>
      <w:r>
        <w:t xml:space="preserve"> </w:t>
      </w:r>
      <w:r>
        <w:t xml:space="preserve">those rows (2A_AIT_004_PV on 26%, 1_AIT_003_PV on 7%). Repeating the experiment</w:t>
      </w:r>
      <w:r>
        <w:t xml:space="preserve"> </w:t>
      </w:r>
      <w:r>
        <w:t xml:space="preserve">without these three analysers removes the effect: every detector’s label-free false-alarm</w:t>
      </w:r>
      <w:r>
        <w:t xml:space="preserve"> </w:t>
      </w:r>
      <w:r>
        <w:t xml:space="preserve">rate falls to 0.6–1.4%, AUROC moves into a common band of 0.650–0.748 with</w:t>
      </w:r>
      <w:r>
        <w:t xml:space="preserve"> </w:t>
      </w:r>
      <w:r>
        <w:t xml:space="preserve">overlapping CIs, and label-free MCC reaches 0.351 for the LSTM autoencoder and</w:t>
      </w:r>
      <w:r>
        <w:t xml:space="preserve"> </w:t>
      </w:r>
      <w:r>
        <w:t xml:space="preserve">0.18–0.23 for LOF, the</w:t>
      </w:r>
      <w:r>
        <w:t xml:space="preserve"> </w:t>
      </w:r>
      <w:r>
        <w:rPr>
          <w:i/>
          <w:iCs/>
        </w:rPr>
        <w:t xml:space="preserve">z</w:t>
      </w:r>
      <w:r>
        <w:t xml:space="preserve">-score, PCA reconstruction and One-Class SVM. Absolute</w:t>
      </w:r>
      <w:r>
        <w:t xml:space="preserve"> </w:t>
      </w:r>
      <w:r>
        <w:t xml:space="preserve">performance on WADI remains low, as other studies also find.</w:t>
      </w:r>
    </w:p>
    <w:bookmarkEnd w:id="50"/>
    <w:bookmarkStart w:id="57" w:name="sec:protocol"/>
    <w:p>
      <w:pPr>
        <w:pStyle w:val="phmheading2"/>
      </w:pPr>
      <w:r>
        <w:t xml:space="preserve">How much protocol choices change the conclusions</w:t>
      </w:r>
    </w:p>
    <w:bookmarkStart w:id="51" w:name="split-definition-swat."/>
    <w:p>
      <w:pPr>
        <w:pStyle w:val="phmheading4"/>
      </w:pPr>
      <w:r>
        <w:t xml:space="preserve">Split definition (SWaT).</w:t>
      </w:r>
    </w:p>
    <w:p>
      <w:pPr>
        <w:pStyle w:val="phmbodytext"/>
      </w:pPr>
      <w:r>
        <w:t xml:space="preserve">Scoring the same detectors with the same</w:t>
      </w:r>
      <w:r>
        <w:t xml:space="preserve"> </w:t>
      </w:r>
      <w:r>
        <w:t xml:space="preserve">code on the re-upload’s layout (the split of the initial analysis: train on the</w:t>
      </w:r>
      <w:r>
        <w:t xml:space="preserve"> </w:t>
      </w:r>
      <w:r>
        <w:t xml:space="preserve">normal rows between attacks, test on 31.5% attacks) gives AUROC 0.840–0.934</w:t>
      </w:r>
      <w:r>
        <w:t xml:space="preserve"> </w:t>
      </w:r>
      <w:r>
        <w:t xml:space="preserve">and reorders the detectors: HBOS ranks first there and last under the standard</w:t>
      </w:r>
      <w:r>
        <w:t xml:space="preserve"> </w:t>
      </w:r>
      <w:r>
        <w:t xml:space="preserve">split with the same 24 sensors (Fig. </w:t>
      </w:r>
      <w:hyperlink w:anchor="fig:protocol">
        <w:r>
          <w:rPr>
            <w:rStyle w:val="Hyperlink"/>
          </w:rPr>
          <w:t xml:space="preserve">2</w:t>
        </w:r>
      </w:hyperlink>
      <w:r>
        <w:t xml:space="preserve">, left). Under that layout the training data come</w:t>
      </w:r>
      <w:r>
        <w:t xml:space="preserve"> </w:t>
      </w:r>
      <w:r>
        <w:t xml:space="preserve">from the same five days as the test attacks, so the normal-week to attack-week</w:t>
      </w:r>
      <w:r>
        <w:t xml:space="preserve"> </w:t>
      </w:r>
      <w:r>
        <w:t xml:space="preserve">shift described above never appears in evaluation.</w:t>
      </w:r>
    </w:p>
    <w:bookmarkEnd w:id="51"/>
    <w:bookmarkStart w:id="52" w:name="data-copy-and-sensor-set-swat."/>
    <w:p>
      <w:pPr>
        <w:pStyle w:val="phmheading4"/>
      </w:pPr>
      <w:r>
        <w:t xml:space="preserve">Data copy and sensor set (SWaT).</w:t>
      </w:r>
    </w:p>
    <w:p>
      <w:pPr>
        <w:pStyle w:val="phmbodytext"/>
      </w:pPr>
      <w:r>
        <w:t xml:space="preserve">With the same 24 sensors, the standard</w:t>
      </w:r>
      <w:r>
        <w:t xml:space="preserve"> </w:t>
      </w:r>
      <w:r>
        <w:t xml:space="preserve">split rebuilt from the public re-upload and the official release give practically</w:t>
      </w:r>
      <w:r>
        <w:t xml:space="preserve"> </w:t>
      </w:r>
      <w:r>
        <w:t xml:space="preserve">identical results (every detector’s AUROC within 0.001, label-free MCC within 0.008),</w:t>
      </w:r>
      <w:r>
        <w:t xml:space="preserve"> </w:t>
      </w:r>
      <w:r>
        <w:t xml:space="preserve">so the reconstruction is faithful and the re-upload’s problem lies in how its files are</w:t>
      </w:r>
      <w:r>
        <w:t xml:space="preserve"> </w:t>
      </w:r>
      <w:r>
        <w:t xml:space="preserve">organised. The one real difference is the 25th sensor, the analyser AIT201, which the</w:t>
      </w:r>
      <w:r>
        <w:t xml:space="preserve"> </w:t>
      </w:r>
      <w:r>
        <w:t xml:space="preserve">re-upload leaves blank. Adding it leaves the ranking tied (AUROC 0.81–0.86) but</w:t>
      </w:r>
      <w:r>
        <w:t xml:space="preserve"> </w:t>
      </w:r>
      <w:r>
        <w:t xml:space="preserve">changes which thresholds survive: the</w:t>
      </w:r>
      <w:r>
        <w:t xml:space="preserve"> </w:t>
      </w:r>
      <w:r>
        <w:rPr>
          <w:i/>
          <w:iCs/>
        </w:rPr>
        <w:t xml:space="preserve">z</w:t>
      </w:r>
      <w:r>
        <w:t xml:space="preserve">-score’s label-free false-alarm rate rises from</w:t>
      </w:r>
      <w:r>
        <w:t xml:space="preserve"> </w:t>
      </w:r>
      <w:r>
        <w:t xml:space="preserve">1.4% to 42% (MCC 0.716 to 0.215) and One-Class SVM’s from 3.8% to 58% (MCC</w:t>
      </w:r>
      <w:r>
        <w:t xml:space="preserve"> </w:t>
      </w:r>
      <w:r>
        <w:t xml:space="preserve">0.660 to 0.184), while COPOD (MCC 0.592 to 0.628) and Isolation Forest (0.630 to</w:t>
      </w:r>
      <w:r>
        <w:t xml:space="preserve"> </w:t>
      </w:r>
      <w:r>
        <w:t xml:space="preserve">0.539) are barely affected. A single sensor therefore decides whether the simplest</w:t>
      </w:r>
      <w:r>
        <w:t xml:space="preserve"> </w:t>
      </w:r>
      <w:r>
        <w:t xml:space="preserve">detector looks dependable.</w:t>
      </w:r>
    </w:p>
    <w:bookmarkEnd w:id="52"/>
    <w:bookmarkStart w:id="53" w:name="threshold-rule-swat."/>
    <w:p>
      <w:pPr>
        <w:pStyle w:val="phmheading4"/>
      </w:pPr>
      <w:r>
        <w:t xml:space="preserve">Threshold rule (SWaT).</w:t>
      </w:r>
    </w:p>
    <w:p>
      <w:pPr>
        <w:pStyle w:val="phmbodytext"/>
      </w:pPr>
      <w:r>
        <w:t xml:space="preserve">The initial analysis tuned one contamination</w:t>
      </w:r>
      <w:r>
        <w:t xml:space="preserve"> </w:t>
      </w:r>
      <w:r>
        <w:t xml:space="preserve">value on Isolation Forest and applied it to every model. On the same layout,</w:t>
      </w:r>
      <w:r>
        <w:t xml:space="preserve"> </w:t>
      </w:r>
      <w:r>
        <w:t xml:space="preserve">per-model validation-MCC thresholds (with the revised detector settings of</w:t>
      </w:r>
      <w:r>
        <w:t xml:space="preserve"> </w:t>
      </w:r>
      <w:r>
        <w:t xml:space="preserve">Section </w:t>
      </w:r>
      <w:hyperlink w:anchor="sec:method">
        <w:r>
          <w:rPr>
            <w:rStyle w:val="Hyperlink"/>
          </w:rPr>
          <w:t xml:space="preserve">4</w:t>
        </w:r>
      </w:hyperlink>
      <w:r>
        <w:t xml:space="preserve">) raise the</w:t>
      </w:r>
      <w:r>
        <w:t xml:space="preserve"> </w:t>
      </w:r>
      <w:r>
        <w:rPr>
          <w:i/>
          <w:iCs/>
        </w:rPr>
        <w:t xml:space="preserve">z</w:t>
      </w:r>
      <w:r>
        <w:t xml:space="preserve">-score’s MCC from 0.180 to</w:t>
      </w:r>
      <w:r>
        <w:t xml:space="preserve"> </w:t>
      </w:r>
      <w:r>
        <w:t xml:space="preserve">0.844, PCA reconstruction’s from 0.002 to 0.834 and LOF’s from 0.105 to</w:t>
      </w:r>
      <w:r>
        <w:t xml:space="preserve"> </w:t>
      </w:r>
      <w:r>
        <w:t xml:space="preserve">0.830, while Elliptic Envelope, the initial winner at 0.766, moves only to</w:t>
      </w:r>
      <w:r>
        <w:t xml:space="preserve"> </w:t>
      </w:r>
      <w:r>
        <w:t xml:space="preserve">0.810. The initial ranking therefore reflected mainly the shared threshold,</w:t>
      </w:r>
      <w:r>
        <w:t xml:space="preserve"> </w:t>
      </w:r>
      <w:r>
        <w:t xml:space="preserve">not the detectors.</w:t>
      </w:r>
    </w:p>
    <w:bookmarkEnd w:id="53"/>
    <w:bookmarkStart w:id="54" w:name="training-protocol-skab."/>
    <w:p>
      <w:pPr>
        <w:pStyle w:val="phmheading4"/>
      </w:pPr>
      <w:r>
        <w:t xml:space="preserve">Training protocol (SKAB).</w:t>
      </w:r>
    </w:p>
    <w:p>
      <w:pPr>
        <w:pStyle w:val="phmbodytext"/>
      </w:pPr>
      <w:r>
        <w:t xml:space="preserve">Under the SKAB reference protocol (one</w:t>
      </w:r>
      <w:r>
        <w:t xml:space="preserve"> </w:t>
      </w:r>
      <w:r>
        <w:t xml:space="preserve">model per run, trained on its first 400 rows), the same detectors are far</w:t>
      </w:r>
      <w:r>
        <w:t xml:space="preserve"> </w:t>
      </w:r>
      <w:r>
        <w:t xml:space="preserve">better than under pooled training: mean per-run AUROC reaches 0.794</w:t>
      </w:r>
      <w:r>
        <w:t xml:space="preserve"> </w:t>
      </w:r>
      <w:r>
        <w:t xml:space="preserve">(PCA reconstruction), 0.785 (LOF) and 0.771 (One-Class SVM), against</w:t>
      </w:r>
      <w:r>
        <w:t xml:space="preserve"> </w:t>
      </w:r>
      <w:r>
        <w:t xml:space="preserve">0.489–0.575 pooled (Fig. </w:t>
      </w:r>
      <w:hyperlink w:anchor="fig:protocol">
        <w:r>
          <w:rPr>
            <w:rStyle w:val="Hyperlink"/>
          </w:rPr>
          <w:t xml:space="preserve">2</w:t>
        </w:r>
      </w:hyperlink>
      <w:r>
        <w:t xml:space="preserve">, right; Table </w:t>
      </w:r>
      <w:hyperlink w:anchor="tab:skabbench">
        <w:r>
          <w:rPr>
            <w:rStyle w:val="Hyperlink"/>
          </w:rPr>
          <w:t xml:space="preserve">6</w:t>
        </w:r>
      </w:hyperlink>
      <w:r>
        <w:t xml:space="preserve">).</w:t>
      </w:r>
      <w:r>
        <w:t xml:space="preserve"> </w:t>
      </w:r>
      <w:r>
        <w:t xml:space="preserve">The ranking inverts: Isolation Forest, the best pooled detector, is among the</w:t>
      </w:r>
      <w:r>
        <w:t xml:space="preserve"> </w:t>
      </w:r>
      <w:r>
        <w:t xml:space="preserve">weakest per run, and ECOD and COPOD fall to chance because, with only 400 training</w:t>
      </w:r>
      <w:r>
        <w:t xml:space="preserve"> </w:t>
      </w:r>
      <w:r>
        <w:t xml:space="preserve">rows and a 99th-percentile threshold, they almost never alarm. Of the first 400</w:t>
      </w:r>
      <w:r>
        <w:t xml:space="preserve"> </w:t>
      </w:r>
      <w:r>
        <w:t xml:space="preserve">rows, 2.1% are labelled anomalous, so this protocol trains on slightly</w:t>
      </w:r>
      <w:r>
        <w:t xml:space="preserve"> </w:t>
      </w:r>
      <w:r>
        <w:t xml:space="preserve">contaminated data, as in the reference implementation. Absolute numbers are not</w:t>
      </w:r>
      <w:r>
        <w:t xml:space="preserve"> </w:t>
      </w:r>
      <w:r>
        <w:t xml:space="preserve">directly comparable with the SKAB leaderboard (best F1 0.78 at a 13.6% false-alarm</w:t>
      </w:r>
      <w:r>
        <w:t xml:space="preserve"> </w:t>
      </w:r>
      <w:r>
        <w:t xml:space="preserve">rate for a convolutional autoencoder), because features, thresholds and post-processing</w:t>
      </w:r>
      <w:r>
        <w:t xml:space="preserve"> </w:t>
      </w:r>
      <w:r>
        <w:t xml:space="preserve">differ; detectors here reach similar F1 (0.72–0.73) only at much higher</w:t>
      </w:r>
      <w:r>
        <w:t xml:space="preserve"> </w:t>
      </w:r>
      <w:r>
        <w:t xml:space="preserve">false-alarm rates (47–71%), while Elliptic Envelope offers a more balanced</w:t>
      </w:r>
      <w:r>
        <w:t xml:space="preserve"> </w:t>
      </w:r>
      <w:r>
        <w:t xml:space="preserve">operating point (F1 0.644, false alarms 20.2%, MCC 0.361).</w:t>
      </w:r>
    </w:p>
    <w:bookmarkEnd w:id="54"/>
    <w:bookmarkStart w:id="55" w:name="threshold-rule-skab."/>
    <w:p>
      <w:pPr>
        <w:pStyle w:val="phmheading4"/>
      </w:pPr>
      <w:r>
        <w:t xml:space="preserve">Threshold rule (SKAB).</w:t>
      </w:r>
    </w:p>
    <w:p>
      <w:pPr>
        <w:pStyle w:val="phmbodytext"/>
      </w:pPr>
      <w:r>
        <w:t xml:space="preserve">On the pooled SKAB test set, Isolation</w:t>
      </w:r>
      <w:r>
        <w:t xml:space="preserve"> </w:t>
      </w:r>
      <w:r>
        <w:t xml:space="preserve">Forest’s MCC is 0.005 with the label-free rule, 0.097 with validation-MCC and</w:t>
      </w:r>
      <w:r>
        <w:t xml:space="preserve"> </w:t>
      </w:r>
      <w:r>
        <w:t xml:space="preserve">0.118 with validation-F1; the F1 rule buys its MCC with recall 0.71 at</w:t>
      </w:r>
      <w:r>
        <w:t xml:space="preserve"> </w:t>
      </w:r>
      <w:r>
        <w:t xml:space="preserve">higher false-alarm rates. Differences of this size are within the CIs.</w:t>
      </w:r>
    </w:p>
    <w:bookmarkEnd w:id="55"/>
    <w:bookmarkStart w:id="56" w:name="feature-choices."/>
    <w:p>
      <w:pPr>
        <w:pStyle w:val="phmheading4"/>
      </w:pPr>
      <w:r>
        <w:t xml:space="preserve">Feature choices.</w:t>
      </w:r>
    </w:p>
    <w:p>
      <w:pPr>
        <w:pStyle w:val="phmbodytext"/>
      </w:pPr>
      <w:r>
        <w:t xml:space="preserve">Removing the elapsed-time feature and computing</w:t>
      </w:r>
      <w:r>
        <w:t xml:space="preserve"> </w:t>
      </w:r>
      <w:r>
        <w:t xml:space="preserve">features before dropping fault rows changed SKAB AUROC by at most 0.02</w:t>
      </w:r>
      <w:r>
        <w:t xml:space="preserve"> </w:t>
      </w:r>
      <w:r>
        <w:t xml:space="preserve">(Isolation Forest 0.591 initial pipeline, 0.555 with elapsed time, 0.575</w:t>
      </w:r>
      <w:r>
        <w:t xml:space="preserve"> </w:t>
      </w:r>
      <w:r>
        <w:t xml:space="preserve">revised), well within the CIs; these corrections matter for validity, not for</w:t>
      </w:r>
      <w:r>
        <w:t xml:space="preserve"> </w:t>
      </w:r>
      <w:r>
        <w:t xml:space="preserve">the numbers.</w:t>
      </w:r>
    </w:p>
    <w:bookmarkEnd w:id="56"/>
    <w:bookmarkEnd w:id="57"/>
    <w:bookmarkEnd w:id="58"/>
    <w:bookmarkStart w:id="65" w:name="sec:drift"/>
    <w:p>
      <w:pPr>
        <w:pStyle w:val="phmheading1"/>
      </w:pPr>
      <w:r>
        <w:t xml:space="preserve">Drift and Retraining</w:t>
      </w:r>
    </w:p>
    <w:bookmarkStart w:id="59" w:name="does-normal-operation-drift"/>
    <w:p>
      <w:pPr>
        <w:pStyle w:val="phmheading4"/>
      </w:pPr>
      <w:r>
        <w:t xml:space="preserve">Does normal operation drift?</w:t>
      </w:r>
    </w:p>
    <w:p>
      <w:pPr>
        <w:pStyle w:val="phmbodytext"/>
      </w:pPr>
      <w:r>
        <w:t xml:space="preserve">Streaming SWaT’s genuine normal week</w:t>
      </w:r>
      <w:r>
        <w:t xml:space="preserve"> </w:t>
      </w:r>
      <w:r>
        <w:t xml:space="preserve">through a static Isolation Forest fitted on its first 14 hours, the share of</w:t>
      </w:r>
      <w:r>
        <w:t xml:space="preserve"> </w:t>
      </w:r>
      <w:r>
        <w:t xml:space="preserve">normal readings that raise an alarm, after a transient spike in the first day,</w:t>
      </w:r>
      <w:r>
        <w:t xml:space="preserve"> </w:t>
      </w:r>
      <w:r>
        <w:t xml:space="preserve">stays near the design rate of 1% for about two days and then jumps, at roughly</w:t>
      </w:r>
      <w:r>
        <w:t xml:space="preserve"> </w:t>
      </w:r>
      <w:r>
        <w:t xml:space="preserve">hour 48, to 40–94% for the rest of the week (mean 12% over the first 24</w:t>
      </w:r>
      <w:r>
        <w:t xml:space="preserve"> </w:t>
      </w:r>
      <w:r>
        <w:t xml:space="preserve">streamed hours, 76% over the last 24; Fig. </w:t>
      </w:r>
      <w:hyperlink w:anchor="fig:drift">
        <w:r>
          <w:rPr>
            <w:rStyle w:val="Hyperlink"/>
          </w:rPr>
          <w:t xml:space="preserve">3</w:t>
        </w:r>
      </w:hyperlink>
      <w:r>
        <w:t xml:space="preserve">, left). The change</w:t>
      </w:r>
      <w:r>
        <w:t xml:space="preserve"> </w:t>
      </w:r>
      <w:r>
        <w:t xml:space="preserve">is a step, consistent with a change in operating regime, rather than a slow trend. The</w:t>
      </w:r>
      <w:r>
        <w:t xml:space="preserve"> </w:t>
      </w:r>
      <w:r>
        <w:t xml:space="preserve">Elliptic Envelope fitted on the same window does not show this: its false-alarm</w:t>
      </w:r>
      <w:r>
        <w:t xml:space="preserve"> </w:t>
      </w:r>
      <w:r>
        <w:t xml:space="preserve">rate over the normal week is 0.9%. Drift is therefore real, but whether it</w:t>
      </w:r>
      <w:r>
        <w:t xml:space="preserve"> </w:t>
      </w:r>
      <w:r>
        <w:t xml:space="preserve">matters depends on the detector. Isolation Forest operates on all 120 raw-scale</w:t>
      </w:r>
      <w:r>
        <w:t xml:space="preserve"> </w:t>
      </w:r>
      <w:r>
        <w:t xml:space="preserve">features, whereas the Elliptic Envelope operates on ten whitened principal</w:t>
      </w:r>
      <w:r>
        <w:t xml:space="preserve"> </w:t>
      </w:r>
      <w:r>
        <w:t xml:space="preserve">components; a plausible, untested explanation is that slow level changes in</w:t>
      </w:r>
      <w:r>
        <w:t xml:space="preserve"> </w:t>
      </w:r>
      <w:r>
        <w:t xml:space="preserve">individual sensors fall mostly outside those components.</w:t>
      </w:r>
    </w:p>
    <w:bookmarkEnd w:id="59"/>
    <w:bookmarkStart w:id="60" w:name="retraining-budget."/>
    <w:p>
      <w:pPr>
        <w:pStyle w:val="phmheading4"/>
      </w:pPr>
      <w:r>
        <w:t xml:space="preserve">Retraining budget.</w:t>
      </w:r>
    </w:p>
    <w:p>
      <w:pPr>
        <w:pStyle w:val="phmbodytext"/>
      </w:pPr>
      <w:r>
        <w:t xml:space="preserve">A retrain</w:t>
      </w:r>
      <w:r>
        <w:t xml:space="preserve"> </w:t>
      </w:r>
      <w:r>
        <w:rPr>
          <w:i/>
          <w:iCs/>
        </w:rPr>
        <w:t xml:space="preserve">attempt</w:t>
      </w:r>
      <w:r>
        <w:t xml:space="preserve"> </w:t>
      </w:r>
      <w:r>
        <w:t xml:space="preserve">is a batch on which the</w:t>
      </w:r>
      <w:r>
        <w:t xml:space="preserve"> </w:t>
      </w:r>
      <w:r>
        <w:t xml:space="preserve">policy fires; it becomes a</w:t>
      </w:r>
      <w:r>
        <w:t xml:space="preserve"> </w:t>
      </w:r>
      <w:r>
        <w:rPr>
          <w:i/>
          <w:iCs/>
        </w:rPr>
        <w:t xml:space="preserve">refit</w:t>
      </w:r>
      <w:r>
        <w:t xml:space="preserve"> </w:t>
      </w:r>
      <w:r>
        <w:t xml:space="preserve">only if the selected five-hour window holds</w:t>
      </w:r>
      <w:r>
        <w:t xml:space="preserve"> </w:t>
      </w:r>
      <w:r>
        <w:t xml:space="preserve">more than 1</w:t>
      </w:r>
      <w:r>
        <w:t xml:space="preserve">,</w:t>
      </w:r>
      <w:r>
        <w:t xml:space="preserve">000 rows, otherwise the current model is kept. To compare policies at</w:t>
      </w:r>
      <w:r>
        <w:t xml:space="preserve"> </w:t>
      </w:r>
      <w:r>
        <w:t xml:space="preserve">equal cost, the periodic policy was run every</w:t>
      </w:r>
      <w:r>
        <w:t xml:space="preserve"> </w:t>
      </w:r>
      <m:oMath>
        <m:r>
          <m:t>P</m:t>
        </m:r>
        <m:r>
          <m:rPr>
            <m:sty m:val="p"/>
          </m:rPr>
          <m:t>∈</m:t>
        </m:r>
        <m:r>
          <m:rPr>
            <m:sty m:val="p"/>
          </m:rPr>
          <m:t>{</m:t>
        </m:r>
        <m:r>
          <m:t>1</m:t>
        </m:r>
        <m:r>
          <m:rPr>
            <m:sty m:val="p"/>
          </m:rPr>
          <m:t>,</m:t>
        </m:r>
        <m:r>
          <m:t>2</m:t>
        </m:r>
        <m:r>
          <m:rPr>
            <m:sty m:val="p"/>
          </m:rPr>
          <m:t>,</m:t>
        </m:r>
        <m:r>
          <m:t>3</m:t>
        </m:r>
        <m:r>
          <m:rPr>
            <m:sty m:val="p"/>
          </m:rPr>
          <m:t>,</m:t>
        </m:r>
        <m:r>
          <m:t>4</m:t>
        </m:r>
        <m:r>
          <m:rPr>
            <m:sty m:val="p"/>
          </m:rPr>
          <m:t>,</m:t>
        </m:r>
        <m:r>
          <m:t>6</m:t>
        </m:r>
        <m:r>
          <m:rPr>
            <m:sty m:val="p"/>
          </m:rPr>
          <m:t>,</m:t>
        </m:r>
        <m:r>
          <m:t>12</m:t>
        </m:r>
        <m:r>
          <m:rPr>
            <m:sty m:val="p"/>
          </m:rPr>
          <m:t>,</m:t>
        </m:r>
        <m:r>
          <m:t>24</m:t>
        </m:r>
        <m:r>
          <m:rPr>
            <m:sty m:val="p"/>
          </m:rPr>
          <m:t>,</m:t>
        </m:r>
        <m:r>
          <m:t>48</m:t>
        </m:r>
        <m:r>
          <m:rPr>
            <m:sty m:val="p"/>
          </m:rPr>
          <m:t>}</m:t>
        </m:r>
      </m:oMath>
      <w:r>
        <w:t xml:space="preserve"> </w:t>
      </w:r>
      <w:r>
        <w:t xml:space="preserve">batches,</w:t>
      </w:r>
      <w:r>
        <w:t xml:space="preserve"> </w:t>
      </w:r>
      <w:r>
        <w:t xml:space="preserve">which traces how detection skill grows with the number of refits; the KS-triggered</w:t>
      </w:r>
      <w:r>
        <w:t xml:space="preserve"> </w:t>
      </w:r>
      <w:r>
        <w:t xml:space="preserve">policy is then read against that curve (Table </w:t>
      </w:r>
      <w:hyperlink w:anchor="tab:drift">
        <w:r>
          <w:rPr>
            <w:rStyle w:val="Hyperlink"/>
          </w:rPr>
          <w:t xml:space="preserve">7</w:t>
        </w:r>
      </w:hyperlink>
      <w:r>
        <w:t xml:space="preserve">, Fig. </w:t>
      </w:r>
      <w:hyperlink w:anchor="fig:drift">
        <w:r>
          <w:rPr>
            <w:rStyle w:val="Hyperlink"/>
          </w:rPr>
          <w:t xml:space="preserve">3</w:t>
        </w:r>
      </w:hyperlink>
      <w:r>
        <w:t xml:space="preserve">).</w:t>
      </w:r>
    </w:p>
    <w:bookmarkEnd w:id="60"/>
    <w:bookmarkStart w:id="61" w:name="with-labelled-retraining-data."/>
    <w:p>
      <w:pPr>
        <w:pStyle w:val="phmheading4"/>
      </w:pPr>
      <w:r>
        <w:t xml:space="preserve">With labelled retraining data.</w:t>
      </w:r>
    </w:p>
    <w:p>
      <w:pPr>
        <w:pStyle w:val="phmbodytext"/>
      </w:pPr>
      <w:r>
        <w:t xml:space="preserve">When retraining rows are selected with</w:t>
      </w:r>
      <w:r>
        <w:t xml:space="preserve"> </w:t>
      </w:r>
      <w:r>
        <w:t xml:space="preserve">ground-truth labels (as in the initial analysis), Isolation Forest’s skill over the</w:t>
      </w:r>
      <w:r>
        <w:t xml:space="preserve"> </w:t>
      </w:r>
      <w:r>
        <w:t xml:space="preserve">attack period rises steadily with the number of refits: MCC 0.167 static (73% of</w:t>
      </w:r>
      <w:r>
        <w:t xml:space="preserve"> </w:t>
      </w:r>
      <w:r>
        <w:t xml:space="preserve">normal rows flagged), 0.276 with 5 refits, 0.380 with 40, 0.456 with 80, 0.485</w:t>
      </w:r>
      <w:r>
        <w:t xml:space="preserve"> </w:t>
      </w:r>
      <w:r>
        <w:t xml:space="preserve">with 120 and 0.537 when refitting after every batch (239). The KS-triggered policy</w:t>
      </w:r>
      <w:r>
        <w:t xml:space="preserve"> </w:t>
      </w:r>
      <w:r>
        <w:t xml:space="preserve">reached 0.488 with 74 refits (79 attempts), above the periodic curve at 80 refits</w:t>
      </w:r>
      <w:r>
        <w:t xml:space="preserve"> </w:t>
      </w:r>
      <w:r>
        <w:t xml:space="preserve">and level with periodic retraining at 120 refits, so triggering buys a modest saving in</w:t>
      </w:r>
      <w:r>
        <w:t xml:space="preserve"> </w:t>
      </w:r>
      <w:r>
        <w:t xml:space="preserve">the number of refits. For the Elliptic Envelope, no budget changes the outcome: MCC</w:t>
      </w:r>
      <w:r>
        <w:t xml:space="preserve"> </w:t>
      </w:r>
      <w:r>
        <w:t xml:space="preserve">0.707–0.731 at every periodic budget and 0.709 for the KS policy, against 0.723</w:t>
      </w:r>
      <w:r>
        <w:t xml:space="preserve"> </w:t>
      </w:r>
      <w:r>
        <w:t xml:space="preserve">for the static model.</w:t>
      </w:r>
    </w:p>
    <w:bookmarkEnd w:id="61"/>
    <w:bookmarkStart w:id="62" w:name="without-labels-retraining-can-fail."/>
    <w:p>
      <w:pPr>
        <w:pStyle w:val="phmheading4"/>
      </w:pPr>
      <w:r>
        <w:t xml:space="preserve">Without labels, retraining can fail.</w:t>
      </w:r>
    </w:p>
    <w:p>
      <w:pPr>
        <w:pStyle w:val="phmbodytext"/>
      </w:pPr>
      <w:r>
        <w:t xml:space="preserve">A deployed detector does not know</w:t>
      </w:r>
      <w:r>
        <w:t xml:space="preserve"> </w:t>
      </w:r>
      <w:r>
        <w:t xml:space="preserve">which recent rows are normal. When Isolation Forest retrains on the rows it did</w:t>
      </w:r>
      <w:r>
        <w:t xml:space="preserve"> </w:t>
      </w:r>
      <w:r>
        <w:rPr>
          <w:i/>
          <w:iCs/>
        </w:rPr>
        <w:t xml:space="preserve">not</w:t>
      </w:r>
      <w:r>
        <w:t xml:space="preserve"> </w:t>
      </w:r>
      <w:r>
        <w:t xml:space="preserve">flag, it enters a self-reinforcing failure: once it flags most rows, too few</w:t>
      </w:r>
      <w:r>
        <w:t xml:space="preserve"> </w:t>
      </w:r>
      <w:r>
        <w:t xml:space="preserve">remain to refit on, attempts stop turning into refits (193 attempts gave 52 refits</w:t>
      </w:r>
      <w:r>
        <w:t xml:space="preserve"> </w:t>
      </w:r>
      <w:r>
        <w:t xml:space="preserve">under the KS policy; 61 attempts gave 10 refits at</w:t>
      </w:r>
      <w:r>
        <w:t xml:space="preserve"> </w:t>
      </w:r>
      <m:oMath>
        <m:r>
          <m:t>P</m:t>
        </m:r>
        <m:r>
          <m:rPr>
            <m:sty m:val="p"/>
          </m:rPr>
          <m:t>=</m:t>
        </m:r>
        <m:r>
          <m:t>4</m:t>
        </m:r>
      </m:oMath>
      <w:r>
        <w:t xml:space="preserve">), and the detector ends up</w:t>
      </w:r>
      <w:r>
        <w:t xml:space="preserve"> </w:t>
      </w:r>
      <w:r>
        <w:t xml:space="preserve">flagging everything (MCC 0.000–0.033 at every budget except</w:t>
      </w:r>
      <w:r>
        <w:t xml:space="preserve"> </w:t>
      </w:r>
      <m:oMath>
        <m:r>
          <m:t>P</m:t>
        </m:r>
        <m:r>
          <m:rPr>
            <m:sty m:val="p"/>
          </m:rPr>
          <m:t>=</m:t>
        </m:r>
        <m:r>
          <m:t>2</m:t>
        </m:r>
      </m:oMath>
      <w:r>
        <w:t xml:space="preserve">, 0.286).</w:t>
      </w:r>
      <w:r>
        <w:t xml:space="preserve"> </w:t>
      </w:r>
      <w:r>
        <w:t xml:space="preserve">Retraining on all recent rows avoids that collapse but absorbs the attacks into the</w:t>
      </w:r>
      <w:r>
        <w:t xml:space="preserve"> </w:t>
      </w:r>
      <w:r>
        <w:t xml:space="preserve">model of normal behaviour: recall falls to 0.27–0.51 and MCC to 0.074–0.303</w:t>
      </w:r>
      <w:r>
        <w:t xml:space="preserve"> </w:t>
      </w:r>
      <w:r>
        <w:t xml:space="preserve">whenever refits are frequent. The Elliptic Envelope tolerates predicted-normal selection</w:t>
      </w:r>
      <w:r>
        <w:t xml:space="preserve"> </w:t>
      </w:r>
      <w:r>
        <w:t xml:space="preserve">at every budget (MCC 0.683–0.748). With all-rows retraining it loses skill only when</w:t>
      </w:r>
      <w:r>
        <w:t xml:space="preserve"> </w:t>
      </w:r>
      <w:r>
        <w:t xml:space="preserve">refits are frequent (MCC 0.332–0.530 with 40 or more refits, 0.683–0.717 with</w:t>
      </w:r>
      <w:r>
        <w:t xml:space="preserve"> </w:t>
      </w:r>
      <w:r>
        <w:t xml:space="preserve">20 or fewer), because each frequent refit takes in a larger share of the ongoing attacks.</w:t>
      </w:r>
      <w:r>
        <w:t xml:space="preserve"> </w:t>
      </w:r>
      <w:r>
        <w:t xml:space="preserve">The benefit of adaptation reported in the initial analysis therefore depended on labels</w:t>
      </w:r>
      <w:r>
        <w:t xml:space="preserve"> </w:t>
      </w:r>
      <w:r>
        <w:t xml:space="preserve">that a deployment would not have.</w:t>
      </w:r>
    </w:p>
    <w:bookmarkEnd w:id="62"/>
    <w:bookmarkStart w:id="63" w:name="cost."/>
    <w:p>
      <w:pPr>
        <w:pStyle w:val="phmheading4"/>
      </w:pPr>
      <w:r>
        <w:t xml:space="preserve">Cost.</w:t>
      </w:r>
    </w:p>
    <w:p>
      <w:pPr>
        <w:pStyle w:val="phmbodytext"/>
      </w:pPr>
      <w:r>
        <w:t xml:space="preserve">On the host, an Isolation Forest refit on five hours of data took</w:t>
      </w:r>
      <w:r>
        <w:t xml:space="preserve"> </w:t>
      </w:r>
      <w:r>
        <w:t xml:space="preserve">about 0.08 s and an Elliptic Envelope refit about 1.1 s. The KS check (120</w:t>
      </w:r>
      <w:r>
        <w:t xml:space="preserve"> </w:t>
      </w:r>
      <w:r>
        <w:t xml:space="preserve">features against a reference of up to 50</w:t>
      </w:r>
      <w:r>
        <w:t xml:space="preserve">,</w:t>
      </w:r>
      <w:r>
        <w:t xml:space="preserve">000 rows) cost 51–117 s of CPU over the</w:t>
      </w:r>
      <w:r>
        <w:t xml:space="preserve"> </w:t>
      </w:r>
      <w:r>
        <w:t xml:space="preserve">244 batches in the label-selected and all-rows runs (0.2–0.5 s per batch) and</w:t>
      </w:r>
      <w:r>
        <w:t xml:space="preserve"> </w:t>
      </w:r>
      <w:r>
        <w:t xml:space="preserve">483 s in the collapsing predicted-normal run. For Isolation Forest the checks alone</w:t>
      </w:r>
      <w:r>
        <w:t xml:space="preserve"> </w:t>
      </w:r>
      <w:r>
        <w:t xml:space="preserve">cost five times more than refitting after every batch (96 s against 19 s, oracle</w:t>
      </w:r>
      <w:r>
        <w:t xml:space="preserve"> </w:t>
      </w:r>
      <w:r>
        <w:t xml:space="preserve">selection), and every-batch refitting gave the best detection, so a drift trigger does not</w:t>
      </w:r>
      <w:r>
        <w:t xml:space="preserve"> </w:t>
      </w:r>
      <w:r>
        <w:t xml:space="preserve">pay. A trigger can pay only when refits are expensive relative to the check, as for the</w:t>
      </w:r>
      <w:r>
        <w:t xml:space="preserve"> </w:t>
      </w:r>
      <w:r>
        <w:t xml:space="preserve">Elliptic Envelope, which in this stream did not need retraining at all.</w:t>
      </w:r>
    </w:p>
    <w:bookmarkEnd w:id="63"/>
    <w:bookmarkStart w:id="64" w:name="Xd7d25b9c0df2252dbd801df005ae6a6423dae33"/>
    <w:p>
      <w:pPr>
        <w:pStyle w:val="phmheading4"/>
      </w:pPr>
      <w:r>
        <w:t xml:space="preserve">A note on the Elliptic Envelope’s instability.</w:t>
      </w:r>
    </w:p>
    <w:p>
      <w:pPr>
        <w:pStyle w:val="phmbodytext"/>
      </w:pPr>
      <w:r>
        <w:t xml:space="preserve">In this streaming</w:t>
      </w:r>
      <w:r>
        <w:t xml:space="preserve"> </w:t>
      </w:r>
      <w:r>
        <w:t xml:space="preserve">setting the static Elliptic Envelope, fitted on 14 hours, reaches MCC 0.723,</w:t>
      </w:r>
      <w:r>
        <w:t xml:space="preserve"> </w:t>
      </w:r>
      <w:r>
        <w:t xml:space="preserve">yet in Table </w:t>
      </w:r>
      <w:hyperlink w:anchor="tab:swat">
        <w:r>
          <w:rPr>
            <w:rStyle w:val="Hyperlink"/>
          </w:rPr>
          <w:t xml:space="preserve">3</w:t>
        </w:r>
      </w:hyperlink>
      <w:r>
        <w:t xml:space="preserve">, fitted on the full normal week with its threshold</w:t>
      </w:r>
      <w:r>
        <w:t xml:space="preserve"> </w:t>
      </w:r>
      <w:r>
        <w:t xml:space="preserve">set on the week’s last 15%, its label-free MCC is 0.008. The two runs differ</w:t>
      </w:r>
      <w:r>
        <w:t xml:space="preserve"> </w:t>
      </w:r>
      <w:r>
        <w:t xml:space="preserve">only in the training window and threshold-calibration data. One consistent reading</w:t>
      </w:r>
      <w:r>
        <w:t xml:space="preserve"> </w:t>
      </w:r>
      <w:r>
        <w:t xml:space="preserve">is that drift within the normal week inflates the end-of-week scores used for</w:t>
      </w:r>
      <w:r>
        <w:t xml:space="preserve"> </w:t>
      </w:r>
      <w:r>
        <w:t xml:space="preserve">calibration, producing a threshold too high to fire. Either way, a detector</w:t>
      </w:r>
      <w:r>
        <w:t xml:space="preserve"> </w:t>
      </w:r>
      <w:r>
        <w:t xml:space="preserve">whose performance swings this much with the calibration window is fragile in</w:t>
      </w:r>
      <w:r>
        <w:t xml:space="preserve"> </w:t>
      </w:r>
      <w:r>
        <w:t xml:space="preserve">deployment, a property a single benchmark number hides.</w:t>
      </w:r>
    </w:p>
    <w:bookmarkEnd w:id="64"/>
    <w:bookmarkEnd w:id="65"/>
    <w:bookmarkStart w:id="66" w:name="sec:edge"/>
    <w:p>
      <w:pPr>
        <w:pStyle w:val="phmheading1"/>
      </w:pPr>
      <w:r>
        <w:t xml:space="preserve">Resource Cost per Reading</w:t>
      </w:r>
    </w:p>
    <w:p>
      <w:pPr>
        <w:pStyle w:val="phmbodytext"/>
      </w:pPr>
      <w:r>
        <w:t xml:space="preserve">Table </w:t>
      </w:r>
      <w:hyperlink w:anchor="tab:edge">
        <w:r>
          <w:rPr>
            <w:rStyle w:val="Hyperlink"/>
          </w:rPr>
          <w:t xml:space="preserve">8</w:t>
        </w:r>
      </w:hyperlink>
      <w:r>
        <w:t xml:space="preserve"> </w:t>
      </w:r>
      <w:r>
        <w:t xml:space="preserve">and Fig. </w:t>
      </w:r>
      <w:hyperlink w:anchor="fig:edge">
        <w:r>
          <w:rPr>
            <w:rStyle w:val="Hyperlink"/>
          </w:rPr>
          <w:t xml:space="preserve">4</w:t>
        </w:r>
      </w:hyperlink>
      <w:r>
        <w:t xml:space="preserve"> </w:t>
      </w:r>
      <w:r>
        <w:t xml:space="preserve">report the cost of each detector</w:t>
      </w:r>
      <w:r>
        <w:t xml:space="preserve"> </w:t>
      </w:r>
      <w:r>
        <w:t xml:space="preserve">fitted on SWaT-shaped data (120 features; 50</w:t>
      </w:r>
      <w:r>
        <w:t xml:space="preserve">,</w:t>
      </w:r>
      <w:r>
        <w:t xml:space="preserve">000 normal rows) inside the</w:t>
      </w:r>
      <w:r>
        <w:t xml:space="preserve"> </w:t>
      </w:r>
      <w:r>
        <w:t xml:space="preserve">one-CPU, 1 GB ARM64 container. Single-reading latency spans more than five orders of</w:t>
      </w:r>
      <w:r>
        <w:t xml:space="preserve"> </w:t>
      </w:r>
      <w:r>
        <w:t xml:space="preserve">magnitude. The</w:t>
      </w:r>
      <w:r>
        <w:t xml:space="preserve"> </w:t>
      </w:r>
      <w:r>
        <w:rPr>
          <w:i/>
          <w:iCs/>
        </w:rPr>
        <w:t xml:space="preserve">z</w:t>
      </w:r>
      <w:r>
        <w:t xml:space="preserve">-score scores a reading in 0.002 ms; PCA reconstruction, HBOS,</w:t>
      </w:r>
      <w:r>
        <w:t xml:space="preserve"> </w:t>
      </w:r>
      <w:r>
        <w:t xml:space="preserve">Elliptic Envelope and One-Class SVM take 0.05–0.16 ms; LOF 0.89 ms;</w:t>
      </w:r>
      <w:r>
        <w:t xml:space="preserve"> </w:t>
      </w:r>
      <w:r>
        <w:t xml:space="preserve">Isolation Forest 2.3 ms, dominated by per-call overhead across its 100 trees,</w:t>
      </w:r>
      <w:r>
        <w:t xml:space="preserve"> </w:t>
      </w:r>
      <w:r>
        <w:t xml:space="preserve">since its batch throughput is about 850,000 rows/s. ECOD and COPOD, as</w:t>
      </w:r>
      <w:r>
        <w:t xml:space="preserve"> </w:t>
      </w:r>
      <w:r>
        <w:t xml:space="preserve">implemented in PyOD, keep their training data and rescore against it on every</w:t>
      </w:r>
      <w:r>
        <w:t xml:space="preserve"> </w:t>
      </w:r>
      <w:r>
        <w:t xml:space="preserve">call: 698 and 739 ms per reading and 235 MB models. Above a baseline of</w:t>
      </w:r>
      <w:r>
        <w:t xml:space="preserve"> </w:t>
      </w:r>
      <w:r>
        <w:t xml:space="preserve">about 444 MB (Python, libraries and data), the detectors themselves needed</w:t>
      </w:r>
      <w:r>
        <w:t xml:space="preserve"> </w:t>
      </w:r>
      <w:r>
        <w:t xml:space="preserve">71–228 MB, except ECOD and COPOD (516 and 527 MB). The container’s memory</w:t>
      </w:r>
      <w:r>
        <w:t xml:space="preserve"> </w:t>
      </w:r>
      <w:r>
        <w:t xml:space="preserve">use reached its 1 GB limit only during the ECOD and COPOD runs: the kernel recorded</w:t>
      </w:r>
      <w:r>
        <w:t xml:space="preserve"> </w:t>
      </w:r>
      <w:r>
        <w:t xml:space="preserve">3</w:t>
      </w:r>
      <w:r>
        <w:t xml:space="preserve">,</w:t>
      </w:r>
      <w:r>
        <w:t xml:space="preserve">127 reclaim events at the limit and no out-of-memory kills, so the cap was</w:t>
      </w:r>
      <w:r>
        <w:t xml:space="preserve"> </w:t>
      </w:r>
      <w:r>
        <w:t xml:space="preserve">enforced and both completed. On SKAB-shaped data (40 features) the pattern is the</w:t>
      </w:r>
      <w:r>
        <w:t xml:space="preserve"> </w:t>
      </w:r>
      <w:r>
        <w:t xml:space="preserve">same at smaller scale (Isolation Forest 2.3 ms; ECOD and COPOD 118–125 ms,</w:t>
      </w:r>
      <w:r>
        <w:t xml:space="preserve"> </w:t>
      </w:r>
      <w:r>
        <w:t xml:space="preserve">39 MB models, about 260 MB model memory). The LSTM autoencoder takes 0.78 ms</w:t>
      </w:r>
      <w:r>
        <w:t xml:space="preserve"> </w:t>
      </w:r>
      <w:r>
        <w:t xml:space="preserve">per 30-second window with 58k parameters, but needs a deep-learning runtime (peak</w:t>
      </w:r>
      <w:r>
        <w:t xml:space="preserve"> </w:t>
      </w:r>
      <w:r>
        <w:t xml:space="preserve">process memory 335 MB for inference alone). Recomputing the rolling features for</w:t>
      </w:r>
      <w:r>
        <w:t xml:space="preserve"> </w:t>
      </w:r>
      <w:r>
        <w:t xml:space="preserve">one new reading from a 30-row buffer with the pipeline’s pandas code costs</w:t>
      </w:r>
      <w:r>
        <w:t xml:space="preserve"> </w:t>
      </w:r>
      <w:r>
        <w:t xml:space="preserve">3.2 ms, more than any detector except ECOD and COPOD, so in a streaming</w:t>
      </w:r>
      <w:r>
        <w:t xml:space="preserve"> </w:t>
      </w:r>
      <w:r>
        <w:t xml:space="preserve">deployment incremental feature updates would matter more than the choice among the</w:t>
      </w:r>
      <w:r>
        <w:t xml:space="preserve"> </w:t>
      </w:r>
      <w:r>
        <w:t xml:space="preserve">fast detectors. These are lower bounds for a physical device. (An earlier</w:t>
      </w:r>
      <w:r>
        <w:t xml:space="preserve"> </w:t>
      </w:r>
      <w:r>
        <w:t xml:space="preserve">measurement in forked child processes over-counted memory, because a forked child’s</w:t>
      </w:r>
      <w:r>
        <w:t xml:space="preserve"> </w:t>
      </w:r>
      <w:r>
        <w:t xml:space="preserve">resident set includes pages shared with its parent; it is not used here.)</w:t>
      </w:r>
    </w:p>
    <w:bookmarkEnd w:id="66"/>
    <w:bookmarkStart w:id="71" w:name="sec:discussion"/>
    <w:p>
      <w:pPr>
        <w:pStyle w:val="phmheading1"/>
      </w:pPr>
      <w:r>
        <w:t xml:space="preserve">Discussion</w:t>
      </w:r>
    </w:p>
    <w:p>
      <w:pPr>
        <w:pStyle w:val="phmbodytext"/>
      </w:pPr>
      <w:r>
        <w:t xml:space="preserve">Table </w:t>
      </w:r>
      <w:hyperlink w:anchor="tab:synth">
        <w:r>
          <w:rPr>
            <w:rStyle w:val="Hyperlink"/>
          </w:rPr>
          <w:t xml:space="preserve">9</w:t>
        </w:r>
      </w:hyperlink>
      <w:r>
        <w:t xml:space="preserve"> </w:t>
      </w:r>
      <w:r>
        <w:t xml:space="preserve">condenses what each protocol choice did to the measured outcome</w:t>
      </w:r>
      <w:r>
        <w:t xml:space="preserve"> </w:t>
      </w:r>
      <w:r>
        <w:t xml:space="preserve">and what it implies for someone selecting or deploying a detector.</w:t>
      </w:r>
    </w:p>
    <w:bookmarkStart w:id="67" w:name="Xb88320ee1889f19835286e53343e5f4f8f52577"/>
    <w:p>
      <w:pPr>
        <w:pStyle w:val="phmheading4"/>
      </w:pPr>
      <w:r>
        <w:t xml:space="preserve">Ranking quality is not the bottleneck; thresholds and sensors are.</w:t>
      </w:r>
    </w:p>
    <w:p>
      <w:pPr>
        <w:pStyle w:val="phmbodytext"/>
      </w:pPr>
      <w:r>
        <w:t xml:space="preserve">On SWaT, ten detectors that span statistical, distance, density, tree, copula and</w:t>
      </w:r>
      <w:r>
        <w:t xml:space="preserve"> </w:t>
      </w:r>
      <w:r>
        <w:t xml:space="preserve">recurrent families are statistically indistinguishable in AUROC, and on WADI they become</w:t>
      </w:r>
      <w:r>
        <w:t xml:space="preserve"> </w:t>
      </w:r>
      <w:r>
        <w:t xml:space="preserve">so once three drifting analysers are removed. This agrees with large benchmark studies</w:t>
      </w:r>
      <w:r>
        <w:t xml:space="preserve"> </w:t>
      </w:r>
      <w:r>
        <w:t xml:space="preserve">that find no consistent winner and strong simple baselines</w:t>
      </w:r>
      <w:r>
        <w:t xml:space="preserve"> </w:t>
      </w:r>
      <w:r>
        <w:t xml:space="preserve">(Audibert et al., 2022; Sarfraz et al., 2024). What separates detectors in use is whether a threshold</w:t>
      </w:r>
      <w:r>
        <w:t xml:space="preserve"> </w:t>
      </w:r>
      <w:r>
        <w:t xml:space="preserve">set on normal data still works later. On both water plants the decisive factor was the</w:t>
      </w:r>
      <w:r>
        <w:t xml:space="preserve"> </w:t>
      </w:r>
      <w:r>
        <w:t xml:space="preserve">chemical analysers, whose readings left their training range between the normal and the</w:t>
      </w:r>
      <w:r>
        <w:t xml:space="preserve"> </w:t>
      </w:r>
      <w:r>
        <w:t xml:space="preserve">attack recordings: detectors that combine all features through distances or</w:t>
      </w:r>
      <w:r>
        <w:t xml:space="preserve"> </w:t>
      </w:r>
      <w:r>
        <w:t xml:space="preserve">reconstructions inherited that shift and raised alarms on roughly half or more of normal</w:t>
      </w:r>
      <w:r>
        <w:t xml:space="preserve"> </w:t>
      </w:r>
      <w:r>
        <w:t xml:space="preserve">readings, while detectors that bound each feature’s influence (COPOD, ECOD, HBOS,</w:t>
      </w:r>
      <w:r>
        <w:t xml:space="preserve"> </w:t>
      </w:r>
      <w:r>
        <w:t xml:space="preserve">Isolation Forest) did not. On HAI, where no comparable shift occurred, thresholds</w:t>
      </w:r>
      <w:r>
        <w:t xml:space="preserve"> </w:t>
      </w:r>
      <w:r>
        <w:t xml:space="preserve">transferred and the distance-based detectors led. Which detector is best is therefore a</w:t>
      </w:r>
      <w:r>
        <w:t xml:space="preserve"> </w:t>
      </w:r>
      <w:r>
        <w:t xml:space="preserve">property of the plant, its sensors and the protocol together. For a deployment this</w:t>
      </w:r>
      <w:r>
        <w:t xml:space="preserve"> </w:t>
      </w:r>
      <w:r>
        <w:t xml:space="preserve">suggests two practical checks before choosing a detector: compare recent sensor ranges</w:t>
      </w:r>
      <w:r>
        <w:t xml:space="preserve"> </w:t>
      </w:r>
      <w:r>
        <w:t xml:space="preserve">with the training ranges, and evaluate thresholds on normal data recorded after the</w:t>
      </w:r>
      <w:r>
        <w:t xml:space="preserve"> </w:t>
      </w:r>
      <w:r>
        <w:t xml:space="preserve">training period.</w:t>
      </w:r>
    </w:p>
    <w:bookmarkEnd w:id="67"/>
    <w:bookmarkStart w:id="68" w:name="why-the-initial-conclusions-changed."/>
    <w:p>
      <w:pPr>
        <w:pStyle w:val="phmheading4"/>
      </w:pPr>
      <w:r>
        <w:t xml:space="preserve">Why the initial conclusions changed.</w:t>
      </w:r>
    </w:p>
    <w:p>
      <w:pPr>
        <w:pStyle w:val="phmbodytext"/>
      </w:pPr>
      <w:r>
        <w:t xml:space="preserve">Three protocol choices in the</w:t>
      </w:r>
      <w:r>
        <w:t xml:space="preserve"> </w:t>
      </w:r>
      <w:r>
        <w:t xml:space="preserve">initial analysis each favoured a particular answer. Training on the attack period’s</w:t>
      </w:r>
      <w:r>
        <w:t xml:space="preserve"> </w:t>
      </w:r>
      <w:r>
        <w:t xml:space="preserve">own normal rows removed the normal-week to attack-week shift from the evaluation.</w:t>
      </w:r>
      <w:r>
        <w:t xml:space="preserve"> </w:t>
      </w:r>
      <w:r>
        <w:t xml:space="preserve">A contamination value tuned on Isolation Forest and shared by all detectors made</w:t>
      </w:r>
      <w:r>
        <w:t xml:space="preserve"> </w:t>
      </w:r>
      <w:r>
        <w:t xml:space="preserve">detectors with differently scaled scores look poor. Retraining on</w:t>
      </w:r>
      <w:r>
        <w:t xml:space="preserve"> </w:t>
      </w:r>
      <w:r>
        <w:t xml:space="preserve">ground-truth-normal rows made adaptation look free of risk. None of these</w:t>
      </w:r>
      <w:r>
        <w:t xml:space="preserve"> </w:t>
      </w:r>
      <w:r>
        <w:t xml:space="preserve">choices is unusual, and each was documented in the code. Their effect became</w:t>
      </w:r>
      <w:r>
        <w:t xml:space="preserve"> </w:t>
      </w:r>
      <w:r>
        <w:t xml:space="preserve">visible only when the same detectors were rerun under alternative protocols.</w:t>
      </w:r>
      <w:r>
        <w:t xml:space="preserve"> </w:t>
      </w:r>
      <w:r>
        <w:t xml:space="preserve">Studies that compare detectors should therefore report at least one alternative</w:t>
      </w:r>
      <w:r>
        <w:t xml:space="preserve"> </w:t>
      </w:r>
      <w:r>
        <w:t xml:space="preserve">threshold rule and state where their training and test data come from in time.</w:t>
      </w:r>
    </w:p>
    <w:bookmarkEnd w:id="68"/>
    <w:bookmarkStart w:id="69" w:name="what-adaptation-needs."/>
    <w:p>
      <w:pPr>
        <w:pStyle w:val="phmheading4"/>
      </w:pPr>
      <w:r>
        <w:t xml:space="preserve">What adaptation needs.</w:t>
      </w:r>
    </w:p>
    <w:p>
      <w:pPr>
        <w:pStyle w:val="phmbodytext"/>
      </w:pPr>
      <w:r>
        <w:t xml:space="preserve">Normal operation does drift, and some</w:t>
      </w:r>
      <w:r>
        <w:t xml:space="preserve"> </w:t>
      </w:r>
      <w:r>
        <w:t xml:space="preserve">detectors are much more sensitive to it than others. Where retraining helps, it</w:t>
      </w:r>
      <w:r>
        <w:t xml:space="preserve"> </w:t>
      </w:r>
      <w:r>
        <w:t xml:space="preserve">helps only if the retraining data are clean; with label-free selection Isolation</w:t>
      </w:r>
      <w:r>
        <w:t xml:space="preserve"> </w:t>
      </w:r>
      <w:r>
        <w:t xml:space="preserve">Forest either collapsed into flagging everything or learned the attacks as</w:t>
      </w:r>
      <w:r>
        <w:t xml:space="preserve"> </w:t>
      </w:r>
      <w:r>
        <w:t xml:space="preserve">normal. In practice this argues for one of three things: retraining data vetted</w:t>
      </w:r>
      <w:r>
        <w:t xml:space="preserve"> </w:t>
      </w:r>
      <w:r>
        <w:t xml:space="preserve">by an operator; a slow-changing detector (here, the Elliptic Envelope on whitened</w:t>
      </w:r>
      <w:r>
        <w:t xml:space="preserve"> </w:t>
      </w:r>
      <w:r>
        <w:t xml:space="preserve">components), whose static form was as good as any adaptive variant; or adaptation</w:t>
      </w:r>
      <w:r>
        <w:t xml:space="preserve"> </w:t>
      </w:r>
      <w:r>
        <w:t xml:space="preserve">of the threshold rather than the model. For cheap models such as Isolation Forest, a</w:t>
      </w:r>
      <w:r>
        <w:t xml:space="preserve"> </w:t>
      </w:r>
      <w:r>
        <w:t xml:space="preserve">drift test can cost more than the retrain it is meant to save.</w:t>
      </w:r>
    </w:p>
    <w:bookmarkEnd w:id="69"/>
    <w:bookmarkStart w:id="70" w:name="cost.-1"/>
    <w:p>
      <w:pPr>
        <w:pStyle w:val="phmheading4"/>
      </w:pPr>
      <w:r>
        <w:t xml:space="preserve">Cost.</w:t>
      </w:r>
    </w:p>
    <w:p>
      <w:pPr>
        <w:pStyle w:val="phmbodytext"/>
      </w:pPr>
      <w:r>
        <w:t xml:space="preserve">Single-reading latencies span almost six orders of magnitude, from</w:t>
      </w:r>
      <w:r>
        <w:t xml:space="preserve"> </w:t>
      </w:r>
      <w:r>
        <w:t xml:space="preserve">microseconds (</w:t>
      </w:r>
      <w:r>
        <w:rPr>
          <w:i/>
          <w:iCs/>
        </w:rPr>
        <w:t xml:space="preserve">z</w:t>
      </w:r>
      <w:r>
        <w:t xml:space="preserve">-score) to about 700 ms (ECOD and COPOD in PyOD on SWaT, which store and</w:t>
      </w:r>
      <w:r>
        <w:t xml:space="preserve"> </w:t>
      </w:r>
      <w:r>
        <w:t xml:space="preserve">rescore against their training data), and model sizes from 1 KB to 235 MB. The</w:t>
      </w:r>
      <w:r>
        <w:t xml:space="preserve"> </w:t>
      </w:r>
      <w:r>
        <w:t xml:space="preserve">batch-amortised figures used in the initial analysis (around 0.002 ms per row for</w:t>
      </w:r>
      <w:r>
        <w:t xml:space="preserve"> </w:t>
      </w:r>
      <w:r>
        <w:t xml:space="preserve">Isolation Forest) understate the real single-reading cost (about 2.3–2.8 ms)</w:t>
      </w:r>
      <w:r>
        <w:t xml:space="preserve"> </w:t>
      </w:r>
      <w:r>
        <w:t xml:space="preserve">by three orders of magnitude, because per-call overhead dominates. For a monitor that</w:t>
      </w:r>
      <w:r>
        <w:t xml:space="preserve"> </w:t>
      </w:r>
      <w:r>
        <w:t xml:space="preserve">scores one reading per second, all detectors except possibly ECOD and COPOD fit</w:t>
      </w:r>
      <w:r>
        <w:t xml:space="preserve"> </w:t>
      </w:r>
      <w:r>
        <w:t xml:space="preserve">comfortably; the deciding constraints are memory and threshold stability, not</w:t>
      </w:r>
      <w:r>
        <w:t xml:space="preserve"> </w:t>
      </w:r>
      <w:r>
        <w:t xml:space="preserve">speed.</w:t>
      </w:r>
    </w:p>
    <w:bookmarkEnd w:id="70"/>
    <w:bookmarkEnd w:id="71"/>
    <w:bookmarkStart w:id="72" w:name="sec:limits"/>
    <w:p>
      <w:pPr>
        <w:pStyle w:val="phmheading1"/>
      </w:pPr>
      <w:r>
        <w:t xml:space="preserve">Threats to Validity and Limitations</w:t>
      </w:r>
    </w:p>
    <w:p>
      <w:pPr>
        <w:numPr>
          <w:ilvl w:val="0"/>
          <w:numId w:val="1003"/>
        </w:numPr>
      </w:pPr>
      <w:r>
        <w:rPr>
          <w:b/>
          <w:bCs/>
        </w:rPr>
        <w:t xml:space="preserve">Dataset versions.</w:t>
      </w:r>
      <w:r>
        <w:t xml:space="preserve"> </w:t>
      </w:r>
      <w:r>
        <w:t xml:space="preserve">SWaT and WADI results use the official iTrust releases</w:t>
      </w:r>
      <w:r>
        <w:t xml:space="preserve"> </w:t>
      </w:r>
      <w:r>
        <w:t xml:space="preserve">(SWaT A1 &amp; A2, December 2015; WADI A2, 2019). Later SWaT and WADI campaigns, with</w:t>
      </w:r>
      <w:r>
        <w:t xml:space="preserve"> </w:t>
      </w:r>
      <w:r>
        <w:t xml:space="preserve">different attacks and plant configurations, were not evaluated. The drift study and the</w:t>
      </w:r>
      <w:r>
        <w:t xml:space="preserve"> </w:t>
      </w:r>
      <w:r>
        <w:t xml:space="preserve">cost benchmark used SWaT; the cost benchmark used the re-upload’s 24 sensors, which does</w:t>
      </w:r>
      <w:r>
        <w:t xml:space="preserve"> </w:t>
      </w:r>
      <w:r>
        <w:t xml:space="preserve">not affect timing materially.</w:t>
      </w:r>
    </w:p>
    <w:p>
      <w:pPr>
        <w:numPr>
          <w:ilvl w:val="0"/>
          <w:numId w:val="1003"/>
        </w:numPr>
      </w:pPr>
      <w:r>
        <w:rPr>
          <w:b/>
          <w:bCs/>
        </w:rPr>
        <w:t xml:space="preserve">Process coverage.</w:t>
      </w:r>
      <w:r>
        <w:t xml:space="preserve"> </w:t>
      </w:r>
      <w:r>
        <w:t xml:space="preserve">SKAB and SWaT are water processes; HAI adds</w:t>
      </w:r>
      <w:r>
        <w:t xml:space="preserve"> </w:t>
      </w:r>
      <w:r>
        <w:t xml:space="preserve">turbine and boiler processes but through a hardware-in-the-loop simulator. Rotating</w:t>
      </w:r>
      <w:r>
        <w:t xml:space="preserve"> </w:t>
      </w:r>
      <w:r>
        <w:t xml:space="preserve">machinery under real wear, electrical faults and naturally occurring (rather than</w:t>
      </w:r>
      <w:r>
        <w:t xml:space="preserve"> </w:t>
      </w:r>
      <w:r>
        <w:t xml:space="preserve">induced or scripted) anomalies are not covered; WADI (Ahmed et al., 2017) and run-to-failure</w:t>
      </w:r>
      <w:r>
        <w:t xml:space="preserve"> </w:t>
      </w:r>
      <w:r>
        <w:t xml:space="preserve">machinery data are natural next steps. The drift and cost studies were run on SWaT</w:t>
      </w:r>
      <w:r>
        <w:t xml:space="preserve"> </w:t>
      </w:r>
      <w:r>
        <w:t xml:space="preserve">only.</w:t>
      </w:r>
    </w:p>
    <w:p>
      <w:pPr>
        <w:numPr>
          <w:ilvl w:val="0"/>
          <w:numId w:val="1003"/>
        </w:numPr>
      </w:pPr>
      <w:r>
        <w:rPr>
          <w:b/>
          <w:bCs/>
        </w:rPr>
        <w:t xml:space="preserve">Detector configurations.</w:t>
      </w:r>
      <w:r>
        <w:t xml:space="preserve"> </w:t>
      </w:r>
      <w:r>
        <w:t xml:space="preserve">Hyperparameters other than thresholds were</w:t>
      </w:r>
      <w:r>
        <w:t xml:space="preserve"> </w:t>
      </w:r>
      <w:r>
        <w:t xml:space="preserve">fixed at common defaults; One-Class SVM and LOF were trained on a 20</w:t>
      </w:r>
      <w:r>
        <w:t xml:space="preserve">,</w:t>
      </w:r>
      <w:r>
        <w:t xml:space="preserve">000-row</w:t>
      </w:r>
      <w:r>
        <w:t xml:space="preserve"> </w:t>
      </w:r>
      <w:r>
        <w:t xml:space="preserve">subsample on SWaT and HAI, and ECOD and COPOD on a 100</w:t>
      </w:r>
      <w:r>
        <w:t xml:space="preserve">,</w:t>
      </w:r>
      <w:r>
        <w:t xml:space="preserve">000-row subsample on HAI; the LSTM autoencoder is small and was run with one seed on</w:t>
      </w:r>
      <w:r>
        <w:t xml:space="preserve"> </w:t>
      </w:r>
      <w:r>
        <w:t xml:space="preserve">SWaT. Larger or tuned deep models were not tested.</w:t>
      </w:r>
    </w:p>
    <w:p>
      <w:pPr>
        <w:numPr>
          <w:ilvl w:val="0"/>
          <w:numId w:val="1003"/>
        </w:numPr>
      </w:pPr>
      <w:r>
        <w:rPr>
          <w:b/>
          <w:bCs/>
        </w:rPr>
        <w:t xml:space="preserve">Metrics.</w:t>
      </w:r>
      <w:r>
        <w:t xml:space="preserve"> </w:t>
      </w:r>
      <w:r>
        <w:t xml:space="preserve">Event recall and median delay are reported, but</w:t>
      </w:r>
      <w:r>
        <w:t xml:space="preserve"> </w:t>
      </w:r>
      <w:r>
        <w:t xml:space="preserve">range-aware metrics such as VUS-PR (Paparrizos et al., 2022) were not computed.</w:t>
      </w:r>
      <w:r>
        <w:t xml:space="preserve"> </w:t>
      </w:r>
      <w:r>
        <w:t xml:space="preserve">Bootstrap blocks (files, hours) reduce but do not remove dependence between blocks.</w:t>
      </w:r>
    </w:p>
    <w:p>
      <w:pPr>
        <w:numPr>
          <w:ilvl w:val="0"/>
          <w:numId w:val="1003"/>
        </w:numPr>
      </w:pPr>
      <w:r>
        <w:rPr>
          <w:b/>
          <w:bCs/>
        </w:rPr>
        <w:t xml:space="preserve">Drift design.</w:t>
      </w:r>
      <w:r>
        <w:t xml:space="preserve"> </w:t>
      </w:r>
      <w:r>
        <w:t xml:space="preserve">One stream, one window length (five hours), one KS</w:t>
      </w:r>
      <w:r>
        <w:t xml:space="preserve"> </w:t>
      </w:r>
      <w:r>
        <w:t xml:space="preserve">threshold rule and two detectors were studied; ADWIN-style detectors and threshold-only</w:t>
      </w:r>
      <w:r>
        <w:t xml:space="preserve"> </w:t>
      </w:r>
      <w:r>
        <w:t xml:space="preserve">adaptation were not compared. Policies are compared without confidence intervals</w:t>
      </w:r>
      <w:r>
        <w:t xml:space="preserve"> </w:t>
      </w:r>
      <w:r>
        <w:t xml:space="preserve">because the stream is a single realisation.</w:t>
      </w:r>
    </w:p>
    <w:p>
      <w:pPr>
        <w:numPr>
          <w:ilvl w:val="0"/>
          <w:numId w:val="1003"/>
        </w:numPr>
      </w:pPr>
      <w:r>
        <w:rPr>
          <w:b/>
          <w:bCs/>
        </w:rPr>
        <w:t xml:space="preserve">Resource measurements.</w:t>
      </w:r>
      <w:r>
        <w:t xml:space="preserve"> </w:t>
      </w:r>
      <w:r>
        <w:t xml:space="preserve">A Docker container capped at one CPU and</w:t>
      </w:r>
      <w:r>
        <w:t xml:space="preserve"> </w:t>
      </w:r>
      <w:r>
        <w:t xml:space="preserve">1 GB on an Apple M4 host is not a physical edge device: slower cores, thermal</w:t>
      </w:r>
      <w:r>
        <w:t xml:space="preserve"> </w:t>
      </w:r>
      <w:r>
        <w:t xml:space="preserve">limits and real I/O are absent, so latencies are lower bounds. Model memory is the peak</w:t>
      </w:r>
      <w:r>
        <w:t xml:space="preserve"> </w:t>
      </w:r>
      <w:r>
        <w:t xml:space="preserve">increase above a measured baseline and includes transient scoring buffers. Energy was not measured.</w:t>
      </w:r>
    </w:p>
    <w:p>
      <w:pPr>
        <w:numPr>
          <w:ilvl w:val="0"/>
          <w:numId w:val="1003"/>
        </w:numPr>
      </w:pPr>
      <w:r>
        <w:rPr>
          <w:b/>
          <w:bCs/>
        </w:rPr>
        <w:t xml:space="preserve">SKAB protocols.</w:t>
      </w:r>
      <w:r>
        <w:t xml:space="preserve"> </w:t>
      </w:r>
      <w:r>
        <w:t xml:space="preserve">The SKAB reference protocol trains on rows of which</w:t>
      </w:r>
      <w:r>
        <w:t xml:space="preserve"> </w:t>
      </w:r>
      <w:r>
        <w:t xml:space="preserve">2.1% are labelled anomalous, and its label-free threshold is set from each</w:t>
      </w:r>
      <w:r>
        <w:t xml:space="preserve"> </w:t>
      </w:r>
      <w:r>
        <w:t xml:space="preserve">run’s own training scores; results are not directly comparable with the SKAB</w:t>
      </w:r>
      <w:r>
        <w:t xml:space="preserve"> </w:t>
      </w:r>
      <w:r>
        <w:t xml:space="preserve">leaderboard, whose features, thresholds and post-processing differ.</w:t>
      </w:r>
    </w:p>
    <w:p>
      <w:pPr>
        <w:numPr>
          <w:ilvl w:val="0"/>
          <w:numId w:val="1003"/>
        </w:numPr>
      </w:pPr>
      <w:r>
        <w:rPr>
          <w:b/>
          <w:bCs/>
        </w:rPr>
        <w:t xml:space="preserve">Search scope.</w:t>
      </w:r>
      <w:r>
        <w:t xml:space="preserve"> </w:t>
      </w:r>
      <w:r>
        <w:t xml:space="preserve">The literature search used a general web search and</w:t>
      </w:r>
      <w:r>
        <w:t xml:space="preserve"> </w:t>
      </w:r>
      <w:r>
        <w:t xml:space="preserve">publisher pages rather than database-level systematic queries; statements that a</w:t>
      </w:r>
      <w:r>
        <w:t xml:space="preserve"> </w:t>
      </w:r>
      <w:r>
        <w:t xml:space="preserve">comparison was not found are limited to that search.</w:t>
      </w:r>
    </w:p>
    <w:bookmarkEnd w:id="72"/>
    <w:bookmarkStart w:id="73" w:name="sec:conclusion"/>
    <w:p>
      <w:pPr>
        <w:pStyle w:val="phmheading1"/>
      </w:pPr>
      <w:r>
        <w:t xml:space="preserve">Conclusion</w:t>
      </w:r>
    </w:p>
    <w:p>
      <w:pPr>
        <w:pStyle w:val="phmbodytext"/>
      </w:pPr>
      <w:r>
        <w:t xml:space="preserve">Evaluating ten lightweight and deep detectors on SKAB, SWaT, WADI and HAI under</w:t>
      </w:r>
      <w:r>
        <w:t xml:space="preserve"> </w:t>
      </w:r>
      <w:r>
        <w:t xml:space="preserve">documented, standard protocols answered the four research questions as follows.</w:t>
      </w:r>
      <w:r>
        <w:t xml:space="preserve"> </w:t>
      </w:r>
      <w:r>
        <w:t xml:space="preserve">(RQ1) On SWaT the detectors rank attacks equally well (AUROC 0.81–0.86, overlapping</w:t>
      </w:r>
      <w:r>
        <w:t xml:space="preserve"> </w:t>
      </w:r>
      <w:r>
        <w:t xml:space="preserve">intervals), and on WADI they do so once three drifting analysers are removed; on HAI</w:t>
      </w:r>
      <w:r>
        <w:t xml:space="preserve"> </w:t>
      </w:r>
      <w:r>
        <w:t xml:space="preserve">they separate, with PCA reconstruction and LOF leading (0.93, 0.92) and Elliptic</w:t>
      </w:r>
      <w:r>
        <w:t xml:space="preserve"> </w:t>
      </w:r>
      <w:r>
        <w:t xml:space="preserve">Envelope trailing (0.66); on SKAB with pooled training, none is reliably better than</w:t>
      </w:r>
      <w:r>
        <w:t xml:space="preserve"> </w:t>
      </w:r>
      <w:r>
        <w:t xml:space="preserve">chance. (RQ2) Protocol choices change the conclusions more than detector choice does:</w:t>
      </w:r>
      <w:r>
        <w:t xml:space="preserve"> </w:t>
      </w:r>
      <w:r>
        <w:t xml:space="preserve">the SWaT split definition reorders the detectors, a shared contamination value had made</w:t>
      </w:r>
      <w:r>
        <w:t xml:space="preserve"> </w:t>
      </w:r>
      <w:r>
        <w:t xml:space="preserve">the</w:t>
      </w:r>
      <w:r>
        <w:t xml:space="preserve"> </w:t>
      </w:r>
      <w:r>
        <w:rPr>
          <w:i/>
          <w:iCs/>
        </w:rPr>
        <w:t xml:space="preserve">z</w:t>
      </w:r>
      <w:r>
        <w:t xml:space="preserve">-score look useless (MCC 0.18 against 0.84 with its own threshold), SKAB’s</w:t>
      </w:r>
      <w:r>
        <w:t xml:space="preserve"> </w:t>
      </w:r>
      <w:r>
        <w:t xml:space="preserve">per-run protocol inverts the pooled ranking, and a single analyser decides whether</w:t>
      </w:r>
      <w:r>
        <w:t xml:space="preserve"> </w:t>
      </w:r>
      <w:r>
        <w:t xml:space="preserve">label-free thresholds survive (the</w:t>
      </w:r>
      <w:r>
        <w:t xml:space="preserve"> </w:t>
      </w:r>
      <w:r>
        <w:rPr>
          <w:i/>
          <w:iCs/>
        </w:rPr>
        <w:t xml:space="preserve">z</w:t>
      </w:r>
      <w:r>
        <w:t xml:space="preserve">-score’s false alarms 1.4% without AIT201,</w:t>
      </w:r>
      <w:r>
        <w:t xml:space="preserve"> </w:t>
      </w:r>
      <w:r>
        <w:t xml:space="preserve">42% with it). With label-free thresholds on the official SWaT data, COPOD, Isolation</w:t>
      </w:r>
      <w:r>
        <w:t xml:space="preserve"> </w:t>
      </w:r>
      <w:r>
        <w:t xml:space="preserve">Forest and HBOS were the most dependable (MCC 0.46–0.63). (RQ3) Normal operation drifts enough to break a static Isolation</w:t>
      </w:r>
      <w:r>
        <w:t xml:space="preserve"> </w:t>
      </w:r>
      <w:r>
        <w:t xml:space="preserve">Forest; retraining restores it only when the retraining data are known to be</w:t>
      </w:r>
      <w:r>
        <w:t xml:space="preserve"> </w:t>
      </w:r>
      <w:r>
        <w:t xml:space="preserve">normal, drift-triggered retraining saved some refits but</w:t>
      </w:r>
      <w:r>
        <w:t xml:space="preserve"> </w:t>
      </w:r>
      <w:r>
        <w:t xml:space="preserve">cost more in drift checks than it saved, and label-free retraining failed. (RQ4) Single-reading costs range from</w:t>
      </w:r>
      <w:r>
        <w:t xml:space="preserve"> </w:t>
      </w:r>
      <w:r>
        <w:t xml:space="preserve">microseconds to about 700 ms and model sizes from kilobytes to hundreds of megabytes</w:t>
      </w:r>
      <w:r>
        <w:t xml:space="preserve"> </w:t>
      </w:r>
      <w:r>
        <w:t xml:space="preserve">under a one-CPU, 1 GB cap; the per-reading feature update (3.2 ms) costs more than</w:t>
      </w:r>
      <w:r>
        <w:t xml:space="preserve"> </w:t>
      </w:r>
      <w:r>
        <w:t xml:space="preserve">most detectors.</w:t>
      </w:r>
    </w:p>
    <w:p>
      <w:pPr>
        <w:pStyle w:val="phmbodytext"/>
      </w:pPr>
      <w:r>
        <w:t xml:space="preserve">The initial analysis reported dataset-specific winners, a large</w:t>
      </w:r>
      <w:r>
        <w:t xml:space="preserve"> </w:t>
      </w:r>
      <w:r>
        <w:t xml:space="preserve">benefit from drift adaptation, and sub-millisecond inference; none of these</w:t>
      </w:r>
      <w:r>
        <w:t xml:space="preserve"> </w:t>
      </w:r>
      <w:r>
        <w:t xml:space="preserve">survived re-examination. What did survive is a clearer and more useful message for</w:t>
      </w:r>
      <w:r>
        <w:t xml:space="preserve"> </w:t>
      </w:r>
      <w:r>
        <w:t xml:space="preserve">practitioners: choose the detector for its threshold stability and retraining</w:t>
      </w:r>
      <w:r>
        <w:t xml:space="preserve"> </w:t>
      </w:r>
      <w:r>
        <w:t xml:space="preserve">needs rather than its benchmark rank, and report the protocol in enough detail</w:t>
      </w:r>
      <w:r>
        <w:t xml:space="preserve"> </w:t>
      </w:r>
      <w:r>
        <w:t xml:space="preserve">that a reader can tell which of these the numbers measure. Next steps are later SWaT</w:t>
      </w:r>
      <w:r>
        <w:t xml:space="preserve"> </w:t>
      </w:r>
      <w:r>
        <w:t xml:space="preserve">and WADI campaigns, data from rotating machinery under real wear, drift-aware</w:t>
      </w:r>
      <w:r>
        <w:t xml:space="preserve"> </w:t>
      </w:r>
      <w:r>
        <w:t xml:space="preserve">handling of analyser channels, threshold-only adaptation, and measurement on physical</w:t>
      </w:r>
      <w:r>
        <w:t xml:space="preserve"> </w:t>
      </w:r>
      <w:r>
        <w:t xml:space="preserve">edge hardware.</w:t>
      </w:r>
    </w:p>
    <w:bookmarkEnd w:id="73"/>
    <w:bookmarkStart w:id="74" w:name="data-and-code-availability"/>
    <w:p>
      <w:pPr>
        <w:pStyle w:val="phmheadingnonumber"/>
      </w:pPr>
      <w:r>
        <w:t xml:space="preserve">Data and Code Availability</w:t>
      </w:r>
    </w:p>
    <w:p>
      <w:pPr>
        <w:pStyle w:val="phmbodytext"/>
      </w:pPr>
      <w:r>
        <w:t xml:space="preserve">Code, configuration and all result files are available in the project repository</w:t>
      </w:r>
      <w:r>
        <w:t xml:space="preserve"> </w:t>
      </w:r>
      <w:r>
        <w:t xml:space="preserve">(</w:t>
      </w:r>
      <w:r>
        <w:rPr>
          <w:rStyle w:val="VerbatimChar"/>
        </w:rPr>
        <w:t xml:space="preserve">experiments/revision/</w:t>
      </w:r>
      <w:r>
        <w:t xml:space="preserve">,</w:t>
      </w:r>
      <w:r>
        <w:t xml:space="preserve"> </w:t>
      </w:r>
      <w:r>
        <w:rPr>
          <w:rStyle w:val="VerbatimChar"/>
        </w:rPr>
        <w:t xml:space="preserve">results/revised/</w:t>
      </w:r>
      <w:r>
        <w:t xml:space="preserve">). SKAB and HAI are public</w:t>
      </w:r>
      <w:r>
        <w:t xml:space="preserve"> </w:t>
      </w:r>
      <w:r>
        <w:t xml:space="preserve">(Katser &amp; Kozitsin, 2020; Shin et al., 2021). SWaT and WADI must be requested from iTrust, SUTD, and are not</w:t>
      </w:r>
      <w:r>
        <w:t xml:space="preserve"> </w:t>
      </w:r>
      <w:r>
        <w:t xml:space="preserve">redistributed; the comparison with the public SWaT re-upload is documented in the code. Software used:</w:t>
      </w:r>
      <w:r>
        <w:t xml:space="preserve"> </w:t>
      </w:r>
      <w:r>
        <w:t xml:space="preserve">scikit-learn (Pedregosa et al., 2011), PyOD (Zhao et al., 2019) and PyTorch.</w:t>
      </w:r>
    </w:p>
    <w:bookmarkEnd w:id="74"/>
    <w:bookmarkStart w:id="75" w:name="disclosure-of-interests"/>
    <w:p>
      <w:pPr>
        <w:pStyle w:val="phmheadingnonumber"/>
      </w:pPr>
      <w:r>
        <w:t xml:space="preserve">Disclosure of Interests</w:t>
      </w:r>
    </w:p>
    <w:p>
      <w:pPr>
        <w:pStyle w:val="phmbodytext"/>
      </w:pPr>
      <w:r>
        <w:t xml:space="preserve">The authors have no competing interests to declare.</w:t>
      </w:r>
    </w:p>
    <w:bookmarkEnd w:id="75"/>
    <w:bookmarkStart w:id="101" w:name="references"/>
    <w:p>
      <w:pPr>
        <w:pStyle w:val="phmheadingnonumber"/>
      </w:pPr>
      <w:r>
        <w:t xml:space="preserve">References</w:t>
      </w:r>
    </w:p>
    <w:p>
      <w:pPr>
        <w:pStyle w:val="phmreference"/>
      </w:pPr>
      <w:r>
        <w:t xml:space="preserve">Ahmad, S., Lavin, A., Purdy, S., &amp; Agha, Z. (2017). Unsupervised real-time anomaly detection for streaming data.</w:t>
      </w:r>
      <w:r>
        <w:t xml:space="preserve"> </w:t>
      </w:r>
      <w:r>
        <w:rPr>
          <w:i/>
          <w:iCs/>
        </w:rPr>
        <w:t xml:space="preserve">Neurocomputing</w:t>
      </w:r>
      <w:r>
        <w:t xml:space="preserve">, 262, 134–147. doi:10.1016/j.neucom.2017.04.070</w:t>
      </w:r>
    </w:p>
    <w:p>
      <w:pPr>
        <w:pStyle w:val="phmreference"/>
      </w:pPr>
      <w:r>
        <w:t xml:space="preserve">Ahmed, C. M., Palleti, V. R., &amp; Mathur, A. P. (2017). WADI: A water distribution testbed for research in the design of secure cyber physical systems. In</w:t>
      </w:r>
      <w:r>
        <w:t xml:space="preserve"> </w:t>
      </w:r>
      <w:r>
        <w:rPr>
          <w:i/>
          <w:iCs/>
        </w:rPr>
        <w:t xml:space="preserve">Proc. 3rd Int. Workshop on Cyber-Physical Systems for Smart Water Networks (CySWater)</w:t>
      </w:r>
      <w:r>
        <w:t xml:space="preserve"> </w:t>
      </w:r>
      <w:r>
        <w:t xml:space="preserve">(pp. 25–28). doi:10.1145/3055366.3055375</w:t>
      </w:r>
    </w:p>
    <w:p>
      <w:pPr>
        <w:pStyle w:val="phmreference"/>
      </w:pPr>
      <w:r>
        <w:t xml:space="preserve">Audibert, J., Michiardi, P., Guyard, F., Marti, S., &amp; Zuluaga, M. A. (2020). USAD: Unsupervised anomaly detection on multivariate time series. In</w:t>
      </w:r>
      <w:r>
        <w:t xml:space="preserve"> </w:t>
      </w:r>
      <w:r>
        <w:rPr>
          <w:i/>
          <w:iCs/>
        </w:rPr>
        <w:t xml:space="preserve">Proc. 26th ACM SIGKDD Int. Conf. on Knowledge Discovery &amp; Data Mining</w:t>
      </w:r>
      <w:r>
        <w:t xml:space="preserve">. doi:10.1145/3394486.3403392</w:t>
      </w:r>
    </w:p>
    <w:p>
      <w:pPr>
        <w:pStyle w:val="phmreference"/>
      </w:pPr>
      <w:r>
        <w:t xml:space="preserve">Audibert, J., Michiardi, P., Guyard, F., Marti, S., &amp; Zuluaga, M. A. (2022). Do deep neural networks contribute to multivariate time series anomaly detection?</w:t>
      </w:r>
      <w:r>
        <w:t xml:space="preserve"> </w:t>
      </w:r>
      <w:r>
        <w:rPr>
          <w:i/>
          <w:iCs/>
        </w:rPr>
        <w:t xml:space="preserve">Pattern Recognition</w:t>
      </w:r>
      <w:r>
        <w:t xml:space="preserve">, 132, 108945. doi:10.1016/j.patcog.2022.108945</w:t>
      </w:r>
    </w:p>
    <w:p>
      <w:pPr>
        <w:pStyle w:val="phmreference"/>
      </w:pPr>
      <w:r>
        <w:t xml:space="preserve">Banbury, C., et al. (2021). MLPerf Tiny benchmark. In</w:t>
      </w:r>
      <w:r>
        <w:t xml:space="preserve"> </w:t>
      </w:r>
      <w:r>
        <w:rPr>
          <w:i/>
          <w:iCs/>
        </w:rPr>
        <w:t xml:space="preserve">Proc. NeurIPS Datasets and Benchmarks Track</w:t>
      </w:r>
      <w:r>
        <w:t xml:space="preserve">. arXiv:2106.07597</w:t>
      </w:r>
    </w:p>
    <w:p>
      <w:pPr>
        <w:pStyle w:val="phmreference"/>
      </w:pPr>
      <w:r>
        <w:t xml:space="preserve">Bifet, A., &amp; Gavaldà, R. (2007). Learning from time-changing data with adaptive windowing. In</w:t>
      </w:r>
      <w:r>
        <w:t xml:space="preserve"> </w:t>
      </w:r>
      <w:r>
        <w:rPr>
          <w:i/>
          <w:iCs/>
        </w:rPr>
        <w:t xml:space="preserve">Proc. SIAM Int. Conf. on Data Mining</w:t>
      </w:r>
      <w:r>
        <w:t xml:space="preserve"> </w:t>
      </w:r>
      <w:r>
        <w:t xml:space="preserve">(pp. 443–448). doi:10.1137/1.9781611972771.42</w:t>
      </w:r>
    </w:p>
    <w:p>
      <w:pPr>
        <w:pStyle w:val="phmreference"/>
      </w:pPr>
      <w:r>
        <w:t xml:space="preserve">Breunig, M. M., Kriegel, H.-P., Ng, R. T., &amp; Sander, J. (2000). LOF: Identifying density-based local outliers. In</w:t>
      </w:r>
      <w:r>
        <w:t xml:space="preserve"> </w:t>
      </w:r>
      <w:r>
        <w:rPr>
          <w:i/>
          <w:iCs/>
        </w:rPr>
        <w:t xml:space="preserve">Proc. ACM SIGMOD Int. Conf. on Management of Data</w:t>
      </w:r>
      <w:r>
        <w:t xml:space="preserve"> </w:t>
      </w:r>
      <w:r>
        <w:t xml:space="preserve">(pp. 93–104). doi:10.1145/342009.335388</w:t>
      </w:r>
    </w:p>
    <w:p>
      <w:pPr>
        <w:pStyle w:val="phmreference"/>
      </w:pPr>
      <w:r>
        <w:t xml:space="preserve">Chandola, V., Banerjee, A., &amp; Kumar, V. (2009). Anomaly detection: A survey.</w:t>
      </w:r>
      <w:r>
        <w:t xml:space="preserve"> </w:t>
      </w:r>
      <w:r>
        <w:rPr>
          <w:i/>
          <w:iCs/>
        </w:rPr>
        <w:t xml:space="preserve">ACM Computing Surveys</w:t>
      </w:r>
      <w:r>
        <w:t xml:space="preserve">, 41(3), 1–58. doi:10.1145/1541880.1541882</w:t>
      </w:r>
    </w:p>
    <w:p>
      <w:pPr>
        <w:pStyle w:val="phmreference"/>
      </w:pPr>
      <w:r>
        <w:t xml:space="preserve">Chicco, D., &amp; Jurman, G. (2020). The advantages of the Matthews correlation coefficient (MCC) over F1 score and accuracy in binary classification evaluation.</w:t>
      </w:r>
      <w:r>
        <w:t xml:space="preserve"> </w:t>
      </w:r>
      <w:r>
        <w:rPr>
          <w:i/>
          <w:iCs/>
        </w:rPr>
        <w:t xml:space="preserve">BMC Genomics</w:t>
      </w:r>
      <w:r>
        <w:t xml:space="preserve">, 21, 6. doi:10.1186/s12864-019-6413-7</w:t>
      </w:r>
    </w:p>
    <w:p>
      <w:pPr>
        <w:pStyle w:val="phmreference"/>
      </w:pPr>
      <w:r>
        <w:t xml:space="preserve">Dasari, S. (2026). When to retrain: An empirical study of retraining policies for streaming ML under concept drift, budget, and latency constraints. arXiv preprint arXiv:2608.19488.</w:t>
      </w:r>
    </w:p>
    <w:p>
      <w:pPr>
        <w:pStyle w:val="phmreference"/>
      </w:pPr>
      <w:r>
        <w:t xml:space="preserve">Deng, A., &amp; Hooi, B. (2021). Graph neural network-based anomaly detection in multivariate time series. In</w:t>
      </w:r>
      <w:r>
        <w:t xml:space="preserve"> </w:t>
      </w:r>
      <w:r>
        <w:rPr>
          <w:i/>
          <w:iCs/>
        </w:rPr>
        <w:t xml:space="preserve">Proc. AAAI Conf. on Artificial Intelligence</w:t>
      </w:r>
      <w:r>
        <w:t xml:space="preserve">, 35(5), 4027–4035. doi:10.1609/aaai.v35i5.16523</w:t>
      </w:r>
    </w:p>
    <w:p>
      <w:pPr>
        <w:pStyle w:val="phmreference"/>
      </w:pPr>
      <w:r>
        <w:t xml:space="preserve">Gama, J., Žliobaitė, I., Bifet, A., Pechenizkiy, M., &amp; Bouchachia, A. (2014). A survey on concept drift adaptation.</w:t>
      </w:r>
      <w:r>
        <w:t xml:space="preserve"> </w:t>
      </w:r>
      <w:r>
        <w:rPr>
          <w:i/>
          <w:iCs/>
        </w:rPr>
        <w:t xml:space="preserve">ACM Computing Surveys</w:t>
      </w:r>
      <w:r>
        <w:t xml:space="preserve">, 46(4), 1–37. doi:10.1145/2523813</w:t>
      </w:r>
    </w:p>
    <w:p>
      <w:pPr>
        <w:pStyle w:val="phmreference"/>
      </w:pPr>
      <w:r>
        <w:t xml:space="preserve">Garg, A., Zhang, W., Samaran, J., Savitha, R., &amp; Foo, C.-S. (2021). An evaluation of anomaly detection and diagnosis in multivariate time series.</w:t>
      </w:r>
      <w:r>
        <w:t xml:space="preserve"> </w:t>
      </w:r>
      <w:r>
        <w:rPr>
          <w:i/>
          <w:iCs/>
        </w:rPr>
        <w:t xml:space="preserve">IEEE Transactions on Neural Networks and Learning Systems</w:t>
      </w:r>
      <w:r>
        <w:t xml:space="preserve">. doi:10.1109/TNNLS.2021.3105827</w:t>
      </w:r>
    </w:p>
    <w:p>
      <w:pPr>
        <w:pStyle w:val="phmreference"/>
      </w:pPr>
      <w:r>
        <w:t xml:space="preserve">Goh, J., Adepu, S., Junejo, K. N., &amp; Mathur, A. (2016). A dataset to support research in the design of secure water treatment systems. In</w:t>
      </w:r>
      <w:r>
        <w:t xml:space="preserve"> </w:t>
      </w:r>
      <w:r>
        <w:rPr>
          <w:i/>
          <w:iCs/>
        </w:rPr>
        <w:t xml:space="preserve">Proc. 11th Int. Conf. on Critical Information Infrastructures Security (CRITIS)</w:t>
      </w:r>
      <w:r>
        <w:t xml:space="preserve"> </w:t>
      </w:r>
      <w:r>
        <w:t xml:space="preserve">(pp. 88–99). doi:10.1007/978-3-319-71368-7_8</w:t>
      </w:r>
    </w:p>
    <w:p>
      <w:pPr>
        <w:pStyle w:val="phmreference"/>
      </w:pPr>
      <w:r>
        <w:t xml:space="preserve">Goldstein, M., &amp; Uchida, S. (2016). A comparative evaluation of unsupervised anomaly detection algorithms for multivariate data.</w:t>
      </w:r>
      <w:r>
        <w:t xml:space="preserve"> </w:t>
      </w:r>
      <w:r>
        <w:rPr>
          <w:i/>
          <w:iCs/>
        </w:rPr>
        <w:t xml:space="preserve">PLoS ONE</w:t>
      </w:r>
      <w:r>
        <w:t xml:space="preserve">, 11(4), e0152173. doi:10.1371/journal.pone.0152173</w:t>
      </w:r>
    </w:p>
    <w:p>
      <w:pPr>
        <w:pStyle w:val="phmreference"/>
      </w:pPr>
      <w:r>
        <w:t xml:space="preserve">Han, S., Hu, X., Huang, H., Jiang, M., &amp; Zhao, Y. (2022). ADBench: Anomaly detection benchmark. In</w:t>
      </w:r>
      <w:r>
        <w:t xml:space="preserve"> </w:t>
      </w:r>
      <w:r>
        <w:rPr>
          <w:i/>
          <w:iCs/>
        </w:rPr>
        <w:t xml:space="preserve">Advances in Neural Information Processing Systems 35 (Datasets and Benchmarks Track)</w:t>
      </w:r>
      <w:r>
        <w:t xml:space="preserve">. arXiv:2206.09426</w:t>
      </w:r>
    </w:p>
    <w:p>
      <w:pPr>
        <w:pStyle w:val="phmreference"/>
      </w:pPr>
      <w:r>
        <w:t xml:space="preserve">Hundman, K., Constantinou, V., Laporte, C., Colwell, I., &amp; Soderstrom, T. (2018). Detecting spacecraft anomalies using LSTMs and nonparametric dynamic thresholding. In</w:t>
      </w:r>
      <w:r>
        <w:t xml:space="preserve"> </w:t>
      </w:r>
      <w:r>
        <w:rPr>
          <w:i/>
          <w:iCs/>
        </w:rPr>
        <w:t xml:space="preserve">Proc. 24th ACM SIGKDD Int. Conf. on Knowledge Discovery &amp; Data Mining</w:t>
      </w:r>
      <w:r>
        <w:t xml:space="preserve">. doi:10.1145/3219819.3219845</w:t>
      </w:r>
    </w:p>
    <w:p>
      <w:pPr>
        <w:pStyle w:val="phmreference"/>
      </w:pPr>
      <w:r>
        <w:t xml:space="preserve">Katser, I. D., &amp; Kozitsin, V. O. (2020).</w:t>
      </w:r>
      <w:r>
        <w:t xml:space="preserve"> </w:t>
      </w:r>
      <w:r>
        <w:rPr>
          <w:i/>
          <w:iCs/>
        </w:rPr>
        <w:t xml:space="preserve">Skoltech Anomaly Benchmark (SKAB)</w:t>
      </w:r>
      <w:r>
        <w:t xml:space="preserve"> </w:t>
      </w:r>
      <w:r>
        <w:t xml:space="preserve">[Data set]. Kaggle. doi:10.34740/KAGGLE/DSV/1693952</w:t>
      </w:r>
    </w:p>
    <w:p>
      <w:pPr>
        <w:pStyle w:val="phmreference"/>
      </w:pPr>
      <w:r>
        <w:t xml:space="preserve">Kim, S., Choi, K., Choi, H.-S., Lee, B., &amp; Yoon, S. (2022). Towards a rigorous evaluation of time-series anomaly detection. In</w:t>
      </w:r>
      <w:r>
        <w:t xml:space="preserve"> </w:t>
      </w:r>
      <w:r>
        <w:rPr>
          <w:i/>
          <w:iCs/>
        </w:rPr>
        <w:t xml:space="preserve">Proc. AAAI Conf. on Artificial Intelligence</w:t>
      </w:r>
      <w:r>
        <w:t xml:space="preserve">, 36(7), 7194–7201. doi:10.1609/aaai.v36i7.20680</w:t>
      </w:r>
    </w:p>
    <w:p>
      <w:pPr>
        <w:pStyle w:val="phmreference"/>
      </w:pPr>
      <w:r>
        <w:t xml:space="preserve">Lee, W.-J. (2017). Anomaly detection and severity prediction of air leakage in train braking pipes.</w:t>
      </w:r>
      <w:r>
        <w:t xml:space="preserve"> </w:t>
      </w:r>
      <w:r>
        <w:rPr>
          <w:i/>
          <w:iCs/>
        </w:rPr>
        <w:t xml:space="preserve">International Journal of Prognostics and Health Management</w:t>
      </w:r>
      <w:r>
        <w:t xml:space="preserve">, 8(3). doi:10.36001/ijphm.2017.v8i3.2662</w:t>
      </w:r>
    </w:p>
    <w:p>
      <w:pPr>
        <w:pStyle w:val="phmreference"/>
      </w:pPr>
      <w:r>
        <w:t xml:space="preserve">Li, D., Chen, D., Jin, B., Shi, L., Goh, J., &amp; Ng, S.-K. (2019). MAD-GAN: Multivariate anomaly detection for time series data with generative adversarial networks. In</w:t>
      </w:r>
      <w:r>
        <w:t xml:space="preserve"> </w:t>
      </w:r>
      <w:r>
        <w:rPr>
          <w:i/>
          <w:iCs/>
        </w:rPr>
        <w:t xml:space="preserve">Proc. Int. Conf. on Artificial Neural Networks (ICANN)</w:t>
      </w:r>
      <w:r>
        <w:t xml:space="preserve">. arXiv:1809.04758</w:t>
      </w:r>
    </w:p>
    <w:p>
      <w:pPr>
        <w:pStyle w:val="phmreference"/>
      </w:pPr>
      <w:r>
        <w:t xml:space="preserve">Li, Z., Zhao, Y., Hu, X., Botta, N., Ionescu, C., &amp; Chen, G. H. (2023). ECOD: Unsupervised outlier detection using empirical cumulative distribution functions.</w:t>
      </w:r>
      <w:r>
        <w:t xml:space="preserve"> </w:t>
      </w:r>
      <w:r>
        <w:rPr>
          <w:i/>
          <w:iCs/>
        </w:rPr>
        <w:t xml:space="preserve">IEEE Transactions on Knowledge and Data Engineering</w:t>
      </w:r>
      <w:r>
        <w:t xml:space="preserve">, 35(12), 12181–12193. doi:10.1109/TKDE.2022.3159580</w:t>
      </w:r>
    </w:p>
    <w:p>
      <w:pPr>
        <w:pStyle w:val="phmreference"/>
      </w:pPr>
      <w:r>
        <w:t xml:space="preserve">Liu, Q., &amp; Paparrizos, J. (2024). The elephant in the room: Towards a reliable time-series anomaly detection benchmark. In</w:t>
      </w:r>
      <w:r>
        <w:t xml:space="preserve"> </w:t>
      </w:r>
      <w:r>
        <w:rPr>
          <w:i/>
          <w:iCs/>
        </w:rPr>
        <w:t xml:space="preserve">Advances in Neural Information Processing Systems 37 (Datasets and Benchmarks Track)</w:t>
      </w:r>
      <w:r>
        <w:t xml:space="preserve"> </w:t>
      </w:r>
      <w:r>
        <w:t xml:space="preserve">(pp. 108231–108261).</w:t>
      </w:r>
    </w:p>
    <w:p>
      <w:pPr>
        <w:pStyle w:val="phmreference"/>
      </w:pPr>
      <w:r>
        <w:t xml:space="preserve">Liu, F. T., Ting, K. M., &amp; Zhou, Z.-H. (2008). Isolation forest. In</w:t>
      </w:r>
      <w:r>
        <w:t xml:space="preserve"> </w:t>
      </w:r>
      <w:r>
        <w:rPr>
          <w:i/>
          <w:iCs/>
        </w:rPr>
        <w:t xml:space="preserve">Proc. 8th IEEE Int. Conf. on Data Mining</w:t>
      </w:r>
      <w:r>
        <w:t xml:space="preserve"> </w:t>
      </w:r>
      <w:r>
        <w:t xml:space="preserve">(pp. 413–422). doi:10.1109/ICDM.2008.17</w:t>
      </w:r>
    </w:p>
    <w:p>
      <w:pPr>
        <w:pStyle w:val="phmreference"/>
      </w:pPr>
      <w:r>
        <w:t xml:space="preserve">Lu, J., Liu, A., Dong, F., Gu, F., Gama, J., &amp; Zhang, G. (2019). Learning under concept drift: A review.</w:t>
      </w:r>
      <w:r>
        <w:t xml:space="preserve"> </w:t>
      </w:r>
      <w:r>
        <w:rPr>
          <w:i/>
          <w:iCs/>
        </w:rPr>
        <w:t xml:space="preserve">IEEE Transactions on Knowledge and Data Engineering</w:t>
      </w:r>
      <w:r>
        <w:t xml:space="preserve">, 31(12), 2346–2363. doi:10.1109/TKDE.2018.2876857</w:t>
      </w:r>
    </w:p>
    <w:p>
      <w:pPr>
        <w:pStyle w:val="phmreference"/>
      </w:pPr>
      <w:r>
        <w:t xml:space="preserve">Malhotra, P., Ramakrishnan, A., Anand, G., Vig, L., Agarwal, P., &amp; Shroff, G. (2016). LSTM-based encoder-decoder for multi-sensor anomaly detection.</w:t>
      </w:r>
      <w:r>
        <w:t xml:space="preserve"> </w:t>
      </w:r>
      <w:r>
        <w:rPr>
          <w:i/>
          <w:iCs/>
        </w:rPr>
        <w:t xml:space="preserve">ICML Anomaly Detection Workshop</w:t>
      </w:r>
      <w:r>
        <w:t xml:space="preserve">. arXiv:1607.00148</w:t>
      </w:r>
    </w:p>
    <w:p>
      <w:pPr>
        <w:pStyle w:val="phmreference"/>
      </w:pPr>
      <w:r>
        <w:t xml:space="preserve">Massey, F. J. (1951). The Kolmogorov-Smirnov test for goodness of fit.</w:t>
      </w:r>
      <w:r>
        <w:t xml:space="preserve"> </w:t>
      </w:r>
      <w:r>
        <w:rPr>
          <w:i/>
          <w:iCs/>
        </w:rPr>
        <w:t xml:space="preserve">Journal of the American Statistical Association</w:t>
      </w:r>
      <w:r>
        <w:t xml:space="preserve">, 46(253), 68–78. doi:10.1080/01621459.1951.10500769</w:t>
      </w:r>
    </w:p>
    <w:p>
      <w:pPr>
        <w:pStyle w:val="phmreference"/>
      </w:pPr>
      <w:r>
        <w:t xml:space="preserve">Mathur, A. P., &amp; Tippenhauer, N. O. (2016). SWaT: A water treatment testbed for research and training on ICS security. In</w:t>
      </w:r>
      <w:r>
        <w:t xml:space="preserve"> </w:t>
      </w:r>
      <w:r>
        <w:rPr>
          <w:i/>
          <w:iCs/>
        </w:rPr>
        <w:t xml:space="preserve">Proc. Int. Workshop on Cyber-physical Systems for Smart Water Networks (CySWater)</w:t>
      </w:r>
      <w:r>
        <w:t xml:space="preserve"> </w:t>
      </w:r>
      <w:r>
        <w:t xml:space="preserve">(pp. 31–36). doi:10.1109/CySWater.2016.7469060</w:t>
      </w:r>
    </w:p>
    <w:p>
      <w:pPr>
        <w:pStyle w:val="phmreference"/>
      </w:pPr>
      <w:r>
        <w:t xml:space="preserve">Mukherjee, R. (2021). A modified energy statistic for unsupervised anomaly detection.</w:t>
      </w:r>
      <w:r>
        <w:t xml:space="preserve"> </w:t>
      </w:r>
      <w:r>
        <w:rPr>
          <w:i/>
          <w:iCs/>
        </w:rPr>
        <w:t xml:space="preserve">International Journal of Prognostics and Health Management</w:t>
      </w:r>
      <w:r>
        <w:t xml:space="preserve">, 12(1). doi:10.36001/ijphm.2021.v12i1.1323</w:t>
      </w:r>
    </w:p>
    <w:p>
      <w:pPr>
        <w:pStyle w:val="phmreference"/>
      </w:pPr>
      <w:r>
        <w:t xml:space="preserve">Paparrizos, J., Boniol, P., Palpanas, T., Tsay, R. S., Elmore, A., &amp; Franklin, M. J. (2022). Volume under the surface: A new accuracy evaluation measure for time-series anomaly detection.</w:t>
      </w:r>
      <w:r>
        <w:t xml:space="preserve"> </w:t>
      </w:r>
      <w:r>
        <w:rPr>
          <w:i/>
          <w:iCs/>
        </w:rPr>
        <w:t xml:space="preserve">Proceedings of the VLDB Endowment</w:t>
      </w:r>
      <w:r>
        <w:t xml:space="preserve">, 15(11), 2774–2787. doi:10.14778/3551793.3551830</w:t>
      </w:r>
    </w:p>
    <w:p>
      <w:pPr>
        <w:pStyle w:val="phmreference"/>
      </w:pPr>
      <w:r>
        <w:t xml:space="preserve">Pedregosa, F., et al. (2011). Scikit-learn: Machine learning in Python.</w:t>
      </w:r>
      <w:r>
        <w:t xml:space="preserve"> </w:t>
      </w:r>
      <w:r>
        <w:rPr>
          <w:i/>
          <w:iCs/>
        </w:rPr>
        <w:t xml:space="preserve">Journal of Machine Learning Research</w:t>
      </w:r>
      <w:r>
        <w:t xml:space="preserve">, 12, 2825–2830.</w:t>
      </w:r>
    </w:p>
    <w:p>
      <w:pPr>
        <w:pStyle w:val="phmreference"/>
      </w:pPr>
      <w:r>
        <w:t xml:space="preserve">Poenaru-Olaru, L., Karpova, N., Cruz, L., Rellermeyer, J. S., &amp; van Deursen, A. (2024). Is your anomaly detector ready for change? Adapting AIOps solutions to the real world. In</w:t>
      </w:r>
      <w:r>
        <w:t xml:space="preserve"> </w:t>
      </w:r>
      <w:r>
        <w:rPr>
          <w:i/>
          <w:iCs/>
        </w:rPr>
        <w:t xml:space="preserve">Proc. IEEE/ACM 3rd Int. Conf. on AI Engineering – Software Engineering for AI (CAIN)</w:t>
      </w:r>
      <w:r>
        <w:t xml:space="preserve"> </w:t>
      </w:r>
      <w:r>
        <w:t xml:space="preserve">(pp. 222–233). doi:10.1145/3644815.3644961</w:t>
      </w:r>
    </w:p>
    <w:p>
      <w:pPr>
        <w:pStyle w:val="phmreference"/>
      </w:pPr>
      <w:r>
        <w:t xml:space="preserve">Rabanser, S., Günnemann, S., &amp; Lipton, Z. (2019). Failing loudly: An empirical study of methods for detecting dataset shift. In</w:t>
      </w:r>
      <w:r>
        <w:t xml:space="preserve"> </w:t>
      </w:r>
      <w:r>
        <w:rPr>
          <w:i/>
          <w:iCs/>
        </w:rPr>
        <w:t xml:space="preserve">Advances in Neural Information Processing Systems 32</w:t>
      </w:r>
      <w:r>
        <w:t xml:space="preserve">. arXiv:1810.11953</w:t>
      </w:r>
    </w:p>
    <w:p>
      <w:pPr>
        <w:pStyle w:val="phmreference"/>
      </w:pPr>
      <w:r>
        <w:t xml:space="preserve">Rousseeuw, P. J., &amp; Van Driessen, K. (1999). A fast algorithm for the minimum covariance determinant estimator.</w:t>
      </w:r>
      <w:r>
        <w:t xml:space="preserve"> </w:t>
      </w:r>
      <w:r>
        <w:rPr>
          <w:i/>
          <w:iCs/>
        </w:rPr>
        <w:t xml:space="preserve">Technometrics</w:t>
      </w:r>
      <w:r>
        <w:t xml:space="preserve">, 41(3), 212–223. doi:10.1080/00401706.1999.10485670</w:t>
      </w:r>
    </w:p>
    <w:p>
      <w:pPr>
        <w:pStyle w:val="phmreference"/>
      </w:pPr>
      <w:r>
        <w:t xml:space="preserve">Sarfraz, M. S., Chen, M.-Y., Layer, L., Peng, K., &amp; Koulakis, M. (2024). Position: Quo vadis, unsupervised time series anomaly detection? In</w:t>
      </w:r>
      <w:r>
        <w:t xml:space="preserve"> </w:t>
      </w:r>
      <w:r>
        <w:rPr>
          <w:i/>
          <w:iCs/>
        </w:rPr>
        <w:t xml:space="preserve">Proc. 41st Int. Conf. on Machine Learning</w:t>
      </w:r>
      <w:r>
        <w:t xml:space="preserve">, PMLR 235, 43461–43476.</w:t>
      </w:r>
    </w:p>
    <w:p>
      <w:pPr>
        <w:pStyle w:val="phmreference"/>
      </w:pPr>
      <w:r>
        <w:t xml:space="preserve">Schmidl, S., Wenig, P., &amp; Papenbrock, T. (2022). Anomaly detection in time series: A comprehensive evaluation.</w:t>
      </w:r>
      <w:r>
        <w:t xml:space="preserve"> </w:t>
      </w:r>
      <w:r>
        <w:rPr>
          <w:i/>
          <w:iCs/>
        </w:rPr>
        <w:t xml:space="preserve">Proceedings of the VLDB Endowment</w:t>
      </w:r>
      <w:r>
        <w:t xml:space="preserve">, 15(9), 1779–1797. doi:10.14778/3538598.3538602</w:t>
      </w:r>
    </w:p>
    <w:p>
      <w:pPr>
        <w:pStyle w:val="phmreference"/>
      </w:pPr>
      <w:r>
        <w:t xml:space="preserve">Schölkopf, B., Platt, J. C., Shawe-Taylor, J., Smola, A. J., &amp; Williamson, R. C. (2001). Estimating the support of a high-dimensional distribution.</w:t>
      </w:r>
      <w:r>
        <w:t xml:space="preserve"> </w:t>
      </w:r>
      <w:r>
        <w:rPr>
          <w:i/>
          <w:iCs/>
        </w:rPr>
        <w:t xml:space="preserve">Neural Computation</w:t>
      </w:r>
      <w:r>
        <w:t xml:space="preserve">, 13(7), 1443–1471. doi:10.1162/089976601750264965</w:t>
      </w:r>
    </w:p>
    <w:p>
      <w:pPr>
        <w:pStyle w:val="phmreference"/>
      </w:pPr>
      <w:r>
        <w:t xml:space="preserve">Shin, H.-K., Lee, W., Yun, J.-H., &amp; Kim, H. (2020). HAI 1.0: HIL-based augmented ICS security dataset. In</w:t>
      </w:r>
      <w:r>
        <w:t xml:space="preserve"> </w:t>
      </w:r>
      <w:r>
        <w:rPr>
          <w:i/>
          <w:iCs/>
        </w:rPr>
        <w:t xml:space="preserve">Proc. 13th USENIX Workshop on Cyber Security Experimentation and Test (CSET)</w:t>
      </w:r>
      <w:r>
        <w:t xml:space="preserve">.</w:t>
      </w:r>
    </w:p>
    <w:p>
      <w:pPr>
        <w:pStyle w:val="phmreference"/>
      </w:pPr>
      <w:r>
        <w:t xml:space="preserve">Shin, H.-K., Lee, W., Yun, J.-H., &amp; Min, B.-G. (2021). Two ICS security datasets and anomaly detection contest on the HIL-based augmented ICS testbed. In</w:t>
      </w:r>
      <w:r>
        <w:t xml:space="preserve"> </w:t>
      </w:r>
      <w:r>
        <w:rPr>
          <w:i/>
          <w:iCs/>
        </w:rPr>
        <w:t xml:space="preserve">Proc. Cyber Security Experimentation and Test Workshop (CSET ’21)</w:t>
      </w:r>
      <w:r>
        <w:t xml:space="preserve">.</w:t>
      </w:r>
    </w:p>
    <w:p>
      <w:pPr>
        <w:pStyle w:val="phmreference"/>
      </w:pPr>
      <w:r>
        <w:t xml:space="preserve">Shyu, M.-L., Chen, S.-C., Sarinnapakorn, K., &amp; Chang, L. (2003). A novel anomaly detection scheme based on principal component classifier. In</w:t>
      </w:r>
      <w:r>
        <w:t xml:space="preserve"> </w:t>
      </w:r>
      <w:r>
        <w:rPr>
          <w:i/>
          <w:iCs/>
        </w:rPr>
        <w:t xml:space="preserve">Proc. IEEE ICDM Workshop on Foundations and New Directions of Data Mining</w:t>
      </w:r>
      <w:r>
        <w:t xml:space="preserve"> </w:t>
      </w:r>
      <w:r>
        <w:t xml:space="preserve">(pp. 172–179).</w:t>
      </w:r>
    </w:p>
    <w:p>
      <w:pPr>
        <w:pStyle w:val="phmreference"/>
      </w:pPr>
      <w:r>
        <w:t xml:space="preserve">Tatbul, N., Lee, T. J., Zdonik, S., Alam, M., &amp; Gottschlich, J. (2018). Precision and recall for time series. In</w:t>
      </w:r>
      <w:r>
        <w:t xml:space="preserve"> </w:t>
      </w:r>
      <w:r>
        <w:rPr>
          <w:i/>
          <w:iCs/>
        </w:rPr>
        <w:t xml:space="preserve">Advances in Neural Information Processing Systems 31</w:t>
      </w:r>
      <w:r>
        <w:t xml:space="preserve">. arXiv:1803.03639</w:t>
      </w:r>
    </w:p>
    <w:p>
      <w:pPr>
        <w:pStyle w:val="phmreference"/>
      </w:pPr>
      <w:r>
        <w:t xml:space="preserve">Tuli, S., Casale, G., &amp; Jennings, N. R. (2022). TranAD: Deep transformer networks for anomaly detection in multivariate time series data.</w:t>
      </w:r>
      <w:r>
        <w:t xml:space="preserve"> </w:t>
      </w:r>
      <w:r>
        <w:rPr>
          <w:i/>
          <w:iCs/>
        </w:rPr>
        <w:t xml:space="preserve">Proceedings of the VLDB Endowment</w:t>
      </w:r>
      <w:r>
        <w:t xml:space="preserve">, 15(6), 1201–1214. doi:10.14778/3514061.3514067</w:t>
      </w:r>
    </w:p>
    <w:p>
      <w:pPr>
        <w:pStyle w:val="phmreference"/>
      </w:pPr>
      <w:r>
        <w:t xml:space="preserve">Weiss, B., &amp; Brundage, M. (2021). Measurement and evaluation for prognostics and health management (PHM) for manufacturing operations: Summary of an interactive workshop highlighting PHM trends.</w:t>
      </w:r>
      <w:r>
        <w:t xml:space="preserve"> </w:t>
      </w:r>
      <w:r>
        <w:rPr>
          <w:i/>
          <w:iCs/>
        </w:rPr>
        <w:t xml:space="preserve">International Journal of Prognostics and Health Management</w:t>
      </w:r>
      <w:r>
        <w:t xml:space="preserve">, 12(1). doi:10.36001/ijphm.2021.v12i1.2653</w:t>
      </w:r>
    </w:p>
    <w:p>
      <w:pPr>
        <w:pStyle w:val="phmreference"/>
      </w:pPr>
      <w:r>
        <w:t xml:space="preserve">Wu, R., &amp; Keogh, E. (2023). Current time series anomaly detection benchmarks are flawed and are creating the illusion of progress.</w:t>
      </w:r>
      <w:r>
        <w:t xml:space="preserve"> </w:t>
      </w:r>
      <w:r>
        <w:rPr>
          <w:i/>
          <w:iCs/>
        </w:rPr>
        <w:t xml:space="preserve">IEEE Transactions on Knowledge and Data Engineering</w:t>
      </w:r>
      <w:r>
        <w:t xml:space="preserve">, 35(3), 2421–2429. doi:10.1109/TKDE.2021.3112126</w:t>
      </w:r>
    </w:p>
    <w:p>
      <w:pPr>
        <w:pStyle w:val="phmreference"/>
      </w:pPr>
      <w:r>
        <w:t xml:space="preserve">Zhao, Y., Nasrullah, Z., &amp; Li, Z. (2019). PyOD: A Python toolbox for scalable outlier detection.</w:t>
      </w:r>
      <w:r>
        <w:t xml:space="preserve"> </w:t>
      </w:r>
      <w:r>
        <w:rPr>
          <w:i/>
          <w:iCs/>
        </w:rPr>
        <w:t xml:space="preserve">Journal of Machine Learning Research</w:t>
      </w:r>
      <w:r>
        <w:t xml:space="preserve">, 20(96), 1–7.</w:t>
      </w:r>
    </w:p>
    <w:p>
      <w:pPr>
        <w:sectPr>
          <w:type w:val="continuous"/>
          <w:pgSz w:w="12240" w:h="15840"/>
          <w:pgMar w:top="2160" w:right="1080" w:bottom="1440" w:left="1080" w:header="720" w:footer="720" w:gutter="0"/>
          <w:cols w:num="2" w:space="360"/>
        </w:sectPr>
      </w:pPr>
    </w:p>
    <w:bookmarkStart w:id="76" w:name="tab:impl"/>
    <w:tbl>
      <w:tblPr>
        <w:tblStyle w:val="Table"/>
        <w:tblW w:type="auto" w:w="0"/>
        <w:tblLook w:firstRow="1" w:lastRow="0" w:firstColumn="0" w:lastColumn="0" w:noHBand="0" w:noVBand="0" w:val="0020"/>
        <w:tblCaption w:val="Implementation details. All classical detectors receive the same standardised feature matrix (StandardScaler fitted on training rows only); scores are oriented so that higher means more anomalous."/>
      </w:tblPr>
      <w:tblGrid>
        <w:gridCol w:w="2640"/>
        <w:gridCol w:w="2640"/>
        <w:gridCol w:w="2640"/>
      </w:tblGrid>
      <w:tr>
        <w:trPr>
          <w:tblHeader w:val="on"/>
        </w:trPr>
        <w:tc>
          <w:tcPr/>
          <w:p>
            <w:pPr>
              <w:pStyle w:val="Compact"/>
              <w:jc w:val="left"/>
            </w:pPr>
            <w:r>
              <w:t xml:space="preserve">Detector</w:t>
            </w:r>
          </w:p>
        </w:tc>
        <w:tc>
          <w:tcPr/>
          <w:p>
            <w:pPr>
              <w:pStyle w:val="Compact"/>
              <w:jc w:val="left"/>
            </w:pPr>
            <w:r>
              <w:t xml:space="preserve">Configuration</w:t>
            </w:r>
          </w:p>
        </w:tc>
        <w:tc>
          <w:tcPr/>
          <w:p>
            <w:pPr>
              <w:pStyle w:val="Compact"/>
              <w:jc w:val="left"/>
            </w:pPr>
            <w:r>
              <w:t xml:space="preserve">Score (higher = more anomalous)</w:t>
            </w:r>
          </w:p>
        </w:tc>
      </w:tr>
      <w:tr>
        <w:tc>
          <w:tcPr/>
          <w:p>
            <w:pPr>
              <w:pStyle w:val="Compact"/>
              <w:jc w:val="left"/>
            </w:pPr>
            <w:r>
              <w:rPr>
                <w:i/>
                <w:iCs/>
              </w:rPr>
              <w:t xml:space="preserve">z</w:t>
            </w:r>
            <w:r>
              <w:t xml:space="preserve">-score</w:t>
            </w:r>
          </w:p>
        </w:tc>
        <w:tc>
          <w:tcPr/>
          <w:p>
            <w:pPr>
              <w:pStyle w:val="Compact"/>
              <w:jc w:val="left"/>
            </w:pPr>
            <w:r>
              <w:t xml:space="preserve">training mean and s.d. per feature</w:t>
            </w:r>
          </w:p>
        </w:tc>
        <w:tc>
          <w:tcPr/>
          <w:p>
            <w:pPr>
              <w:pStyle w:val="Compact"/>
              <w:jc w:val="left"/>
            </w:pPr>
            <m:oMath>
              <m:sSub>
                <m:e>
                  <m:r>
                    <m:rPr>
                      <m:sty m:val="p"/>
                    </m:rPr>
                    <m:t>max</m:t>
                  </m:r>
                </m:e>
                <m:sub>
                  <m:r>
                    <m:t>j</m:t>
                  </m:r>
                </m:sub>
              </m:sSub>
              <m:r>
                <m:rPr>
                  <m:sty m:val="p"/>
                </m:rPr>
                <m:t>|</m:t>
              </m:r>
              <m:sSub>
                <m:e>
                  <m:r>
                    <m:t>x</m:t>
                  </m:r>
                </m:e>
                <m:sub>
                  <m:r>
                    <m:t>j</m:t>
                  </m:r>
                </m:sub>
              </m:sSub>
              <m:r>
                <m:rPr>
                  <m:sty m:val="p"/>
                </m:rPr>
                <m:t>−</m:t>
              </m:r>
              <m:sSub>
                <m:e>
                  <m:r>
                    <m:t>μ</m:t>
                  </m:r>
                </m:e>
                <m:sub>
                  <m:r>
                    <m:t>j</m:t>
                  </m:r>
                </m:sub>
              </m:sSub>
              <m:r>
                <m:rPr>
                  <m:sty m:val="p"/>
                </m:rPr>
                <m:t>|</m:t>
              </m:r>
              <m:r>
                <m:rPr>
                  <m:sty m:val="p"/>
                </m:rPr>
                <m:t>/</m:t>
              </m:r>
              <m:sSub>
                <m:e>
                  <m:r>
                    <m:t>σ</m:t>
                  </m:r>
                </m:e>
                <m:sub>
                  <m:r>
                    <m:t>j</m:t>
                  </m:r>
                </m:sub>
              </m:sSub>
            </m:oMath>
          </w:p>
        </w:tc>
      </w:tr>
      <w:tr>
        <w:tc>
          <w:tcPr/>
          <w:p>
            <w:pPr>
              <w:pStyle w:val="Compact"/>
              <w:jc w:val="left"/>
            </w:pPr>
            <w:r>
              <w:t xml:space="preserve">PCA-recon</w:t>
            </w:r>
          </w:p>
        </w:tc>
        <w:tc>
          <w:tcPr/>
          <w:p>
            <w:pPr>
              <w:pStyle w:val="Compact"/>
              <w:jc w:val="left"/>
            </w:pPr>
            <w:r>
              <w:t xml:space="preserve">components for 95% of variance</w:t>
            </w:r>
          </w:p>
        </w:tc>
        <w:tc>
          <w:tcPr/>
          <w:p>
            <w:pPr>
              <w:pStyle w:val="Compact"/>
              <w:jc w:val="left"/>
            </w:pPr>
            <w:r>
              <w:t xml:space="preserve">squared reconstruction error</w:t>
            </w:r>
          </w:p>
        </w:tc>
      </w:tr>
      <w:tr>
        <w:tc>
          <w:tcPr/>
          <w:p>
            <w:pPr>
              <w:pStyle w:val="Compact"/>
              <w:jc w:val="left"/>
            </w:pPr>
            <w:r>
              <w:t xml:space="preserve">Elliptic Envelope</w:t>
            </w:r>
          </w:p>
        </w:tc>
        <w:tc>
          <w:tcPr/>
          <w:p>
            <w:pPr>
              <w:pStyle w:val="Compact"/>
              <w:jc w:val="left"/>
            </w:pPr>
            <w:r>
              <w:t xml:space="preserve">10 whitened PCs; robust MCD (default support)</w:t>
            </w:r>
          </w:p>
        </w:tc>
        <w:tc>
          <w:tcPr/>
          <w:p>
            <w:pPr>
              <w:pStyle w:val="Compact"/>
              <w:jc w:val="left"/>
            </w:pPr>
            <w:r>
              <w:t xml:space="preserve">Mahalanobis distance</w:t>
            </w:r>
          </w:p>
        </w:tc>
      </w:tr>
      <w:tr>
        <w:tc>
          <w:tcPr/>
          <w:p>
            <w:pPr>
              <w:pStyle w:val="Compact"/>
              <w:jc w:val="left"/>
            </w:pPr>
            <w:r>
              <w:t xml:space="preserve">Isolation Forest</w:t>
            </w:r>
          </w:p>
        </w:tc>
        <w:tc>
          <w:tcPr/>
          <w:p>
            <w:pPr>
              <w:pStyle w:val="Compact"/>
              <w:jc w:val="left"/>
            </w:pPr>
            <w:r>
              <w:t xml:space="preserve">100 trees, default subsample, seeds 0–9</w:t>
            </w:r>
          </w:p>
        </w:tc>
        <w:tc>
          <w:tcPr/>
          <w:p>
            <w:pPr>
              <w:pStyle w:val="Compact"/>
              <w:jc w:val="left"/>
            </w:pPr>
            <w:r>
              <w:t xml:space="preserve">−score_samples</w:t>
            </w:r>
          </w:p>
        </w:tc>
      </w:tr>
      <w:tr>
        <w:tc>
          <w:tcPr/>
          <w:p>
            <w:pPr>
              <w:pStyle w:val="Compact"/>
              <w:jc w:val="left"/>
            </w:pPr>
            <w:r>
              <w:t xml:space="preserve">One-Class SVM</w:t>
            </w:r>
          </w:p>
        </w:tc>
        <w:tc>
          <w:tcPr/>
          <w:p>
            <w:pPr>
              <w:pStyle w:val="Compact"/>
              <w:jc w:val="left"/>
            </w:pPr>
            <w:r>
              <w:t xml:space="preserve">RBF,</w:t>
            </w:r>
            <w:r>
              <w:t xml:space="preserve"> </w:t>
            </w:r>
            <m:oMath>
              <m:r>
                <m:t>ν</m:t>
              </m:r>
              <m:r>
                <m:rPr>
                  <m:sty m:val="p"/>
                </m:rPr>
                <m:t>=</m:t>
              </m:r>
              <m:r>
                <m:t>0.1</m:t>
              </m:r>
            </m:oMath>
            <w:r>
              <w:t xml:space="preserve">, gamma = scale</w:t>
            </w:r>
          </w:p>
        </w:tc>
        <w:tc>
          <w:tcPr/>
          <w:p>
            <w:pPr>
              <w:pStyle w:val="Compact"/>
              <w:jc w:val="left"/>
            </w:pPr>
            <w:r>
              <w:t xml:space="preserve">−decision_function</w:t>
            </w:r>
          </w:p>
        </w:tc>
      </w:tr>
      <w:tr>
        <w:tc>
          <w:tcPr/>
          <w:p>
            <w:pPr>
              <w:pStyle w:val="Compact"/>
              <w:jc w:val="left"/>
            </w:pPr>
            <w:r>
              <w:t xml:space="preserve">LOF</w:t>
            </w:r>
          </w:p>
        </w:tc>
        <w:tc>
          <w:tcPr/>
          <w:p>
            <w:pPr>
              <w:pStyle w:val="Compact"/>
              <w:jc w:val="left"/>
            </w:pPr>
            <m:oMath>
              <m:r>
                <m:t>k</m:t>
              </m:r>
              <m:r>
                <m:rPr>
                  <m:sty m:val="p"/>
                </m:rPr>
                <m:t>=</m:t>
              </m:r>
              <m:r>
                <m:t>20</m:t>
              </m:r>
            </m:oMath>
            <w:r>
              <w:t xml:space="preserve">, novelty mode</w:t>
            </w:r>
          </w:p>
        </w:tc>
        <w:tc>
          <w:tcPr/>
          <w:p>
            <w:pPr>
              <w:pStyle w:val="Compact"/>
              <w:jc w:val="left"/>
            </w:pPr>
            <w:r>
              <w:t xml:space="preserve">−score_samples</w:t>
            </w:r>
          </w:p>
        </w:tc>
      </w:tr>
      <w:tr>
        <w:tc>
          <w:tcPr/>
          <w:p>
            <w:pPr>
              <w:pStyle w:val="Compact"/>
              <w:jc w:val="left"/>
            </w:pPr>
            <w:r>
              <w:t xml:space="preserve">ECOD, COPOD, HBOS</w:t>
            </w:r>
          </w:p>
        </w:tc>
        <w:tc>
          <w:tcPr/>
          <w:p>
            <w:pPr>
              <w:pStyle w:val="Compact"/>
              <w:jc w:val="left"/>
            </w:pPr>
            <w:r>
              <w:t xml:space="preserve">PyOD defaults</w:t>
            </w:r>
          </w:p>
        </w:tc>
        <w:tc>
          <w:tcPr/>
          <w:p>
            <w:pPr>
              <w:pStyle w:val="Compact"/>
              <w:jc w:val="left"/>
            </w:pPr>
            <w:r>
              <w:t xml:space="preserve">decision_function</w:t>
            </w:r>
          </w:p>
        </w:tc>
      </w:tr>
      <w:tr>
        <w:tc>
          <w:tcPr/>
          <w:p>
            <w:pPr>
              <w:pStyle w:val="Compact"/>
              <w:jc w:val="left"/>
            </w:pPr>
            <w:r>
              <w:t xml:space="preserve">LSTM-AE</w:t>
            </w:r>
          </w:p>
        </w:tc>
        <w:tc>
          <w:tcPr/>
          <w:p>
            <w:pPr>
              <w:pStyle w:val="Compact"/>
              <w:jc w:val="left"/>
            </w:pPr>
            <w:r>
              <w:t xml:space="preserve">1-layer LSTM enc./dec., 64 units, window 30, Adam, lr</w:t>
            </w:r>
            <w:r>
              <w:t xml:space="preserve"> </w:t>
            </w:r>
            <m:oMath>
              <m:sSup>
                <m:e>
                  <m:r>
                    <m:t>10</m:t>
                  </m:r>
                </m:e>
                <m:sup>
                  <m:r>
                    <m:rPr>
                      <m:sty m:val="p"/>
                    </m:rPr>
                    <m:t>−</m:t>
                  </m:r>
                  <m:r>
                    <m:t>3</m:t>
                  </m:r>
                </m:sup>
              </m:sSup>
            </m:oMath>
            <w:r>
              <w:t xml:space="preserve">,</w:t>
            </w:r>
          </w:p>
        </w:tc>
        <w:tc>
          <w:tcPr/>
          <w:p>
            <w:pPr>
              <w:pStyle w:val="Compact"/>
              <w:jc w:val="left"/>
            </w:pPr>
            <w:r>
              <w:t xml:space="preserve">window MSE</w:t>
            </w:r>
          </w:p>
        </w:tc>
      </w:tr>
      <w:tr>
        <w:tc>
          <w:tcPr/>
          <w:p>
            <w:pPr>
              <w:pStyle w:val="Compact"/>
            </w:pPr>
          </w:p>
        </w:tc>
        <w:tc>
          <w:tcPr/>
          <w:p>
            <w:pPr>
              <w:pStyle w:val="Compact"/>
              <w:jc w:val="left"/>
            </w:pPr>
            <w:r>
              <w:t xml:space="preserve">batch 256, 25 epochs, stride 2 (4 on HAI); raw sensors, own scaler</w:t>
            </w:r>
          </w:p>
        </w:tc>
        <w:tc>
          <w:tcPr/>
          <w:p>
            <w:pPr>
              <w:pStyle w:val="Compact"/>
            </w:pPr>
          </w:p>
        </w:tc>
      </w:tr>
      <w:tr>
        <w:tc>
          <w:tcPr>
            <w:gridSpan w:val="3"/>
          </w:tcPr>
          <w:p>
            <w:pPr>
              <w:pStyle w:val="Compact"/>
              <w:jc w:val="left"/>
            </w:pPr>
            <w:r>
              <w:t xml:space="preserve">Software: Python 3.14 (host) / 3.12 (container), NumPy 2.4.6, SciPy 1.17.1, pandas 3.0.3,</w:t>
            </w:r>
          </w:p>
        </w:tc>
      </w:tr>
      <w:tr>
        <w:tc>
          <w:tcPr>
            <w:gridSpan w:val="3"/>
          </w:tcPr>
          <w:p>
            <w:pPr>
              <w:pStyle w:val="Compact"/>
              <w:jc w:val="left"/>
            </w:pPr>
            <w:r>
              <w:t xml:space="preserve">scikit-learn 1.9.0, PyOD 3.6.7, PyTorch 2.12.1. Seeds: 0 unless stated; bootstrap: NumPy default_rng(0).</w:t>
            </w:r>
          </w:p>
        </w:tc>
      </w:tr>
    </w:tbl>
    <w:p>
      <w:pPr>
        <w:pStyle w:val="phmcaption"/>
      </w:pPr>
      <w:r>
        <w:t xml:space="preserve">Implementation details. All classical detectors receive the same standardised</w:t>
      </w:r>
      <w:r>
        <w:t xml:space="preserve"> </w:t>
      </w:r>
      <w:r>
        <w:t xml:space="preserve">feature matrix (StandardScaler fitted on training rows only); scores are oriented so</w:t>
      </w:r>
      <w:r>
        <w:t xml:space="preserve"> </w:t>
      </w:r>
      <w:r>
        <w:t xml:space="preserve">that higher means more anomalous.</w:t>
      </w:r>
    </w:p>
    <w:bookmarkEnd w:id="76"/>
    <w:bookmarkStart w:id="77" w:name="tab:skab"/>
    <w:tbl>
      <w:tblPr>
        <w:tblStyle w:val="Table"/>
        <w:tblW w:type="auto" w:w="0"/>
        <w:tblLook w:firstRow="1" w:lastRow="0" w:firstColumn="0" w:lastColumn="0" w:noHBand="0" w:noVBand="0" w:val="0020"/>
        <w:tblCaption w:val="SKAB, pooled protocol (test: last 20% of each of 34 runs, 7,503 rows, 30.0% anomalous). AUROC and MCC with 95% block-bootstrap CIs over files. MCC columns use the label-free (LF) or validation-MCC (VM) threshold; event recall uses VM; 33 fault events."/>
      </w:tblPr>
      <w:tblGrid>
        <w:gridCol w:w="1131"/>
        <w:gridCol w:w="1131"/>
        <w:gridCol w:w="1131"/>
        <w:gridCol w:w="1131"/>
        <w:gridCol w:w="1131"/>
        <w:gridCol w:w="1131"/>
        <w:gridCol w:w="1131"/>
      </w:tblGrid>
      <w:tr>
        <w:trPr>
          <w:tblHeader w:val="on"/>
        </w:trPr>
        <w:tc>
          <w:tcPr/>
          <w:p>
            <w:pPr>
              <w:pStyle w:val="Compact"/>
              <w:jc w:val="left"/>
            </w:pPr>
            <w:r>
              <w:t xml:space="preserve">Detector</w:t>
            </w:r>
          </w:p>
        </w:tc>
        <w:tc>
          <w:tcPr/>
          <w:p>
            <w:pPr>
              <w:pStyle w:val="Compact"/>
              <w:jc w:val="center"/>
            </w:pPr>
            <w:r>
              <w:t xml:space="preserve">AUROC [95% CI]</w:t>
            </w:r>
          </w:p>
        </w:tc>
        <w:tc>
          <w:tcPr/>
          <w:p>
            <w:pPr>
              <w:pStyle w:val="Compact"/>
              <w:jc w:val="center"/>
            </w:pPr>
            <w:r>
              <w:t xml:space="preserve">AUPRC</w:t>
            </w:r>
          </w:p>
        </w:tc>
        <w:tc>
          <w:tcPr/>
          <w:p>
            <w:pPr>
              <w:pStyle w:val="Compact"/>
              <w:jc w:val="center"/>
            </w:pPr>
            <w:r>
              <w:t xml:space="preserve">MCC LF</w:t>
            </w:r>
          </w:p>
        </w:tc>
        <w:tc>
          <w:tcPr/>
          <w:p>
            <w:pPr>
              <w:pStyle w:val="Compact"/>
              <w:jc w:val="center"/>
            </w:pPr>
            <w:r>
              <w:t xml:space="preserve">MCC VM [95% CI]</w:t>
            </w:r>
          </w:p>
        </w:tc>
        <w:tc>
          <w:tcPr/>
          <w:p>
            <w:pPr>
              <w:pStyle w:val="Compact"/>
              <w:jc w:val="center"/>
            </w:pPr>
            <w:r>
              <w:t xml:space="preserve">Event rec. VM</w:t>
            </w:r>
          </w:p>
        </w:tc>
        <w:tc>
          <w:tcPr/>
          <w:p>
            <w:pPr>
              <w:pStyle w:val="Compact"/>
            </w:pPr>
          </w:p>
        </w:tc>
      </w:tr>
      <w:tr>
        <w:tc>
          <w:tcPr/>
          <w:p>
            <w:pPr>
              <w:pStyle w:val="Compact"/>
              <w:jc w:val="left"/>
            </w:pPr>
            <w:r>
              <w:t xml:space="preserve">Isolation Forest</w:t>
            </w:r>
          </w:p>
        </w:tc>
        <w:tc>
          <w:tcPr/>
          <w:p>
            <w:pPr>
              <w:pStyle w:val="Compact"/>
              <w:jc w:val="center"/>
            </w:pPr>
            <w:r>
              <w:t xml:space="preserve">0.575 [0.504, 0.645]</w:t>
            </w:r>
          </w:p>
        </w:tc>
        <w:tc>
          <w:tcPr/>
          <w:p>
            <w:pPr>
              <w:pStyle w:val="Compact"/>
              <w:jc w:val="center"/>
            </w:pPr>
            <w:r>
              <w:t xml:space="preserve">0.338</w:t>
            </w:r>
          </w:p>
        </w:tc>
        <w:tc>
          <w:tcPr/>
          <w:p>
            <w:pPr>
              <w:pStyle w:val="Compact"/>
              <w:jc w:val="center"/>
            </w:pPr>
            <w:r>
              <w:t xml:space="preserve">0.005</w:t>
            </w:r>
          </w:p>
        </w:tc>
        <w:tc>
          <w:tcPr/>
          <w:p>
            <w:pPr>
              <w:pStyle w:val="Compact"/>
              <w:jc w:val="center"/>
            </w:pPr>
            <w:r>
              <w:t xml:space="preserve">0.097 [−0.026, 0.233]</w:t>
            </w:r>
          </w:p>
        </w:tc>
        <w:tc>
          <w:tcPr/>
          <w:p>
            <w:pPr>
              <w:pStyle w:val="Compact"/>
              <w:jc w:val="center"/>
            </w:pPr>
            <w:r>
              <w:t xml:space="preserve">0.94</w:t>
            </w:r>
          </w:p>
        </w:tc>
        <w:tc>
          <w:tcPr/>
          <w:p>
            <w:pPr>
              <w:pStyle w:val="Compact"/>
            </w:pPr>
          </w:p>
        </w:tc>
      </w:tr>
      <w:tr>
        <w:tc>
          <w:tcPr/>
          <w:p>
            <w:pPr>
              <w:pStyle w:val="Compact"/>
              <w:jc w:val="left"/>
            </w:pPr>
            <w:r>
              <w:t xml:space="preserve">COPOD</w:t>
            </w:r>
          </w:p>
        </w:tc>
        <w:tc>
          <w:tcPr/>
          <w:p>
            <w:pPr>
              <w:pStyle w:val="Compact"/>
              <w:jc w:val="center"/>
            </w:pPr>
            <w:r>
              <w:t xml:space="preserve">0.558 [0.507, 0.621]</w:t>
            </w:r>
          </w:p>
        </w:tc>
        <w:tc>
          <w:tcPr/>
          <w:p>
            <w:pPr>
              <w:pStyle w:val="Compact"/>
              <w:jc w:val="center"/>
            </w:pPr>
            <w:r>
              <w:t xml:space="preserve">0.320</w:t>
            </w:r>
          </w:p>
        </w:tc>
        <w:tc>
          <w:tcPr/>
          <w:p>
            <w:pPr>
              <w:pStyle w:val="Compact"/>
              <w:jc w:val="center"/>
            </w:pPr>
            <w:r>
              <w:t xml:space="preserve">−0.042</w:t>
            </w:r>
          </w:p>
        </w:tc>
        <w:tc>
          <w:tcPr/>
          <w:p>
            <w:pPr>
              <w:pStyle w:val="Compact"/>
              <w:jc w:val="center"/>
            </w:pPr>
            <w:r>
              <w:t xml:space="preserve">0.113 [0.045, 0.190]</w:t>
            </w:r>
          </w:p>
        </w:tc>
        <w:tc>
          <w:tcPr/>
          <w:p>
            <w:pPr>
              <w:pStyle w:val="Compact"/>
              <w:jc w:val="center"/>
            </w:pPr>
            <w:r>
              <w:t xml:space="preserve">1.00</w:t>
            </w:r>
          </w:p>
        </w:tc>
        <w:tc>
          <w:tcPr/>
          <w:p>
            <w:pPr>
              <w:pStyle w:val="Compact"/>
            </w:pPr>
          </w:p>
        </w:tc>
      </w:tr>
      <w:tr>
        <w:tc>
          <w:tcPr/>
          <w:p>
            <w:pPr>
              <w:pStyle w:val="Compact"/>
              <w:jc w:val="left"/>
            </w:pPr>
            <w:r>
              <w:t xml:space="preserve">ECOD</w:t>
            </w:r>
          </w:p>
        </w:tc>
        <w:tc>
          <w:tcPr/>
          <w:p>
            <w:pPr>
              <w:pStyle w:val="Compact"/>
              <w:jc w:val="center"/>
            </w:pPr>
            <w:r>
              <w:t xml:space="preserve">0.535 [0.476, 0.601]</w:t>
            </w:r>
          </w:p>
        </w:tc>
        <w:tc>
          <w:tcPr/>
          <w:p>
            <w:pPr>
              <w:pStyle w:val="Compact"/>
              <w:jc w:val="center"/>
            </w:pPr>
            <w:r>
              <w:t xml:space="preserve">0.315</w:t>
            </w:r>
          </w:p>
        </w:tc>
        <w:tc>
          <w:tcPr/>
          <w:p>
            <w:pPr>
              <w:pStyle w:val="Compact"/>
              <w:jc w:val="center"/>
            </w:pPr>
            <w:r>
              <w:t xml:space="preserve">−0.016</w:t>
            </w:r>
          </w:p>
        </w:tc>
        <w:tc>
          <w:tcPr/>
          <w:p>
            <w:pPr>
              <w:pStyle w:val="Compact"/>
              <w:jc w:val="center"/>
            </w:pPr>
            <w:r>
              <w:t xml:space="preserve">0.066 [−0.010, 0.159]</w:t>
            </w:r>
          </w:p>
        </w:tc>
        <w:tc>
          <w:tcPr/>
          <w:p>
            <w:pPr>
              <w:pStyle w:val="Compact"/>
              <w:jc w:val="center"/>
            </w:pPr>
            <w:r>
              <w:t xml:space="preserve">1.00</w:t>
            </w:r>
          </w:p>
        </w:tc>
        <w:tc>
          <w:tcPr/>
          <w:p>
            <w:pPr>
              <w:pStyle w:val="Compact"/>
            </w:pPr>
          </w:p>
        </w:tc>
      </w:tr>
      <w:tr>
        <w:tc>
          <w:tcPr/>
          <w:p>
            <w:pPr>
              <w:pStyle w:val="Compact"/>
              <w:jc w:val="left"/>
            </w:pPr>
            <w:r>
              <w:t xml:space="preserve">Elliptic Envelope</w:t>
            </w:r>
          </w:p>
        </w:tc>
        <w:tc>
          <w:tcPr/>
          <w:p>
            <w:pPr>
              <w:pStyle w:val="Compact"/>
              <w:jc w:val="center"/>
            </w:pPr>
            <w:r>
              <w:t xml:space="preserve">0.520 [0.459, 0.581]</w:t>
            </w:r>
          </w:p>
        </w:tc>
        <w:tc>
          <w:tcPr/>
          <w:p>
            <w:pPr>
              <w:pStyle w:val="Compact"/>
              <w:jc w:val="center"/>
            </w:pPr>
            <w:r>
              <w:t xml:space="preserve">0.305</w:t>
            </w:r>
          </w:p>
        </w:tc>
        <w:tc>
          <w:tcPr/>
          <w:p>
            <w:pPr>
              <w:pStyle w:val="Compact"/>
              <w:jc w:val="center"/>
            </w:pPr>
            <w:r>
              <w:t xml:space="preserve">−0.050</w:t>
            </w:r>
          </w:p>
        </w:tc>
        <w:tc>
          <w:tcPr/>
          <w:p>
            <w:pPr>
              <w:pStyle w:val="Compact"/>
              <w:jc w:val="center"/>
            </w:pPr>
            <w:r>
              <w:t xml:space="preserve">0.051 [−0.079, 0.182]</w:t>
            </w:r>
          </w:p>
        </w:tc>
        <w:tc>
          <w:tcPr/>
          <w:p>
            <w:pPr>
              <w:pStyle w:val="Compact"/>
              <w:jc w:val="center"/>
            </w:pPr>
            <w:r>
              <w:t xml:space="preserve">0.45</w:t>
            </w:r>
          </w:p>
        </w:tc>
        <w:tc>
          <w:tcPr/>
          <w:p>
            <w:pPr>
              <w:pStyle w:val="Compact"/>
            </w:pPr>
          </w:p>
        </w:tc>
      </w:tr>
      <w:tr>
        <w:tc>
          <w:tcPr/>
          <w:p>
            <w:pPr>
              <w:pStyle w:val="Compact"/>
              <w:jc w:val="left"/>
            </w:pPr>
            <w:r>
              <w:rPr>
                <w:i/>
                <w:iCs/>
              </w:rPr>
              <w:t xml:space="preserve">z</w:t>
            </w:r>
            <w:r>
              <w:t xml:space="preserve">-score</w:t>
            </w:r>
          </w:p>
        </w:tc>
        <w:tc>
          <w:tcPr/>
          <w:p>
            <w:pPr>
              <w:pStyle w:val="Compact"/>
              <w:jc w:val="center"/>
            </w:pPr>
            <w:r>
              <w:t xml:space="preserve">0.513 [0.477, 0.554]</w:t>
            </w:r>
          </w:p>
        </w:tc>
        <w:tc>
          <w:tcPr/>
          <w:p>
            <w:pPr>
              <w:pStyle w:val="Compact"/>
              <w:jc w:val="center"/>
            </w:pPr>
            <w:r>
              <w:t xml:space="preserve">0.307</w:t>
            </w:r>
          </w:p>
        </w:tc>
        <w:tc>
          <w:tcPr/>
          <w:p>
            <w:pPr>
              <w:pStyle w:val="Compact"/>
              <w:jc w:val="center"/>
            </w:pPr>
            <w:r>
              <w:t xml:space="preserve">−0.051</w:t>
            </w:r>
          </w:p>
        </w:tc>
        <w:tc>
          <w:tcPr/>
          <w:p>
            <w:pPr>
              <w:pStyle w:val="Compact"/>
              <w:jc w:val="center"/>
            </w:pPr>
            <w:r>
              <w:t xml:space="preserve">−0.032 [−0.102, 0.039]</w:t>
            </w:r>
          </w:p>
        </w:tc>
        <w:tc>
          <w:tcPr/>
          <w:p>
            <w:pPr>
              <w:pStyle w:val="Compact"/>
              <w:jc w:val="center"/>
            </w:pPr>
            <w:r>
              <w:t xml:space="preserve">0.48</w:t>
            </w:r>
          </w:p>
        </w:tc>
        <w:tc>
          <w:tcPr/>
          <w:p>
            <w:pPr>
              <w:pStyle w:val="Compact"/>
            </w:pPr>
          </w:p>
        </w:tc>
      </w:tr>
      <w:tr>
        <w:tc>
          <w:tcPr/>
          <w:p>
            <w:pPr>
              <w:pStyle w:val="Compact"/>
              <w:jc w:val="left"/>
            </w:pPr>
            <w:r>
              <w:t xml:space="preserve">HBOS</w:t>
            </w:r>
          </w:p>
        </w:tc>
        <w:tc>
          <w:tcPr/>
          <w:p>
            <w:pPr>
              <w:pStyle w:val="Compact"/>
              <w:jc w:val="center"/>
            </w:pPr>
            <w:r>
              <w:t xml:space="preserve">0.510 [0.420, 0.602]</w:t>
            </w:r>
          </w:p>
        </w:tc>
        <w:tc>
          <w:tcPr/>
          <w:p>
            <w:pPr>
              <w:pStyle w:val="Compact"/>
              <w:jc w:val="center"/>
            </w:pPr>
            <w:r>
              <w:t xml:space="preserve">0.315</w:t>
            </w:r>
          </w:p>
        </w:tc>
        <w:tc>
          <w:tcPr/>
          <w:p>
            <w:pPr>
              <w:pStyle w:val="Compact"/>
              <w:jc w:val="center"/>
            </w:pPr>
            <w:r>
              <w:t xml:space="preserve">0.041</w:t>
            </w:r>
          </w:p>
        </w:tc>
        <w:tc>
          <w:tcPr/>
          <w:p>
            <w:pPr>
              <w:pStyle w:val="Compact"/>
              <w:jc w:val="center"/>
            </w:pPr>
            <w:r>
              <w:t xml:space="preserve">0.012 [−0.116, 0.152]</w:t>
            </w:r>
          </w:p>
        </w:tc>
        <w:tc>
          <w:tcPr/>
          <w:p>
            <w:pPr>
              <w:pStyle w:val="Compact"/>
              <w:jc w:val="center"/>
            </w:pPr>
            <w:r>
              <w:t xml:space="preserve">0.85</w:t>
            </w:r>
          </w:p>
        </w:tc>
        <w:tc>
          <w:tcPr/>
          <w:p>
            <w:pPr>
              <w:pStyle w:val="Compact"/>
            </w:pPr>
          </w:p>
        </w:tc>
      </w:tr>
      <w:tr>
        <w:tc>
          <w:tcPr/>
          <w:p>
            <w:pPr>
              <w:pStyle w:val="Compact"/>
              <w:jc w:val="left"/>
            </w:pPr>
            <w:r>
              <w:t xml:space="preserve">One-Class SVM</w:t>
            </w:r>
          </w:p>
        </w:tc>
        <w:tc>
          <w:tcPr/>
          <w:p>
            <w:pPr>
              <w:pStyle w:val="Compact"/>
              <w:jc w:val="center"/>
            </w:pPr>
            <w:r>
              <w:t xml:space="preserve">0.498 [0.463, 0.533]</w:t>
            </w:r>
          </w:p>
        </w:tc>
        <w:tc>
          <w:tcPr/>
          <w:p>
            <w:pPr>
              <w:pStyle w:val="Compact"/>
              <w:jc w:val="center"/>
            </w:pPr>
            <w:r>
              <w:t xml:space="preserve">0.300</w:t>
            </w:r>
          </w:p>
        </w:tc>
        <w:tc>
          <w:tcPr/>
          <w:p>
            <w:pPr>
              <w:pStyle w:val="Compact"/>
              <w:jc w:val="center"/>
            </w:pPr>
            <w:r>
              <w:t xml:space="preserve">−0.035</w:t>
            </w:r>
          </w:p>
        </w:tc>
        <w:tc>
          <w:tcPr/>
          <w:p>
            <w:pPr>
              <w:pStyle w:val="Compact"/>
              <w:jc w:val="center"/>
            </w:pPr>
            <w:r>
              <w:t xml:space="preserve">−0.042 [−0.106, 0.009]</w:t>
            </w:r>
          </w:p>
        </w:tc>
        <w:tc>
          <w:tcPr/>
          <w:p>
            <w:pPr>
              <w:pStyle w:val="Compact"/>
              <w:jc w:val="center"/>
            </w:pPr>
            <w:r>
              <w:t xml:space="preserve">0.73</w:t>
            </w:r>
          </w:p>
        </w:tc>
        <w:tc>
          <w:tcPr/>
          <w:p>
            <w:pPr>
              <w:pStyle w:val="Compact"/>
            </w:pPr>
          </w:p>
        </w:tc>
      </w:tr>
      <w:tr>
        <w:tc>
          <w:tcPr/>
          <w:p>
            <w:pPr>
              <w:pStyle w:val="Compact"/>
              <w:jc w:val="left"/>
            </w:pPr>
            <w:r>
              <w:t xml:space="preserve">PCA-recon</w:t>
            </w:r>
          </w:p>
        </w:tc>
        <w:tc>
          <w:tcPr/>
          <w:p>
            <w:pPr>
              <w:pStyle w:val="Compact"/>
              <w:jc w:val="center"/>
            </w:pPr>
            <w:r>
              <w:t xml:space="preserve">0.489 [0.455, 0.517]</w:t>
            </w:r>
          </w:p>
        </w:tc>
        <w:tc>
          <w:tcPr/>
          <w:p>
            <w:pPr>
              <w:pStyle w:val="Compact"/>
              <w:jc w:val="center"/>
            </w:pPr>
            <w:r>
              <w:t xml:space="preserve">0.294</w:t>
            </w:r>
          </w:p>
        </w:tc>
        <w:tc>
          <w:tcPr/>
          <w:p>
            <w:pPr>
              <w:pStyle w:val="Compact"/>
              <w:jc w:val="center"/>
            </w:pPr>
            <w:r>
              <w:t xml:space="preserve">−0.046</w:t>
            </w:r>
          </w:p>
        </w:tc>
        <w:tc>
          <w:tcPr/>
          <w:p>
            <w:pPr>
              <w:pStyle w:val="Compact"/>
              <w:jc w:val="center"/>
            </w:pPr>
            <w:r>
              <w:t xml:space="preserve">−0.047 [−0.104, −0.005]</w:t>
            </w:r>
          </w:p>
        </w:tc>
        <w:tc>
          <w:tcPr/>
          <w:p>
            <w:pPr>
              <w:pStyle w:val="Compact"/>
              <w:jc w:val="center"/>
            </w:pPr>
            <w:r>
              <w:t xml:space="preserve">0.76</w:t>
            </w:r>
          </w:p>
        </w:tc>
        <w:tc>
          <w:tcPr/>
          <w:p>
            <w:pPr>
              <w:pStyle w:val="Compact"/>
            </w:pPr>
          </w:p>
        </w:tc>
      </w:tr>
      <w:tr>
        <w:tc>
          <w:tcPr/>
          <w:p>
            <w:pPr>
              <w:pStyle w:val="Compact"/>
              <w:jc w:val="left"/>
            </w:pPr>
            <w:r>
              <w:t xml:space="preserve">LOF</w:t>
            </w:r>
          </w:p>
        </w:tc>
        <w:tc>
          <w:tcPr/>
          <w:p>
            <w:pPr>
              <w:pStyle w:val="Compact"/>
              <w:jc w:val="center"/>
            </w:pPr>
            <w:r>
              <w:t xml:space="preserve">0.489 [0.450, 0.533]</w:t>
            </w:r>
          </w:p>
        </w:tc>
        <w:tc>
          <w:tcPr/>
          <w:p>
            <w:pPr>
              <w:pStyle w:val="Compact"/>
              <w:jc w:val="center"/>
            </w:pPr>
            <w:r>
              <w:t xml:space="preserve">0.299</w:t>
            </w:r>
          </w:p>
        </w:tc>
        <w:tc>
          <w:tcPr/>
          <w:p>
            <w:pPr>
              <w:pStyle w:val="Compact"/>
              <w:jc w:val="center"/>
            </w:pPr>
            <w:r>
              <w:t xml:space="preserve">0.007</w:t>
            </w:r>
          </w:p>
        </w:tc>
        <w:tc>
          <w:tcPr/>
          <w:p>
            <w:pPr>
              <w:pStyle w:val="Compact"/>
              <w:jc w:val="center"/>
            </w:pPr>
            <w:r>
              <w:t xml:space="preserve">−0.021 [−0.073, 0.032]</w:t>
            </w:r>
          </w:p>
        </w:tc>
        <w:tc>
          <w:tcPr/>
          <w:p>
            <w:pPr>
              <w:pStyle w:val="Compact"/>
              <w:jc w:val="center"/>
            </w:pPr>
            <w:r>
              <w:t xml:space="preserve">0.82</w:t>
            </w:r>
          </w:p>
        </w:tc>
        <w:tc>
          <w:tcPr/>
          <w:p>
            <w:pPr>
              <w:pStyle w:val="Compact"/>
            </w:pPr>
          </w:p>
        </w:tc>
      </w:tr>
      <w:tr>
        <w:tc>
          <w:tcPr/>
          <w:p>
            <w:pPr>
              <w:pStyle w:val="Compact"/>
              <w:jc w:val="left"/>
            </w:pPr>
            <w:r>
              <w:t xml:space="preserve">LSTM-AE</w:t>
            </w:r>
          </w:p>
        </w:tc>
        <w:tc>
          <w:tcPr/>
          <w:p>
            <w:pPr>
              <w:pStyle w:val="Compact"/>
              <w:jc w:val="center"/>
            </w:pPr>
            <w:r>
              <w:t xml:space="preserve">0.442 [0.392, 0.500]</w:t>
            </w:r>
          </w:p>
        </w:tc>
        <w:tc>
          <w:tcPr/>
          <w:p>
            <w:pPr>
              <w:pStyle w:val="Compact"/>
              <w:jc w:val="center"/>
            </w:pPr>
            <w:r>
              <w:t xml:space="preserve">0.267</w:t>
            </w:r>
          </w:p>
        </w:tc>
        <w:tc>
          <w:tcPr/>
          <w:p>
            <w:pPr>
              <w:pStyle w:val="Compact"/>
              <w:jc w:val="center"/>
            </w:pPr>
            <w:r>
              <w:t xml:space="preserve">−0.075</w:t>
            </w:r>
          </w:p>
        </w:tc>
        <w:tc>
          <w:tcPr/>
          <w:p>
            <w:pPr>
              <w:pStyle w:val="Compact"/>
              <w:jc w:val="center"/>
            </w:pPr>
            <w:r>
              <w:t xml:space="preserve">−0.078 [−0.165, −0.007]</w:t>
            </w:r>
          </w:p>
        </w:tc>
        <w:tc>
          <w:tcPr/>
          <w:p>
            <w:pPr>
              <w:pStyle w:val="Compact"/>
              <w:jc w:val="center"/>
            </w:pPr>
            <w:r>
              <w:t xml:space="preserve">0.27</w:t>
            </w:r>
          </w:p>
        </w:tc>
        <w:tc>
          <w:tcPr/>
          <w:p>
            <w:pPr>
              <w:pStyle w:val="Compact"/>
            </w:pPr>
          </w:p>
        </w:tc>
      </w:tr>
    </w:tbl>
    <w:p>
      <w:pPr>
        <w:pStyle w:val="phmcaption"/>
      </w:pPr>
      <w:r>
        <w:t xml:space="preserve">SKAB, pooled protocol (test: last 20% of each of 34 runs, 7</w:t>
      </w:r>
      <w:r>
        <w:t xml:space="preserve">,</w:t>
      </w:r>
      <w:r>
        <w:t xml:space="preserve">503 rows,</w:t>
      </w:r>
      <w:r>
        <w:t xml:space="preserve"> </w:t>
      </w:r>
      <w:r>
        <w:t xml:space="preserve">30.0% anomalous). AUROC and MCC with 95% block-bootstrap CIs over files. MCC</w:t>
      </w:r>
      <w:r>
        <w:t xml:space="preserve"> </w:t>
      </w:r>
      <w:r>
        <w:t xml:space="preserve">columns use the label-free (LF) or validation-MCC (VM) threshold; event recall</w:t>
      </w:r>
      <w:r>
        <w:t xml:space="preserve"> </w:t>
      </w:r>
      <w:r>
        <w:t xml:space="preserve">uses VM; 33 fault events.</w:t>
      </w:r>
    </w:p>
    <w:bookmarkEnd w:id="77"/>
    <w:bookmarkStart w:id="81" w:name="fig:auroc"/>
    <w:p>
      <w:pPr>
        <w:pStyle w:val="phmfigures"/>
      </w:pPr>
      <w:r>
        <w:drawing>
          <wp:inline>
            <wp:extent cx="6400800" cy="1845564"/>
            <wp:effectExtent b="0" l="0" r="0" t="0"/>
            <wp:docPr descr="" title="" id="79" name="Picture"/>
            <a:graphic>
              <a:graphicData uri="http://schemas.openxmlformats.org/drawingml/2006/picture">
                <pic:pic>
                  <pic:nvPicPr>
                    <pic:cNvPr descr="auroc_ci.png" id="80" name="Picture"/>
                    <pic:cNvPicPr>
                      <a:picLocks noChangeArrowheads="1" noChangeAspect="1"/>
                    </pic:cNvPicPr>
                  </pic:nvPicPr>
                  <pic:blipFill>
                    <a:blip r:embed="rId78"/>
                    <a:stretch>
                      <a:fillRect/>
                    </a:stretch>
                  </pic:blipFill>
                  <pic:spPr bwMode="auto">
                    <a:xfrm>
                      <a:off x="0" y="0"/>
                      <a:ext cx="6400800" cy="1845564"/>
                    </a:xfrm>
                    <a:prstGeom prst="rect">
                      <a:avLst/>
                    </a:prstGeom>
                    <a:noFill/>
                    <a:ln w="9525">
                      <a:noFill/>
                      <a:headEnd/>
                      <a:tailEnd/>
                    </a:ln>
                  </pic:spPr>
                </pic:pic>
              </a:graphicData>
            </a:graphic>
          </wp:inline>
        </w:drawing>
      </w:r>
    </w:p>
    <w:p>
      <w:pPr>
        <w:pStyle w:val="phmcaption"/>
      </w:pPr>
      <w:r>
        <w:t xml:space="preserve">AUROC with 95% block-bootstrap confidence intervals (blocks: test files on</w:t>
      </w:r>
      <w:r>
        <w:t xml:space="preserve"> </w:t>
      </w:r>
      <w:r>
        <w:t xml:space="preserve">SKAB, one-hour blocks on SWaT, WADI and HAI). Dashed line: chance. On SKAB (pooled) no</w:t>
      </w:r>
      <w:r>
        <w:t xml:space="preserve"> </w:t>
      </w:r>
      <w:r>
        <w:t xml:space="preserve">detector is clearly above chance; on SWaT (official release) all ten are well above</w:t>
      </w:r>
      <w:r>
        <w:t xml:space="preserve"> </w:t>
      </w:r>
      <w:r>
        <w:t xml:space="preserve">chance and statistically indistinguishable; on WADI only the per-feature detectors are</w:t>
      </w:r>
      <w:r>
        <w:t xml:space="preserve"> </w:t>
      </w:r>
      <w:r>
        <w:t xml:space="preserve">above chance while three analysers drift; on HAI a leading group separates from HBOS and</w:t>
      </w:r>
      <w:r>
        <w:t xml:space="preserve"> </w:t>
      </w:r>
      <w:r>
        <w:t xml:space="preserve">Elliptic Envelope.</w:t>
      </w:r>
    </w:p>
    <w:bookmarkEnd w:id="81"/>
    <w:bookmarkStart w:id="82" w:name="tab:swat"/>
    <w:tbl>
      <w:tblPr>
        <w:tblStyle w:val="Table"/>
        <w:tblW w:type="auto" w:w="0"/>
        <w:tblLook w:firstRow="1" w:lastRow="0" w:firstColumn="0" w:lastColumn="0" w:noHBand="0" w:noVBand="0" w:val="0020"/>
        <w:tblCaption w:val="SWaT, official release, standard protocol, 25 sensors (test: full attack period, 449,919 rows, 12.1% attacks, 35 contiguous attack segments). AUROC and MCC with 95% block-bootstrap CIs (one-hour blocks). LF: label-free threshold (99th percentile of held-out normal-week scores); FAR: false-alarm rate on the attack period’s normal rows; VM: validation-MCC threshold calibrated on the first third, scored on the last two thirds."/>
      </w:tblPr>
      <w:tblGrid>
        <w:gridCol w:w="1131"/>
        <w:gridCol w:w="1131"/>
        <w:gridCol w:w="1131"/>
        <w:gridCol w:w="1131"/>
        <w:gridCol w:w="1131"/>
        <w:gridCol w:w="1131"/>
        <w:gridCol w:w="1131"/>
      </w:tblGrid>
      <w:tr>
        <w:trPr>
          <w:tblHeader w:val="on"/>
        </w:trPr>
        <w:tc>
          <w:tcPr/>
          <w:p>
            <w:pPr>
              <w:pStyle w:val="Compact"/>
              <w:jc w:val="left"/>
            </w:pPr>
            <w:r>
              <w:t xml:space="preserve">Detector</w:t>
            </w:r>
          </w:p>
        </w:tc>
        <w:tc>
          <w:tcPr/>
          <w:p>
            <w:pPr>
              <w:pStyle w:val="Compact"/>
              <w:jc w:val="center"/>
            </w:pPr>
            <w:r>
              <w:t xml:space="preserve">AUROC [95% CI]</w:t>
            </w:r>
          </w:p>
        </w:tc>
        <w:tc>
          <w:tcPr/>
          <w:p>
            <w:pPr>
              <w:pStyle w:val="Compact"/>
              <w:jc w:val="center"/>
            </w:pPr>
            <w:r>
              <w:t xml:space="preserve">AUPRC</w:t>
            </w:r>
          </w:p>
        </w:tc>
        <w:tc>
          <w:tcPr/>
          <w:p>
            <w:pPr>
              <w:pStyle w:val="Compact"/>
              <w:jc w:val="center"/>
            </w:pPr>
            <w:r>
              <w:t xml:space="preserve">MCC LF [95% CI]</w:t>
            </w:r>
          </w:p>
        </w:tc>
        <w:tc>
          <w:tcPr/>
          <w:p>
            <w:pPr>
              <w:pStyle w:val="Compact"/>
              <w:jc w:val="center"/>
            </w:pPr>
            <w:r>
              <w:t xml:space="preserve">FAR LF</w:t>
            </w:r>
          </w:p>
        </w:tc>
        <w:tc>
          <w:tcPr/>
          <w:p>
            <w:pPr>
              <w:pStyle w:val="Compact"/>
              <w:jc w:val="center"/>
            </w:pPr>
            <w:r>
              <w:t xml:space="preserve">Event rec. LF</w:t>
            </w:r>
          </w:p>
        </w:tc>
        <w:tc>
          <w:tcPr/>
          <w:p>
            <w:pPr>
              <w:pStyle w:val="Compact"/>
              <w:jc w:val="center"/>
            </w:pPr>
            <w:r>
              <w:t xml:space="preserve">MCC VM</w:t>
            </w:r>
          </w:p>
        </w:tc>
      </w:tr>
      <w:tr>
        <w:tc>
          <w:tcPr/>
          <w:p>
            <w:pPr>
              <w:pStyle w:val="Compact"/>
              <w:jc w:val="left"/>
            </w:pPr>
            <w:r>
              <w:t xml:space="preserve">ECOD</w:t>
            </w:r>
          </w:p>
        </w:tc>
        <w:tc>
          <w:tcPr/>
          <w:p>
            <w:pPr>
              <w:pStyle w:val="Compact"/>
              <w:jc w:val="center"/>
            </w:pPr>
            <w:r>
              <w:t xml:space="preserve">0.856 [0.777, 0.925]</w:t>
            </w:r>
          </w:p>
        </w:tc>
        <w:tc>
          <w:tcPr/>
          <w:p>
            <w:pPr>
              <w:pStyle w:val="Compact"/>
              <w:jc w:val="center"/>
            </w:pPr>
            <w:r>
              <w:t xml:space="preserve">0.694</w:t>
            </w:r>
          </w:p>
        </w:tc>
        <w:tc>
          <w:tcPr/>
          <w:p>
            <w:pPr>
              <w:pStyle w:val="Compact"/>
              <w:jc w:val="center"/>
            </w:pPr>
            <w:r>
              <w:t xml:space="preserve">0.336 [0.216, 0.425]</w:t>
            </w:r>
          </w:p>
        </w:tc>
        <w:tc>
          <w:tcPr/>
          <w:p>
            <w:pPr>
              <w:pStyle w:val="Compact"/>
              <w:jc w:val="center"/>
            </w:pPr>
            <w:r>
              <w:t xml:space="preserve">0.002</w:t>
            </w:r>
          </w:p>
        </w:tc>
        <w:tc>
          <w:tcPr/>
          <w:p>
            <w:pPr>
              <w:pStyle w:val="Compact"/>
              <w:jc w:val="center"/>
            </w:pPr>
            <w:r>
              <w:t xml:space="preserve">0.26</w:t>
            </w:r>
          </w:p>
        </w:tc>
        <w:tc>
          <w:tcPr/>
          <w:p>
            <w:pPr>
              <w:pStyle w:val="Compact"/>
              <w:jc w:val="center"/>
            </w:pPr>
            <w:r>
              <w:t xml:space="preserve">0.617</w:t>
            </w:r>
          </w:p>
        </w:tc>
      </w:tr>
      <w:tr>
        <w:tc>
          <w:tcPr/>
          <w:p>
            <w:pPr>
              <w:pStyle w:val="Compact"/>
              <w:jc w:val="left"/>
            </w:pPr>
            <w:r>
              <w:t xml:space="preserve">COPOD</w:t>
            </w:r>
          </w:p>
        </w:tc>
        <w:tc>
          <w:tcPr/>
          <w:p>
            <w:pPr>
              <w:pStyle w:val="Compact"/>
              <w:jc w:val="center"/>
            </w:pPr>
            <w:r>
              <w:t xml:space="preserve">0.849 [0.770, 0.918]</w:t>
            </w:r>
          </w:p>
        </w:tc>
        <w:tc>
          <w:tcPr/>
          <w:p>
            <w:pPr>
              <w:pStyle w:val="Compact"/>
              <w:jc w:val="center"/>
            </w:pPr>
            <w:r>
              <w:t xml:space="preserve">0.726</w:t>
            </w:r>
          </w:p>
        </w:tc>
        <w:tc>
          <w:tcPr/>
          <w:p>
            <w:pPr>
              <w:pStyle w:val="Compact"/>
              <w:jc w:val="center"/>
            </w:pPr>
            <w:r>
              <w:t xml:space="preserve">0.628 [0.488, 0.730]</w:t>
            </w:r>
          </w:p>
        </w:tc>
        <w:tc>
          <w:tcPr/>
          <w:p>
            <w:pPr>
              <w:pStyle w:val="Compact"/>
              <w:jc w:val="center"/>
            </w:pPr>
            <w:r>
              <w:t xml:space="preserve">0.001</w:t>
            </w:r>
          </w:p>
        </w:tc>
        <w:tc>
          <w:tcPr/>
          <w:p>
            <w:pPr>
              <w:pStyle w:val="Compact"/>
              <w:jc w:val="center"/>
            </w:pPr>
            <w:r>
              <w:t xml:space="preserve">0.17</w:t>
            </w:r>
          </w:p>
        </w:tc>
        <w:tc>
          <w:tcPr/>
          <w:p>
            <w:pPr>
              <w:pStyle w:val="Compact"/>
              <w:jc w:val="center"/>
            </w:pPr>
            <w:r>
              <w:t xml:space="preserve">0.788</w:t>
            </w:r>
          </w:p>
        </w:tc>
      </w:tr>
      <w:tr>
        <w:tc>
          <w:tcPr/>
          <w:p>
            <w:pPr>
              <w:pStyle w:val="Compact"/>
              <w:jc w:val="left"/>
            </w:pPr>
            <w:r>
              <w:t xml:space="preserve">HBOS</w:t>
            </w:r>
          </w:p>
        </w:tc>
        <w:tc>
          <w:tcPr/>
          <w:p>
            <w:pPr>
              <w:pStyle w:val="Compact"/>
              <w:jc w:val="center"/>
            </w:pPr>
            <w:r>
              <w:t xml:space="preserve">0.826 [0.735, 0.903]</w:t>
            </w:r>
          </w:p>
        </w:tc>
        <w:tc>
          <w:tcPr/>
          <w:p>
            <w:pPr>
              <w:pStyle w:val="Compact"/>
              <w:jc w:val="center"/>
            </w:pPr>
            <w:r>
              <w:t xml:space="preserve">0.553</w:t>
            </w:r>
          </w:p>
        </w:tc>
        <w:tc>
          <w:tcPr/>
          <w:p>
            <w:pPr>
              <w:pStyle w:val="Compact"/>
              <w:jc w:val="center"/>
            </w:pPr>
            <w:r>
              <w:t xml:space="preserve">0.463 [0.306, 0.584]</w:t>
            </w:r>
          </w:p>
        </w:tc>
        <w:tc>
          <w:tcPr/>
          <w:p>
            <w:pPr>
              <w:pStyle w:val="Compact"/>
              <w:jc w:val="center"/>
            </w:pPr>
            <w:r>
              <w:t xml:space="preserve">0.118</w:t>
            </w:r>
          </w:p>
        </w:tc>
        <w:tc>
          <w:tcPr/>
          <w:p>
            <w:pPr>
              <w:pStyle w:val="Compact"/>
              <w:jc w:val="center"/>
            </w:pPr>
            <w:r>
              <w:t xml:space="preserve">0.63</w:t>
            </w:r>
          </w:p>
        </w:tc>
        <w:tc>
          <w:tcPr/>
          <w:p>
            <w:pPr>
              <w:pStyle w:val="Compact"/>
              <w:jc w:val="center"/>
            </w:pPr>
            <w:r>
              <w:t xml:space="preserve">0.440</w:t>
            </w:r>
          </w:p>
        </w:tc>
      </w:tr>
      <w:tr>
        <w:tc>
          <w:tcPr/>
          <w:p>
            <w:pPr>
              <w:pStyle w:val="Compact"/>
              <w:jc w:val="left"/>
            </w:pPr>
            <w:r>
              <w:t xml:space="preserve">Isolation Forest</w:t>
            </w:r>
          </w:p>
        </w:tc>
        <w:tc>
          <w:tcPr/>
          <w:p>
            <w:pPr>
              <w:pStyle w:val="Compact"/>
              <w:jc w:val="center"/>
            </w:pPr>
            <w:r>
              <w:t xml:space="preserve">0.824 [0.726, 0.895]</w:t>
            </w:r>
          </w:p>
        </w:tc>
        <w:tc>
          <w:tcPr/>
          <w:p>
            <w:pPr>
              <w:pStyle w:val="Compact"/>
              <w:jc w:val="center"/>
            </w:pPr>
            <w:r>
              <w:t xml:space="preserve">0.563</w:t>
            </w:r>
          </w:p>
        </w:tc>
        <w:tc>
          <w:tcPr/>
          <w:p>
            <w:pPr>
              <w:pStyle w:val="Compact"/>
              <w:jc w:val="center"/>
            </w:pPr>
            <w:r>
              <w:t xml:space="preserve">0.539 [0.369, 0.675]</w:t>
            </w:r>
          </w:p>
        </w:tc>
        <w:tc>
          <w:tcPr/>
          <w:p>
            <w:pPr>
              <w:pStyle w:val="Compact"/>
              <w:jc w:val="center"/>
            </w:pPr>
            <w:r>
              <w:t xml:space="preserve">0.070</w:t>
            </w:r>
          </w:p>
        </w:tc>
        <w:tc>
          <w:tcPr/>
          <w:p>
            <w:pPr>
              <w:pStyle w:val="Compact"/>
              <w:jc w:val="center"/>
            </w:pPr>
            <w:r>
              <w:t xml:space="preserve">0.69</w:t>
            </w:r>
          </w:p>
        </w:tc>
        <w:tc>
          <w:tcPr/>
          <w:p>
            <w:pPr>
              <w:pStyle w:val="Compact"/>
              <w:jc w:val="center"/>
            </w:pPr>
            <w:r>
              <w:t xml:space="preserve">0.552</w:t>
            </w:r>
          </w:p>
        </w:tc>
      </w:tr>
      <w:tr>
        <w:tc>
          <w:tcPr/>
          <w:p>
            <w:pPr>
              <w:pStyle w:val="Compact"/>
              <w:jc w:val="left"/>
            </w:pPr>
            <w:r>
              <w:t xml:space="preserve">LSTM-AE</w:t>
            </w:r>
          </w:p>
        </w:tc>
        <w:tc>
          <w:tcPr/>
          <w:p>
            <w:pPr>
              <w:pStyle w:val="Compact"/>
              <w:jc w:val="center"/>
            </w:pPr>
            <w:r>
              <w:t xml:space="preserve">0.822 [0.722, 0.899]</w:t>
            </w:r>
          </w:p>
        </w:tc>
        <w:tc>
          <w:tcPr/>
          <w:p>
            <w:pPr>
              <w:pStyle w:val="Compact"/>
              <w:jc w:val="center"/>
            </w:pPr>
            <w:r>
              <w:t xml:space="preserve">0.731</w:t>
            </w:r>
          </w:p>
        </w:tc>
        <w:tc>
          <w:tcPr/>
          <w:p>
            <w:pPr>
              <w:pStyle w:val="Compact"/>
              <w:jc w:val="center"/>
            </w:pPr>
            <w:r>
              <w:t xml:space="preserve">0.130 [0.056, 0.200]</w:t>
            </w:r>
          </w:p>
        </w:tc>
        <w:tc>
          <w:tcPr/>
          <w:p>
            <w:pPr>
              <w:pStyle w:val="Compact"/>
              <w:jc w:val="center"/>
            </w:pPr>
            <w:r>
              <w:t xml:space="preserve">0.742</w:t>
            </w:r>
          </w:p>
        </w:tc>
        <w:tc>
          <w:tcPr/>
          <w:p>
            <w:pPr>
              <w:pStyle w:val="Compact"/>
              <w:jc w:val="center"/>
            </w:pPr>
            <w:r>
              <w:t xml:space="preserve">0.89</w:t>
            </w:r>
          </w:p>
        </w:tc>
        <w:tc>
          <w:tcPr/>
          <w:p>
            <w:pPr>
              <w:pStyle w:val="Compact"/>
              <w:jc w:val="center"/>
            </w:pPr>
            <w:r>
              <w:t xml:space="preserve">0.101</w:t>
            </w:r>
          </w:p>
        </w:tc>
      </w:tr>
      <w:tr>
        <w:tc>
          <w:tcPr/>
          <w:p>
            <w:pPr>
              <w:pStyle w:val="Compact"/>
              <w:jc w:val="left"/>
            </w:pPr>
            <w:r>
              <w:t xml:space="preserve">Elliptic Envelope</w:t>
            </w:r>
          </w:p>
        </w:tc>
        <w:tc>
          <w:tcPr/>
          <w:p>
            <w:pPr>
              <w:pStyle w:val="Compact"/>
              <w:jc w:val="center"/>
            </w:pPr>
            <w:r>
              <w:t xml:space="preserve">0.821 [0.727, 0.890]</w:t>
            </w:r>
          </w:p>
        </w:tc>
        <w:tc>
          <w:tcPr/>
          <w:p>
            <w:pPr>
              <w:pStyle w:val="Compact"/>
              <w:jc w:val="center"/>
            </w:pPr>
            <w:r>
              <w:t xml:space="preserve">0.509</w:t>
            </w:r>
          </w:p>
        </w:tc>
        <w:tc>
          <w:tcPr/>
          <w:p>
            <w:pPr>
              <w:pStyle w:val="Compact"/>
              <w:jc w:val="center"/>
            </w:pPr>
            <w:r>
              <w:t xml:space="preserve">0.005 [−0.031, 0.052]</w:t>
            </w:r>
          </w:p>
        </w:tc>
        <w:tc>
          <w:tcPr/>
          <w:p>
            <w:pPr>
              <w:pStyle w:val="Compact"/>
              <w:jc w:val="center"/>
            </w:pPr>
            <w:r>
              <w:t xml:space="preserve">0.015</w:t>
            </w:r>
          </w:p>
        </w:tc>
        <w:tc>
          <w:tcPr/>
          <w:p>
            <w:pPr>
              <w:pStyle w:val="Compact"/>
              <w:jc w:val="center"/>
            </w:pPr>
            <w:r>
              <w:t xml:space="preserve">0.74</w:t>
            </w:r>
          </w:p>
        </w:tc>
        <w:tc>
          <w:tcPr/>
          <w:p>
            <w:pPr>
              <w:pStyle w:val="Compact"/>
              <w:jc w:val="center"/>
            </w:pPr>
            <w:r>
              <w:t xml:space="preserve">0.401</w:t>
            </w:r>
          </w:p>
        </w:tc>
      </w:tr>
      <w:tr>
        <w:tc>
          <w:tcPr/>
          <w:p>
            <w:pPr>
              <w:pStyle w:val="Compact"/>
              <w:jc w:val="left"/>
            </w:pPr>
            <w:r>
              <w:t xml:space="preserve">LOF</w:t>
            </w:r>
          </w:p>
        </w:tc>
        <w:tc>
          <w:tcPr/>
          <w:p>
            <w:pPr>
              <w:pStyle w:val="Compact"/>
              <w:jc w:val="center"/>
            </w:pPr>
            <w:r>
              <w:t xml:space="preserve">0.820 [0.721, 0.897]</w:t>
            </w:r>
          </w:p>
        </w:tc>
        <w:tc>
          <w:tcPr/>
          <w:p>
            <w:pPr>
              <w:pStyle w:val="Compact"/>
              <w:jc w:val="center"/>
            </w:pPr>
            <w:r>
              <w:t xml:space="preserve">0.718</w:t>
            </w:r>
          </w:p>
        </w:tc>
        <w:tc>
          <w:tcPr/>
          <w:p>
            <w:pPr>
              <w:pStyle w:val="Compact"/>
              <w:jc w:val="center"/>
            </w:pPr>
            <w:r>
              <w:t xml:space="preserve">0.149 [0.090, 0.212]</w:t>
            </w:r>
          </w:p>
        </w:tc>
        <w:tc>
          <w:tcPr/>
          <w:p>
            <w:pPr>
              <w:pStyle w:val="Compact"/>
              <w:jc w:val="center"/>
            </w:pPr>
            <w:r>
              <w:t xml:space="preserve">0.748</w:t>
            </w:r>
          </w:p>
        </w:tc>
        <w:tc>
          <w:tcPr/>
          <w:p>
            <w:pPr>
              <w:pStyle w:val="Compact"/>
              <w:jc w:val="center"/>
            </w:pPr>
            <w:r>
              <w:t xml:space="preserve">1.00</w:t>
            </w:r>
          </w:p>
        </w:tc>
        <w:tc>
          <w:tcPr/>
          <w:p>
            <w:pPr>
              <w:pStyle w:val="Compact"/>
              <w:jc w:val="center"/>
            </w:pPr>
            <w:r>
              <w:t xml:space="preserve">0.742</w:t>
            </w:r>
          </w:p>
        </w:tc>
      </w:tr>
      <w:tr>
        <w:tc>
          <w:tcPr/>
          <w:p>
            <w:pPr>
              <w:pStyle w:val="Compact"/>
              <w:jc w:val="left"/>
            </w:pPr>
            <w:r>
              <w:t xml:space="preserve">One-Class SVM</w:t>
            </w:r>
          </w:p>
        </w:tc>
        <w:tc>
          <w:tcPr/>
          <w:p>
            <w:pPr>
              <w:pStyle w:val="Compact"/>
              <w:jc w:val="center"/>
            </w:pPr>
            <w:r>
              <w:t xml:space="preserve">0.816 [0.711, 0.896]</w:t>
            </w:r>
          </w:p>
        </w:tc>
        <w:tc>
          <w:tcPr/>
          <w:p>
            <w:pPr>
              <w:pStyle w:val="Compact"/>
              <w:jc w:val="center"/>
            </w:pPr>
            <w:r>
              <w:t xml:space="preserve">0.718</w:t>
            </w:r>
          </w:p>
        </w:tc>
        <w:tc>
          <w:tcPr/>
          <w:p>
            <w:pPr>
              <w:pStyle w:val="Compact"/>
              <w:jc w:val="center"/>
            </w:pPr>
            <w:r>
              <w:t xml:space="preserve">0.184 [0.106, 0.274]</w:t>
            </w:r>
          </w:p>
        </w:tc>
        <w:tc>
          <w:tcPr/>
          <w:p>
            <w:pPr>
              <w:pStyle w:val="Compact"/>
              <w:jc w:val="center"/>
            </w:pPr>
            <w:r>
              <w:t xml:space="preserve">0.581</w:t>
            </w:r>
          </w:p>
        </w:tc>
        <w:tc>
          <w:tcPr/>
          <w:p>
            <w:pPr>
              <w:pStyle w:val="Compact"/>
              <w:jc w:val="center"/>
            </w:pPr>
            <w:r>
              <w:t xml:space="preserve">0.91</w:t>
            </w:r>
          </w:p>
        </w:tc>
        <w:tc>
          <w:tcPr/>
          <w:p>
            <w:pPr>
              <w:pStyle w:val="Compact"/>
              <w:jc w:val="center"/>
            </w:pPr>
            <w:r>
              <w:t xml:space="preserve">0.822</w:t>
            </w:r>
          </w:p>
        </w:tc>
      </w:tr>
      <w:tr>
        <w:tc>
          <w:tcPr/>
          <w:p>
            <w:pPr>
              <w:pStyle w:val="Compact"/>
              <w:jc w:val="left"/>
            </w:pPr>
            <w:r>
              <w:t xml:space="preserve">PCA-recon</w:t>
            </w:r>
          </w:p>
        </w:tc>
        <w:tc>
          <w:tcPr/>
          <w:p>
            <w:pPr>
              <w:pStyle w:val="Compact"/>
              <w:jc w:val="center"/>
            </w:pPr>
            <w:r>
              <w:t xml:space="preserve">0.814 [0.715, 0.893]</w:t>
            </w:r>
          </w:p>
        </w:tc>
        <w:tc>
          <w:tcPr/>
          <w:p>
            <w:pPr>
              <w:pStyle w:val="Compact"/>
              <w:jc w:val="center"/>
            </w:pPr>
            <w:r>
              <w:t xml:space="preserve">0.722</w:t>
            </w:r>
          </w:p>
        </w:tc>
        <w:tc>
          <w:tcPr/>
          <w:p>
            <w:pPr>
              <w:pStyle w:val="Compact"/>
              <w:jc w:val="center"/>
            </w:pPr>
            <w:r>
              <w:t xml:space="preserve">0.131 [0.055, 0.208]</w:t>
            </w:r>
          </w:p>
        </w:tc>
        <w:tc>
          <w:tcPr/>
          <w:p>
            <w:pPr>
              <w:pStyle w:val="Compact"/>
              <w:jc w:val="center"/>
            </w:pPr>
            <w:r>
              <w:t xml:space="preserve">0.726</w:t>
            </w:r>
          </w:p>
        </w:tc>
        <w:tc>
          <w:tcPr/>
          <w:p>
            <w:pPr>
              <w:pStyle w:val="Compact"/>
              <w:jc w:val="center"/>
            </w:pPr>
            <w:r>
              <w:t xml:space="preserve">0.91</w:t>
            </w:r>
          </w:p>
        </w:tc>
        <w:tc>
          <w:tcPr/>
          <w:p>
            <w:pPr>
              <w:pStyle w:val="Compact"/>
              <w:jc w:val="center"/>
            </w:pPr>
            <w:r>
              <w:t xml:space="preserve">0.078</w:t>
            </w:r>
          </w:p>
        </w:tc>
      </w:tr>
      <w:tr>
        <w:tc>
          <w:tcPr/>
          <w:p>
            <w:pPr>
              <w:pStyle w:val="Compact"/>
              <w:jc w:val="left"/>
            </w:pPr>
            <w:r>
              <w:rPr>
                <w:i/>
                <w:iCs/>
              </w:rPr>
              <w:t xml:space="preserve">z</w:t>
            </w:r>
            <w:r>
              <w:t xml:space="preserve">-score</w:t>
            </w:r>
          </w:p>
        </w:tc>
        <w:tc>
          <w:tcPr/>
          <w:p>
            <w:pPr>
              <w:pStyle w:val="Compact"/>
              <w:jc w:val="center"/>
            </w:pPr>
            <w:r>
              <w:t xml:space="preserve">0.811 [0.708, 0.890]</w:t>
            </w:r>
          </w:p>
        </w:tc>
        <w:tc>
          <w:tcPr/>
          <w:p>
            <w:pPr>
              <w:pStyle w:val="Compact"/>
              <w:jc w:val="center"/>
            </w:pPr>
            <w:r>
              <w:t xml:space="preserve">0.719</w:t>
            </w:r>
          </w:p>
        </w:tc>
        <w:tc>
          <w:tcPr/>
          <w:p>
            <w:pPr>
              <w:pStyle w:val="Compact"/>
              <w:jc w:val="center"/>
            </w:pPr>
            <w:r>
              <w:t xml:space="preserve">0.215 [0.109, 0.331]</w:t>
            </w:r>
          </w:p>
        </w:tc>
        <w:tc>
          <w:tcPr/>
          <w:p>
            <w:pPr>
              <w:pStyle w:val="Compact"/>
              <w:jc w:val="center"/>
            </w:pPr>
            <w:r>
              <w:t xml:space="preserve">0.421</w:t>
            </w:r>
          </w:p>
        </w:tc>
        <w:tc>
          <w:tcPr/>
          <w:p>
            <w:pPr>
              <w:pStyle w:val="Compact"/>
              <w:jc w:val="center"/>
            </w:pPr>
            <w:r>
              <w:t xml:space="preserve">0.91</w:t>
            </w:r>
          </w:p>
        </w:tc>
        <w:tc>
          <w:tcPr/>
          <w:p>
            <w:pPr>
              <w:pStyle w:val="Compact"/>
              <w:jc w:val="center"/>
            </w:pPr>
            <w:r>
              <w:t xml:space="preserve">0.820</w:t>
            </w:r>
          </w:p>
        </w:tc>
      </w:tr>
    </w:tbl>
    <w:p>
      <w:pPr>
        <w:pStyle w:val="phmcaption"/>
      </w:pPr>
      <w:r>
        <w:t xml:space="preserve">SWaT, official release, standard protocol, 25 sensors (test: full attack</w:t>
      </w:r>
      <w:r>
        <w:t xml:space="preserve"> </w:t>
      </w:r>
      <w:r>
        <w:t xml:space="preserve">period, 449</w:t>
      </w:r>
      <w:r>
        <w:t xml:space="preserve">,</w:t>
      </w:r>
      <w:r>
        <w:t xml:space="preserve">919 rows, 12.1% attacks, 35 contiguous attack segments). AUROC and MCC</w:t>
      </w:r>
      <w:r>
        <w:t xml:space="preserve"> </w:t>
      </w:r>
      <w:r>
        <w:t xml:space="preserve">with 95% block-bootstrap CIs (one-hour blocks). LF: label-free threshold (99th</w:t>
      </w:r>
      <w:r>
        <w:t xml:space="preserve"> </w:t>
      </w:r>
      <w:r>
        <w:t xml:space="preserve">percentile of held-out normal-week scores); FAR: false-alarm rate on the attack</w:t>
      </w:r>
      <w:r>
        <w:t xml:space="preserve"> </w:t>
      </w:r>
      <w:r>
        <w:t xml:space="preserve">period’s normal rows; VM: validation-MCC threshold calibrated on the first third,</w:t>
      </w:r>
      <w:r>
        <w:t xml:space="preserve"> </w:t>
      </w:r>
      <w:r>
        <w:t xml:space="preserve">scored on the last two thirds.</w:t>
      </w:r>
    </w:p>
    <w:bookmarkEnd w:id="82"/>
    <w:bookmarkStart w:id="83" w:name="tab:hai"/>
    <w:tbl>
      <w:tblPr>
        <w:tblStyle w:val="Table"/>
        <w:tblW w:type="auto" w:w="0"/>
        <w:tblLook w:firstRow="1" w:lastRow="0" w:firstColumn="0" w:lastColumn="0" w:noHBand="0" w:noVBand="0" w:val="0020"/>
        <w:tblCaption w:val="HAI 21.03 (test: five files, 402,005 rows, 2.2% attacks, 50 attacks). AUROC and label-free MCC with 95% block-bootstrap CIs (one-hour blocks). FAR: false-alarm rate on normal test rows; VM: validation-MCC threshold calibrated on test file 1, scored on files 2–5."/>
      </w:tblPr>
      <w:tblGrid>
        <w:gridCol w:w="1131"/>
        <w:gridCol w:w="1131"/>
        <w:gridCol w:w="1131"/>
        <w:gridCol w:w="1131"/>
        <w:gridCol w:w="1131"/>
        <w:gridCol w:w="1131"/>
        <w:gridCol w:w="1131"/>
      </w:tblGrid>
      <w:tr>
        <w:trPr>
          <w:tblHeader w:val="on"/>
        </w:trPr>
        <w:tc>
          <w:tcPr/>
          <w:p>
            <w:pPr>
              <w:pStyle w:val="Compact"/>
              <w:jc w:val="left"/>
            </w:pPr>
            <w:r>
              <w:t xml:space="preserve">Detector</w:t>
            </w:r>
          </w:p>
        </w:tc>
        <w:tc>
          <w:tcPr/>
          <w:p>
            <w:pPr>
              <w:pStyle w:val="Compact"/>
              <w:jc w:val="center"/>
            </w:pPr>
            <w:r>
              <w:t xml:space="preserve">AUROC [95% CI]</w:t>
            </w:r>
          </w:p>
        </w:tc>
        <w:tc>
          <w:tcPr/>
          <w:p>
            <w:pPr>
              <w:pStyle w:val="Compact"/>
              <w:jc w:val="center"/>
            </w:pPr>
            <w:r>
              <w:t xml:space="preserve">AUPRC</w:t>
            </w:r>
          </w:p>
        </w:tc>
        <w:tc>
          <w:tcPr/>
          <w:p>
            <w:pPr>
              <w:pStyle w:val="Compact"/>
              <w:jc w:val="center"/>
            </w:pPr>
            <w:r>
              <w:t xml:space="preserve">MCC LF [95% CI]</w:t>
            </w:r>
          </w:p>
        </w:tc>
        <w:tc>
          <w:tcPr/>
          <w:p>
            <w:pPr>
              <w:pStyle w:val="Compact"/>
              <w:jc w:val="center"/>
            </w:pPr>
            <w:r>
              <w:t xml:space="preserve">FAR LF</w:t>
            </w:r>
          </w:p>
        </w:tc>
        <w:tc>
          <w:tcPr/>
          <w:p>
            <w:pPr>
              <w:pStyle w:val="Compact"/>
              <w:jc w:val="center"/>
            </w:pPr>
            <w:r>
              <w:t xml:space="preserve">Event rec. LF</w:t>
            </w:r>
          </w:p>
        </w:tc>
        <w:tc>
          <w:tcPr/>
          <w:p>
            <w:pPr>
              <w:pStyle w:val="Compact"/>
              <w:jc w:val="center"/>
            </w:pPr>
            <w:r>
              <w:t xml:space="preserve">MCC VM</w:t>
            </w:r>
          </w:p>
        </w:tc>
      </w:tr>
      <w:tr>
        <w:tc>
          <w:tcPr/>
          <w:p>
            <w:pPr>
              <w:pStyle w:val="Compact"/>
              <w:jc w:val="left"/>
            </w:pPr>
            <w:r>
              <w:t xml:space="preserve">PCA-recon</w:t>
            </w:r>
          </w:p>
        </w:tc>
        <w:tc>
          <w:tcPr/>
          <w:p>
            <w:pPr>
              <w:pStyle w:val="Compact"/>
              <w:jc w:val="center"/>
            </w:pPr>
            <w:r>
              <w:t xml:space="preserve">0.929 [0.899, 0.954]</w:t>
            </w:r>
          </w:p>
        </w:tc>
        <w:tc>
          <w:tcPr/>
          <w:p>
            <w:pPr>
              <w:pStyle w:val="Compact"/>
              <w:jc w:val="center"/>
            </w:pPr>
            <w:r>
              <w:t xml:space="preserve">0.641</w:t>
            </w:r>
          </w:p>
        </w:tc>
        <w:tc>
          <w:tcPr/>
          <w:p>
            <w:pPr>
              <w:pStyle w:val="Compact"/>
              <w:jc w:val="center"/>
            </w:pPr>
            <w:r>
              <w:t xml:space="preserve">0.624 [0.572, 0.670]</w:t>
            </w:r>
          </w:p>
        </w:tc>
        <w:tc>
          <w:tcPr/>
          <w:p>
            <w:pPr>
              <w:pStyle w:val="Compact"/>
              <w:jc w:val="center"/>
            </w:pPr>
            <w:r>
              <w:t xml:space="preserve">0.016</w:t>
            </w:r>
          </w:p>
        </w:tc>
        <w:tc>
          <w:tcPr/>
          <w:p>
            <w:pPr>
              <w:pStyle w:val="Compact"/>
              <w:jc w:val="center"/>
            </w:pPr>
            <w:r>
              <w:t xml:space="preserve">1.00</w:t>
            </w:r>
          </w:p>
        </w:tc>
        <w:tc>
          <w:tcPr/>
          <w:p>
            <w:pPr>
              <w:pStyle w:val="Compact"/>
              <w:jc w:val="center"/>
            </w:pPr>
            <w:r>
              <w:t xml:space="preserve">0.678</w:t>
            </w:r>
          </w:p>
        </w:tc>
      </w:tr>
      <w:tr>
        <w:tc>
          <w:tcPr/>
          <w:p>
            <w:pPr>
              <w:pStyle w:val="Compact"/>
              <w:jc w:val="left"/>
            </w:pPr>
            <w:r>
              <w:t xml:space="preserve">LOF</w:t>
            </w:r>
          </w:p>
        </w:tc>
        <w:tc>
          <w:tcPr/>
          <w:p>
            <w:pPr>
              <w:pStyle w:val="Compact"/>
              <w:jc w:val="center"/>
            </w:pPr>
            <w:r>
              <w:t xml:space="preserve">0.920 [0.895, 0.948]</w:t>
            </w:r>
          </w:p>
        </w:tc>
        <w:tc>
          <w:tcPr/>
          <w:p>
            <w:pPr>
              <w:pStyle w:val="Compact"/>
              <w:jc w:val="center"/>
            </w:pPr>
            <w:r>
              <w:t xml:space="preserve">0.617</w:t>
            </w:r>
          </w:p>
        </w:tc>
        <w:tc>
          <w:tcPr/>
          <w:p>
            <w:pPr>
              <w:pStyle w:val="Compact"/>
              <w:jc w:val="center"/>
            </w:pPr>
            <w:r>
              <w:t xml:space="preserve">0.626 [0.570, 0.675]</w:t>
            </w:r>
          </w:p>
        </w:tc>
        <w:tc>
          <w:tcPr/>
          <w:p>
            <w:pPr>
              <w:pStyle w:val="Compact"/>
              <w:jc w:val="center"/>
            </w:pPr>
            <w:r>
              <w:t xml:space="preserve">0.016</w:t>
            </w:r>
          </w:p>
        </w:tc>
        <w:tc>
          <w:tcPr/>
          <w:p>
            <w:pPr>
              <w:pStyle w:val="Compact"/>
              <w:jc w:val="center"/>
            </w:pPr>
            <w:r>
              <w:t xml:space="preserve">1.00</w:t>
            </w:r>
          </w:p>
        </w:tc>
        <w:tc>
          <w:tcPr/>
          <w:p>
            <w:pPr>
              <w:pStyle w:val="Compact"/>
              <w:jc w:val="center"/>
            </w:pPr>
            <w:r>
              <w:t xml:space="preserve">0.691</w:t>
            </w:r>
          </w:p>
        </w:tc>
      </w:tr>
      <w:tr>
        <w:tc>
          <w:tcPr/>
          <w:p>
            <w:pPr>
              <w:pStyle w:val="Compact"/>
              <w:jc w:val="left"/>
            </w:pPr>
            <w:r>
              <w:t xml:space="preserve">LSTM-AE</w:t>
            </w:r>
          </w:p>
        </w:tc>
        <w:tc>
          <w:tcPr/>
          <w:p>
            <w:pPr>
              <w:pStyle w:val="Compact"/>
              <w:jc w:val="center"/>
            </w:pPr>
            <w:r>
              <w:t xml:space="preserve">0.916 [0.887, 0.948]</w:t>
            </w:r>
          </w:p>
        </w:tc>
        <w:tc>
          <w:tcPr/>
          <w:p>
            <w:pPr>
              <w:pStyle w:val="Compact"/>
              <w:jc w:val="center"/>
            </w:pPr>
            <w:r>
              <w:t xml:space="preserve">0.585</w:t>
            </w:r>
          </w:p>
        </w:tc>
        <w:tc>
          <w:tcPr/>
          <w:p>
            <w:pPr>
              <w:pStyle w:val="Compact"/>
              <w:jc w:val="center"/>
            </w:pPr>
            <w:r>
              <w:t xml:space="preserve">0.336 [0.284, 0.391]</w:t>
            </w:r>
          </w:p>
        </w:tc>
        <w:tc>
          <w:tcPr/>
          <w:p>
            <w:pPr>
              <w:pStyle w:val="Compact"/>
              <w:jc w:val="center"/>
            </w:pPr>
            <w:r>
              <w:t xml:space="preserve">0.091</w:t>
            </w:r>
          </w:p>
        </w:tc>
        <w:tc>
          <w:tcPr/>
          <w:p>
            <w:pPr>
              <w:pStyle w:val="Compact"/>
              <w:jc w:val="center"/>
            </w:pPr>
            <w:r>
              <w:t xml:space="preserve">1.00</w:t>
            </w:r>
          </w:p>
        </w:tc>
        <w:tc>
          <w:tcPr/>
          <w:p>
            <w:pPr>
              <w:pStyle w:val="Compact"/>
              <w:jc w:val="center"/>
            </w:pPr>
            <w:r>
              <w:t xml:space="preserve">0.664</w:t>
            </w:r>
          </w:p>
        </w:tc>
      </w:tr>
      <w:tr>
        <w:tc>
          <w:tcPr/>
          <w:p>
            <w:pPr>
              <w:pStyle w:val="Compact"/>
              <w:jc w:val="left"/>
            </w:pPr>
            <w:r>
              <w:t xml:space="preserve">One-Class SVM</w:t>
            </w:r>
          </w:p>
        </w:tc>
        <w:tc>
          <w:tcPr/>
          <w:p>
            <w:pPr>
              <w:pStyle w:val="Compact"/>
              <w:jc w:val="center"/>
            </w:pPr>
            <w:r>
              <w:t xml:space="preserve">0.895 [0.858, 0.930]</w:t>
            </w:r>
          </w:p>
        </w:tc>
        <w:tc>
          <w:tcPr/>
          <w:p>
            <w:pPr>
              <w:pStyle w:val="Compact"/>
              <w:jc w:val="center"/>
            </w:pPr>
            <w:r>
              <w:t xml:space="preserve">0.590</w:t>
            </w:r>
          </w:p>
        </w:tc>
        <w:tc>
          <w:tcPr/>
          <w:p>
            <w:pPr>
              <w:pStyle w:val="Compact"/>
              <w:jc w:val="center"/>
            </w:pPr>
            <w:r>
              <w:t xml:space="preserve">0.627 [0.573, 0.677]</w:t>
            </w:r>
          </w:p>
        </w:tc>
        <w:tc>
          <w:tcPr/>
          <w:p>
            <w:pPr>
              <w:pStyle w:val="Compact"/>
              <w:jc w:val="center"/>
            </w:pPr>
            <w:r>
              <w:t xml:space="preserve">0.012</w:t>
            </w:r>
          </w:p>
        </w:tc>
        <w:tc>
          <w:tcPr/>
          <w:p>
            <w:pPr>
              <w:pStyle w:val="Compact"/>
              <w:jc w:val="center"/>
            </w:pPr>
            <w:r>
              <w:t xml:space="preserve">1.00</w:t>
            </w:r>
          </w:p>
        </w:tc>
        <w:tc>
          <w:tcPr/>
          <w:p>
            <w:pPr>
              <w:pStyle w:val="Compact"/>
              <w:jc w:val="center"/>
            </w:pPr>
            <w:r>
              <w:t xml:space="preserve">0.662</w:t>
            </w:r>
          </w:p>
        </w:tc>
      </w:tr>
      <w:tr>
        <w:tc>
          <w:tcPr/>
          <w:p>
            <w:pPr>
              <w:pStyle w:val="Compact"/>
              <w:jc w:val="left"/>
            </w:pPr>
            <w:r>
              <w:rPr>
                <w:i/>
                <w:iCs/>
              </w:rPr>
              <w:t xml:space="preserve">z</w:t>
            </w:r>
            <w:r>
              <w:t xml:space="preserve">-score</w:t>
            </w:r>
          </w:p>
        </w:tc>
        <w:tc>
          <w:tcPr/>
          <w:p>
            <w:pPr>
              <w:pStyle w:val="Compact"/>
              <w:jc w:val="center"/>
            </w:pPr>
            <w:r>
              <w:t xml:space="preserve">0.895 [0.860, 0.928]</w:t>
            </w:r>
          </w:p>
        </w:tc>
        <w:tc>
          <w:tcPr/>
          <w:p>
            <w:pPr>
              <w:pStyle w:val="Compact"/>
              <w:jc w:val="center"/>
            </w:pPr>
            <w:r>
              <w:t xml:space="preserve">0.539</w:t>
            </w:r>
          </w:p>
        </w:tc>
        <w:tc>
          <w:tcPr/>
          <w:p>
            <w:pPr>
              <w:pStyle w:val="Compact"/>
              <w:jc w:val="center"/>
            </w:pPr>
            <w:r>
              <w:t xml:space="preserve">0.597 [0.544, 0.648]</w:t>
            </w:r>
          </w:p>
        </w:tc>
        <w:tc>
          <w:tcPr/>
          <w:p>
            <w:pPr>
              <w:pStyle w:val="Compact"/>
              <w:jc w:val="center"/>
            </w:pPr>
            <w:r>
              <w:t xml:space="preserve">0.013</w:t>
            </w:r>
          </w:p>
        </w:tc>
        <w:tc>
          <w:tcPr/>
          <w:p>
            <w:pPr>
              <w:pStyle w:val="Compact"/>
              <w:jc w:val="center"/>
            </w:pPr>
            <w:r>
              <w:t xml:space="preserve">1.00</w:t>
            </w:r>
          </w:p>
        </w:tc>
        <w:tc>
          <w:tcPr/>
          <w:p>
            <w:pPr>
              <w:pStyle w:val="Compact"/>
              <w:jc w:val="center"/>
            </w:pPr>
            <w:r>
              <w:t xml:space="preserve">0.653</w:t>
            </w:r>
          </w:p>
        </w:tc>
      </w:tr>
      <w:tr>
        <w:tc>
          <w:tcPr/>
          <w:p>
            <w:pPr>
              <w:pStyle w:val="Compact"/>
              <w:jc w:val="left"/>
            </w:pPr>
            <w:r>
              <w:t xml:space="preserve">ECOD</w:t>
            </w:r>
          </w:p>
        </w:tc>
        <w:tc>
          <w:tcPr/>
          <w:p>
            <w:pPr>
              <w:pStyle w:val="Compact"/>
              <w:jc w:val="center"/>
            </w:pPr>
            <w:r>
              <w:t xml:space="preserve">0.865 [0.817, 0.906]</w:t>
            </w:r>
          </w:p>
        </w:tc>
        <w:tc>
          <w:tcPr/>
          <w:p>
            <w:pPr>
              <w:pStyle w:val="Compact"/>
              <w:jc w:val="center"/>
            </w:pPr>
            <w:r>
              <w:t xml:space="preserve">0.470</w:t>
            </w:r>
          </w:p>
        </w:tc>
        <w:tc>
          <w:tcPr/>
          <w:p>
            <w:pPr>
              <w:pStyle w:val="Compact"/>
              <w:jc w:val="center"/>
            </w:pPr>
            <w:r>
              <w:t xml:space="preserve">0.519 [0.446, 0.580]</w:t>
            </w:r>
          </w:p>
        </w:tc>
        <w:tc>
          <w:tcPr/>
          <w:p>
            <w:pPr>
              <w:pStyle w:val="Compact"/>
              <w:jc w:val="center"/>
            </w:pPr>
            <w:r>
              <w:t xml:space="preserve">0.007</w:t>
            </w:r>
          </w:p>
        </w:tc>
        <w:tc>
          <w:tcPr/>
          <w:p>
            <w:pPr>
              <w:pStyle w:val="Compact"/>
              <w:jc w:val="center"/>
            </w:pPr>
            <w:r>
              <w:t xml:space="preserve">0.78</w:t>
            </w:r>
          </w:p>
        </w:tc>
        <w:tc>
          <w:tcPr/>
          <w:p>
            <w:pPr>
              <w:pStyle w:val="Compact"/>
              <w:jc w:val="center"/>
            </w:pPr>
            <w:r>
              <w:t xml:space="preserve">0.515</w:t>
            </w:r>
          </w:p>
        </w:tc>
      </w:tr>
      <w:tr>
        <w:tc>
          <w:tcPr/>
          <w:p>
            <w:pPr>
              <w:pStyle w:val="Compact"/>
              <w:jc w:val="left"/>
            </w:pPr>
            <w:r>
              <w:t xml:space="preserve">COPOD</w:t>
            </w:r>
          </w:p>
        </w:tc>
        <w:tc>
          <w:tcPr/>
          <w:p>
            <w:pPr>
              <w:pStyle w:val="Compact"/>
              <w:jc w:val="center"/>
            </w:pPr>
            <w:r>
              <w:t xml:space="preserve">0.853 [0.795, 0.900]</w:t>
            </w:r>
          </w:p>
        </w:tc>
        <w:tc>
          <w:tcPr/>
          <w:p>
            <w:pPr>
              <w:pStyle w:val="Compact"/>
              <w:jc w:val="center"/>
            </w:pPr>
            <w:r>
              <w:t xml:space="preserve">0.479</w:t>
            </w:r>
          </w:p>
        </w:tc>
        <w:tc>
          <w:tcPr/>
          <w:p>
            <w:pPr>
              <w:pStyle w:val="Compact"/>
              <w:jc w:val="center"/>
            </w:pPr>
            <w:r>
              <w:t xml:space="preserve">0.531 [0.467, 0.591]</w:t>
            </w:r>
          </w:p>
        </w:tc>
        <w:tc>
          <w:tcPr/>
          <w:p>
            <w:pPr>
              <w:pStyle w:val="Compact"/>
              <w:jc w:val="center"/>
            </w:pPr>
            <w:r>
              <w:t xml:space="preserve">0.004</w:t>
            </w:r>
          </w:p>
        </w:tc>
        <w:tc>
          <w:tcPr/>
          <w:p>
            <w:pPr>
              <w:pStyle w:val="Compact"/>
              <w:jc w:val="center"/>
            </w:pPr>
            <w:r>
              <w:t xml:space="preserve">0.80</w:t>
            </w:r>
          </w:p>
        </w:tc>
        <w:tc>
          <w:tcPr/>
          <w:p>
            <w:pPr>
              <w:pStyle w:val="Compact"/>
              <w:jc w:val="center"/>
            </w:pPr>
            <w:r>
              <w:t xml:space="preserve">0.513</w:t>
            </w:r>
          </w:p>
        </w:tc>
      </w:tr>
      <w:tr>
        <w:tc>
          <w:tcPr/>
          <w:p>
            <w:pPr>
              <w:pStyle w:val="Compact"/>
              <w:jc w:val="left"/>
            </w:pPr>
            <w:r>
              <w:t xml:space="preserve">Isolation Forest</w:t>
            </w:r>
          </w:p>
        </w:tc>
        <w:tc>
          <w:tcPr/>
          <w:p>
            <w:pPr>
              <w:pStyle w:val="Compact"/>
              <w:jc w:val="center"/>
            </w:pPr>
            <w:r>
              <w:t xml:space="preserve">0.837 [0.783, 0.884]</w:t>
            </w:r>
          </w:p>
        </w:tc>
        <w:tc>
          <w:tcPr/>
          <w:p>
            <w:pPr>
              <w:pStyle w:val="Compact"/>
              <w:jc w:val="center"/>
            </w:pPr>
            <w:r>
              <w:t xml:space="preserve">0.359</w:t>
            </w:r>
          </w:p>
        </w:tc>
        <w:tc>
          <w:tcPr/>
          <w:p>
            <w:pPr>
              <w:pStyle w:val="Compact"/>
              <w:jc w:val="center"/>
            </w:pPr>
            <w:r>
              <w:t xml:space="preserve">0.414 [0.343, 0.484]</w:t>
            </w:r>
          </w:p>
        </w:tc>
        <w:tc>
          <w:tcPr/>
          <w:p>
            <w:pPr>
              <w:pStyle w:val="Compact"/>
              <w:jc w:val="center"/>
            </w:pPr>
            <w:r>
              <w:t xml:space="preserve">0.004</w:t>
            </w:r>
          </w:p>
        </w:tc>
        <w:tc>
          <w:tcPr/>
          <w:p>
            <w:pPr>
              <w:pStyle w:val="Compact"/>
              <w:jc w:val="center"/>
            </w:pPr>
            <w:r>
              <w:t xml:space="preserve">0.66</w:t>
            </w:r>
          </w:p>
        </w:tc>
        <w:tc>
          <w:tcPr/>
          <w:p>
            <w:pPr>
              <w:pStyle w:val="Compact"/>
              <w:jc w:val="center"/>
            </w:pPr>
            <w:r>
              <w:t xml:space="preserve">0.425</w:t>
            </w:r>
          </w:p>
        </w:tc>
      </w:tr>
      <w:tr>
        <w:tc>
          <w:tcPr/>
          <w:p>
            <w:pPr>
              <w:pStyle w:val="Compact"/>
              <w:jc w:val="left"/>
            </w:pPr>
            <w:r>
              <w:t xml:space="preserve">HBOS</w:t>
            </w:r>
          </w:p>
        </w:tc>
        <w:tc>
          <w:tcPr/>
          <w:p>
            <w:pPr>
              <w:pStyle w:val="Compact"/>
              <w:jc w:val="center"/>
            </w:pPr>
            <w:r>
              <w:t xml:space="preserve">0.728 [0.652, 0.792]</w:t>
            </w:r>
          </w:p>
        </w:tc>
        <w:tc>
          <w:tcPr/>
          <w:p>
            <w:pPr>
              <w:pStyle w:val="Compact"/>
              <w:jc w:val="center"/>
            </w:pPr>
            <w:r>
              <w:t xml:space="preserve">0.115</w:t>
            </w:r>
          </w:p>
        </w:tc>
        <w:tc>
          <w:tcPr/>
          <w:p>
            <w:pPr>
              <w:pStyle w:val="Compact"/>
              <w:jc w:val="center"/>
            </w:pPr>
            <w:r>
              <w:t xml:space="preserve">0.145 [0.078, 0.214]</w:t>
            </w:r>
          </w:p>
        </w:tc>
        <w:tc>
          <w:tcPr/>
          <w:p>
            <w:pPr>
              <w:pStyle w:val="Compact"/>
              <w:jc w:val="center"/>
            </w:pPr>
            <w:r>
              <w:t xml:space="preserve">0.011</w:t>
            </w:r>
          </w:p>
        </w:tc>
        <w:tc>
          <w:tcPr/>
          <w:p>
            <w:pPr>
              <w:pStyle w:val="Compact"/>
              <w:jc w:val="center"/>
            </w:pPr>
            <w:r>
              <w:t xml:space="preserve">0.42</w:t>
            </w:r>
          </w:p>
        </w:tc>
        <w:tc>
          <w:tcPr/>
          <w:p>
            <w:pPr>
              <w:pStyle w:val="Compact"/>
              <w:jc w:val="center"/>
            </w:pPr>
            <w:r>
              <w:t xml:space="preserve">0.121</w:t>
            </w:r>
          </w:p>
        </w:tc>
      </w:tr>
      <w:tr>
        <w:tc>
          <w:tcPr/>
          <w:p>
            <w:pPr>
              <w:pStyle w:val="Compact"/>
              <w:jc w:val="left"/>
            </w:pPr>
            <w:r>
              <w:t xml:space="preserve">Elliptic Envelope</w:t>
            </w:r>
          </w:p>
        </w:tc>
        <w:tc>
          <w:tcPr/>
          <w:p>
            <w:pPr>
              <w:pStyle w:val="Compact"/>
              <w:jc w:val="center"/>
            </w:pPr>
            <w:r>
              <w:t xml:space="preserve">0.663 [0.608, 0.716]</w:t>
            </w:r>
          </w:p>
        </w:tc>
        <w:tc>
          <w:tcPr/>
          <w:p>
            <w:pPr>
              <w:pStyle w:val="Compact"/>
              <w:jc w:val="center"/>
            </w:pPr>
            <w:r>
              <w:t xml:space="preserve">0.114</w:t>
            </w:r>
          </w:p>
        </w:tc>
        <w:tc>
          <w:tcPr/>
          <w:p>
            <w:pPr>
              <w:pStyle w:val="Compact"/>
              <w:jc w:val="center"/>
            </w:pPr>
            <w:r>
              <w:t xml:space="preserve">0.179 [0.119, 0.248]</w:t>
            </w:r>
          </w:p>
        </w:tc>
        <w:tc>
          <w:tcPr/>
          <w:p>
            <w:pPr>
              <w:pStyle w:val="Compact"/>
              <w:jc w:val="center"/>
            </w:pPr>
            <w:r>
              <w:t xml:space="preserve">0.007</w:t>
            </w:r>
          </w:p>
        </w:tc>
        <w:tc>
          <w:tcPr/>
          <w:p>
            <w:pPr>
              <w:pStyle w:val="Compact"/>
              <w:jc w:val="center"/>
            </w:pPr>
            <w:r>
              <w:t xml:space="preserve">0.48</w:t>
            </w:r>
          </w:p>
        </w:tc>
        <w:tc>
          <w:tcPr/>
          <w:p>
            <w:pPr>
              <w:pStyle w:val="Compact"/>
              <w:jc w:val="center"/>
            </w:pPr>
            <w:r>
              <w:t xml:space="preserve">0.177</w:t>
            </w:r>
          </w:p>
        </w:tc>
      </w:tr>
    </w:tbl>
    <w:p>
      <w:pPr>
        <w:pStyle w:val="phmcaption"/>
      </w:pPr>
      <w:r>
        <w:t xml:space="preserve">HAI 21.03 (test: five files, 402</w:t>
      </w:r>
      <w:r>
        <w:t xml:space="preserve">,</w:t>
      </w:r>
      <w:r>
        <w:t xml:space="preserve">005 rows, 2.2% attacks, 50 attacks).</w:t>
      </w:r>
      <w:r>
        <w:t xml:space="preserve"> </w:t>
      </w:r>
      <w:r>
        <w:t xml:space="preserve">AUROC and label-free MCC with 95% block-bootstrap CIs (one-hour blocks). FAR:</w:t>
      </w:r>
      <w:r>
        <w:t xml:space="preserve"> </w:t>
      </w:r>
      <w:r>
        <w:t xml:space="preserve">false-alarm rate on normal test rows; VM: validation-MCC threshold calibrated on test</w:t>
      </w:r>
      <w:r>
        <w:t xml:space="preserve"> </w:t>
      </w:r>
      <w:r>
        <w:t xml:space="preserve">file 1, scored on files 2–5.</w:t>
      </w:r>
    </w:p>
    <w:bookmarkEnd w:id="83"/>
    <w:bookmarkStart w:id="84" w:name="tab:wadi"/>
    <w:tbl>
      <w:tblPr>
        <w:tblStyle w:val="Table"/>
        <w:tblW w:type="auto" w:w="0"/>
        <w:tblLook w:firstRow="0" w:lastRow="0" w:firstColumn="0" w:lastColumn="0" w:noHBand="0" w:noVBand="0" w:val="0000"/>
        <w:tblCaption w:val="WADI A2 (test: 172,803 rows, 5.8% attacks, 14 attacks), with all 67 points and without the three drifting analysers (64 points). AUROC with 95% block-bootstrap CI (one-hour blocks); label-free MCC and false-alarm rate on normal test rows."/>
      </w:tblPr>
      <w:tblGrid>
        <w:gridCol w:w="1131"/>
        <w:gridCol w:w="1131"/>
        <w:gridCol w:w="1131"/>
        <w:gridCol w:w="1131"/>
        <w:gridCol w:w="1131"/>
        <w:gridCol w:w="1131"/>
        <w:gridCol w:w="1131"/>
      </w:tblGrid>
      <w:tr>
        <w:tc>
          <w:tcPr/>
          <w:p>
            <w:pPr>
              <w:pStyle w:val="Compact"/>
            </w:pPr>
          </w:p>
        </w:tc>
        <w:tc>
          <w:tcPr>
            <w:gridSpan w:val="3"/>
          </w:tcPr>
          <w:p>
            <w:pPr>
              <w:pStyle w:val="Compact"/>
              <w:jc w:val="center"/>
            </w:pPr>
            <w:r>
              <w:t xml:space="preserve">All 67 points</w:t>
            </w:r>
          </w:p>
        </w:tc>
        <w:tc>
          <w:tcPr>
            <w:gridSpan w:val="3"/>
          </w:tcPr>
          <w:p>
            <w:pPr>
              <w:pStyle w:val="Compact"/>
              <w:jc w:val="center"/>
            </w:pPr>
            <w:r>
              <w:t xml:space="preserve">Without 3 drifting analysers</w:t>
            </w:r>
          </w:p>
        </w:tc>
      </w:tr>
      <w:tr>
        <w:tc>
          <w:tcPr/>
          <w:p>
            <w:pPr>
              <w:pStyle w:val="Compact"/>
              <w:jc w:val="left"/>
            </w:pPr>
            <w:r>
              <w:t xml:space="preserve">Detector</w:t>
            </w:r>
          </w:p>
        </w:tc>
        <w:tc>
          <w:tcPr/>
          <w:p>
            <w:pPr>
              <w:pStyle w:val="Compact"/>
              <w:jc w:val="center"/>
            </w:pPr>
            <w:r>
              <w:t xml:space="preserve">AUROC [95% CI]</w:t>
            </w:r>
          </w:p>
        </w:tc>
        <w:tc>
          <w:tcPr/>
          <w:p>
            <w:pPr>
              <w:pStyle w:val="Compact"/>
              <w:jc w:val="center"/>
            </w:pPr>
            <w:r>
              <w:t xml:space="preserve">MCC LF</w:t>
            </w:r>
          </w:p>
        </w:tc>
        <w:tc>
          <w:tcPr/>
          <w:p>
            <w:pPr>
              <w:pStyle w:val="Compact"/>
              <w:jc w:val="center"/>
            </w:pPr>
            <w:r>
              <w:t xml:space="preserve">FAR LF</w:t>
            </w:r>
          </w:p>
        </w:tc>
        <w:tc>
          <w:tcPr/>
          <w:p>
            <w:pPr>
              <w:pStyle w:val="Compact"/>
              <w:jc w:val="center"/>
            </w:pPr>
            <w:r>
              <w:t xml:space="preserve">AUROC [95% CI]</w:t>
            </w:r>
          </w:p>
        </w:tc>
        <w:tc>
          <w:tcPr/>
          <w:p>
            <w:pPr>
              <w:pStyle w:val="Compact"/>
              <w:jc w:val="center"/>
            </w:pPr>
            <w:r>
              <w:t xml:space="preserve">MCC LF</w:t>
            </w:r>
          </w:p>
        </w:tc>
        <w:tc>
          <w:tcPr/>
          <w:p>
            <w:pPr>
              <w:pStyle w:val="Compact"/>
              <w:jc w:val="center"/>
            </w:pPr>
            <w:r>
              <w:t xml:space="preserve">FAR LF</w:t>
            </w:r>
          </w:p>
        </w:tc>
      </w:tr>
      <w:tr>
        <w:tc>
          <w:tcPr/>
          <w:p>
            <w:pPr>
              <w:pStyle w:val="Compact"/>
              <w:jc w:val="left"/>
            </w:pPr>
            <w:r>
              <w:t xml:space="preserve">HBOS</w:t>
            </w:r>
          </w:p>
        </w:tc>
        <w:tc>
          <w:tcPr/>
          <w:p>
            <w:pPr>
              <w:pStyle w:val="Compact"/>
              <w:jc w:val="center"/>
            </w:pPr>
            <w:r>
              <w:t xml:space="preserve">0.741 [0.588, 0.863]</w:t>
            </w:r>
          </w:p>
        </w:tc>
        <w:tc>
          <w:tcPr/>
          <w:p>
            <w:pPr>
              <w:pStyle w:val="Compact"/>
              <w:jc w:val="center"/>
            </w:pPr>
            <w:r>
              <w:t xml:space="preserve">0.078</w:t>
            </w:r>
          </w:p>
        </w:tc>
        <w:tc>
          <w:tcPr/>
          <w:p>
            <w:pPr>
              <w:pStyle w:val="Compact"/>
              <w:jc w:val="center"/>
            </w:pPr>
            <w:r>
              <w:t xml:space="preserve">0.014</w:t>
            </w:r>
          </w:p>
        </w:tc>
        <w:tc>
          <w:tcPr/>
          <w:p>
            <w:pPr>
              <w:pStyle w:val="Compact"/>
              <w:jc w:val="center"/>
            </w:pPr>
            <w:r>
              <w:t xml:space="preserve">0.748 [0.599, 0.865]</w:t>
            </w:r>
          </w:p>
        </w:tc>
        <w:tc>
          <w:tcPr/>
          <w:p>
            <w:pPr>
              <w:pStyle w:val="Compact"/>
              <w:jc w:val="center"/>
            </w:pPr>
            <w:r>
              <w:t xml:space="preserve">0.017</w:t>
            </w:r>
          </w:p>
        </w:tc>
        <w:tc>
          <w:tcPr/>
          <w:p>
            <w:pPr>
              <w:pStyle w:val="Compact"/>
              <w:jc w:val="center"/>
            </w:pPr>
            <w:r>
              <w:t xml:space="preserve">0.013</w:t>
            </w:r>
          </w:p>
        </w:tc>
      </w:tr>
      <w:tr>
        <w:tc>
          <w:tcPr/>
          <w:p>
            <w:pPr>
              <w:pStyle w:val="Compact"/>
              <w:jc w:val="left"/>
            </w:pPr>
            <w:r>
              <w:t xml:space="preserve">Isolation Forest</w:t>
            </w:r>
          </w:p>
        </w:tc>
        <w:tc>
          <w:tcPr/>
          <w:p>
            <w:pPr>
              <w:pStyle w:val="Compact"/>
              <w:jc w:val="center"/>
            </w:pPr>
            <w:r>
              <w:t xml:space="preserve">0.720 [0.555, 0.843]</w:t>
            </w:r>
          </w:p>
        </w:tc>
        <w:tc>
          <w:tcPr/>
          <w:p>
            <w:pPr>
              <w:pStyle w:val="Compact"/>
              <w:jc w:val="center"/>
            </w:pPr>
            <w:r>
              <w:t xml:space="preserve">0.031</w:t>
            </w:r>
          </w:p>
        </w:tc>
        <w:tc>
          <w:tcPr/>
          <w:p>
            <w:pPr>
              <w:pStyle w:val="Compact"/>
              <w:jc w:val="center"/>
            </w:pPr>
            <w:r>
              <w:t xml:space="preserve">0.013</w:t>
            </w:r>
          </w:p>
        </w:tc>
        <w:tc>
          <w:tcPr/>
          <w:p>
            <w:pPr>
              <w:pStyle w:val="Compact"/>
              <w:jc w:val="center"/>
            </w:pPr>
            <w:r>
              <w:t xml:space="preserve">0.720 [0.570, 0.835]</w:t>
            </w:r>
          </w:p>
        </w:tc>
        <w:tc>
          <w:tcPr/>
          <w:p>
            <w:pPr>
              <w:pStyle w:val="Compact"/>
              <w:jc w:val="center"/>
            </w:pPr>
            <w:r>
              <w:t xml:space="preserve">0.029</w:t>
            </w:r>
          </w:p>
        </w:tc>
        <w:tc>
          <w:tcPr/>
          <w:p>
            <w:pPr>
              <w:pStyle w:val="Compact"/>
              <w:jc w:val="center"/>
            </w:pPr>
            <w:r>
              <w:t xml:space="preserve">0.013</w:t>
            </w:r>
          </w:p>
        </w:tc>
      </w:tr>
      <w:tr>
        <w:tc>
          <w:tcPr/>
          <w:p>
            <w:pPr>
              <w:pStyle w:val="Compact"/>
              <w:jc w:val="left"/>
            </w:pPr>
            <w:r>
              <w:t xml:space="preserve">COPOD</w:t>
            </w:r>
          </w:p>
        </w:tc>
        <w:tc>
          <w:tcPr/>
          <w:p>
            <w:pPr>
              <w:pStyle w:val="Compact"/>
              <w:jc w:val="center"/>
            </w:pPr>
            <w:r>
              <w:t xml:space="preserve">0.710 [0.582, 0.818]</w:t>
            </w:r>
          </w:p>
        </w:tc>
        <w:tc>
          <w:tcPr/>
          <w:p>
            <w:pPr>
              <w:pStyle w:val="Compact"/>
              <w:jc w:val="center"/>
            </w:pPr>
            <w:r>
              <w:t xml:space="preserve">0.055</w:t>
            </w:r>
          </w:p>
        </w:tc>
        <w:tc>
          <w:tcPr/>
          <w:p>
            <w:pPr>
              <w:pStyle w:val="Compact"/>
              <w:jc w:val="center"/>
            </w:pPr>
            <w:r>
              <w:t xml:space="preserve">0.009</w:t>
            </w:r>
          </w:p>
        </w:tc>
        <w:tc>
          <w:tcPr/>
          <w:p>
            <w:pPr>
              <w:pStyle w:val="Compact"/>
              <w:jc w:val="center"/>
            </w:pPr>
            <w:r>
              <w:t xml:space="preserve">0.709 [0.576, 0.817]</w:t>
            </w:r>
          </w:p>
        </w:tc>
        <w:tc>
          <w:tcPr/>
          <w:p>
            <w:pPr>
              <w:pStyle w:val="Compact"/>
              <w:jc w:val="center"/>
            </w:pPr>
            <w:r>
              <w:t xml:space="preserve">0.054</w:t>
            </w:r>
          </w:p>
        </w:tc>
        <w:tc>
          <w:tcPr/>
          <w:p>
            <w:pPr>
              <w:pStyle w:val="Compact"/>
              <w:jc w:val="center"/>
            </w:pPr>
            <w:r>
              <w:t xml:space="preserve">0.009</w:t>
            </w:r>
          </w:p>
        </w:tc>
      </w:tr>
      <w:tr>
        <w:tc>
          <w:tcPr/>
          <w:p>
            <w:pPr>
              <w:pStyle w:val="Compact"/>
              <w:jc w:val="left"/>
            </w:pPr>
            <w:r>
              <w:t xml:space="preserve">ECOD</w:t>
            </w:r>
          </w:p>
        </w:tc>
        <w:tc>
          <w:tcPr/>
          <w:p>
            <w:pPr>
              <w:pStyle w:val="Compact"/>
              <w:jc w:val="center"/>
            </w:pPr>
            <w:r>
              <w:t xml:space="preserve">0.709 [0.585, 0.810]</w:t>
            </w:r>
          </w:p>
        </w:tc>
        <w:tc>
          <w:tcPr/>
          <w:p>
            <w:pPr>
              <w:pStyle w:val="Compact"/>
              <w:jc w:val="center"/>
            </w:pPr>
            <w:r>
              <w:t xml:space="preserve">0.061</w:t>
            </w:r>
          </w:p>
        </w:tc>
        <w:tc>
          <w:tcPr/>
          <w:p>
            <w:pPr>
              <w:pStyle w:val="Compact"/>
              <w:jc w:val="center"/>
            </w:pPr>
            <w:r>
              <w:t xml:space="preserve">0.009</w:t>
            </w:r>
          </w:p>
        </w:tc>
        <w:tc>
          <w:tcPr/>
          <w:p>
            <w:pPr>
              <w:pStyle w:val="Compact"/>
              <w:jc w:val="center"/>
            </w:pPr>
            <w:r>
              <w:t xml:space="preserve">0.703 [0.567, 0.808]</w:t>
            </w:r>
          </w:p>
        </w:tc>
        <w:tc>
          <w:tcPr/>
          <w:p>
            <w:pPr>
              <w:pStyle w:val="Compact"/>
              <w:jc w:val="center"/>
            </w:pPr>
            <w:r>
              <w:t xml:space="preserve">0.060</w:t>
            </w:r>
          </w:p>
        </w:tc>
        <w:tc>
          <w:tcPr/>
          <w:p>
            <w:pPr>
              <w:pStyle w:val="Compact"/>
              <w:jc w:val="center"/>
            </w:pPr>
            <w:r>
              <w:t xml:space="preserve">0.009</w:t>
            </w:r>
          </w:p>
        </w:tc>
      </w:tr>
      <w:tr>
        <w:tc>
          <w:tcPr/>
          <w:p>
            <w:pPr>
              <w:pStyle w:val="Compact"/>
              <w:jc w:val="left"/>
            </w:pPr>
            <w:r>
              <w:t xml:space="preserve">One-Class SVM</w:t>
            </w:r>
          </w:p>
        </w:tc>
        <w:tc>
          <w:tcPr/>
          <w:p>
            <w:pPr>
              <w:pStyle w:val="Compact"/>
              <w:jc w:val="center"/>
            </w:pPr>
            <w:r>
              <w:t xml:space="preserve">0.517 [0.380, 0.655]</w:t>
            </w:r>
          </w:p>
        </w:tc>
        <w:tc>
          <w:tcPr/>
          <w:p>
            <w:pPr>
              <w:pStyle w:val="Compact"/>
              <w:jc w:val="center"/>
            </w:pPr>
            <w:r>
              <w:t xml:space="preserve">−0.030</w:t>
            </w:r>
          </w:p>
        </w:tc>
        <w:tc>
          <w:tcPr/>
          <w:p>
            <w:pPr>
              <w:pStyle w:val="Compact"/>
              <w:jc w:val="center"/>
            </w:pPr>
            <w:r>
              <w:t xml:space="preserve">0.559</w:t>
            </w:r>
          </w:p>
        </w:tc>
        <w:tc>
          <w:tcPr/>
          <w:p>
            <w:pPr>
              <w:pStyle w:val="Compact"/>
              <w:jc w:val="center"/>
            </w:pPr>
            <w:r>
              <w:t xml:space="preserve">0.733 [0.590, 0.859]</w:t>
            </w:r>
          </w:p>
        </w:tc>
        <w:tc>
          <w:tcPr/>
          <w:p>
            <w:pPr>
              <w:pStyle w:val="Compact"/>
              <w:jc w:val="center"/>
            </w:pPr>
            <w:r>
              <w:t xml:space="preserve">0.183</w:t>
            </w:r>
          </w:p>
        </w:tc>
        <w:tc>
          <w:tcPr/>
          <w:p>
            <w:pPr>
              <w:pStyle w:val="Compact"/>
              <w:jc w:val="center"/>
            </w:pPr>
            <w:r>
              <w:t xml:space="preserve">0.011</w:t>
            </w:r>
          </w:p>
        </w:tc>
      </w:tr>
      <w:tr>
        <w:tc>
          <w:tcPr/>
          <w:p>
            <w:pPr>
              <w:pStyle w:val="Compact"/>
              <w:jc w:val="left"/>
            </w:pPr>
            <w:r>
              <w:t xml:space="preserve">LOF</w:t>
            </w:r>
          </w:p>
        </w:tc>
        <w:tc>
          <w:tcPr/>
          <w:p>
            <w:pPr>
              <w:pStyle w:val="Compact"/>
              <w:jc w:val="center"/>
            </w:pPr>
            <w:r>
              <w:t xml:space="preserve">0.484 [0.337, 0.626]</w:t>
            </w:r>
          </w:p>
        </w:tc>
        <w:tc>
          <w:tcPr/>
          <w:p>
            <w:pPr>
              <w:pStyle w:val="Compact"/>
              <w:jc w:val="center"/>
            </w:pPr>
            <w:r>
              <w:t xml:space="preserve">−0.026</w:t>
            </w:r>
          </w:p>
        </w:tc>
        <w:tc>
          <w:tcPr/>
          <w:p>
            <w:pPr>
              <w:pStyle w:val="Compact"/>
              <w:jc w:val="center"/>
            </w:pPr>
            <w:r>
              <w:t xml:space="preserve">0.559</w:t>
            </w:r>
          </w:p>
        </w:tc>
        <w:tc>
          <w:tcPr/>
          <w:p>
            <w:pPr>
              <w:pStyle w:val="Compact"/>
              <w:jc w:val="center"/>
            </w:pPr>
            <w:r>
              <w:t xml:space="preserve">0.650 [0.502, 0.763]</w:t>
            </w:r>
          </w:p>
        </w:tc>
        <w:tc>
          <w:tcPr/>
          <w:p>
            <w:pPr>
              <w:pStyle w:val="Compact"/>
              <w:jc w:val="center"/>
            </w:pPr>
            <w:r>
              <w:t xml:space="preserve">0.230</w:t>
            </w:r>
          </w:p>
        </w:tc>
        <w:tc>
          <w:tcPr/>
          <w:p>
            <w:pPr>
              <w:pStyle w:val="Compact"/>
              <w:jc w:val="center"/>
            </w:pPr>
            <w:r>
              <w:t xml:space="preserve">0.006</w:t>
            </w:r>
          </w:p>
        </w:tc>
      </w:tr>
      <w:tr>
        <w:tc>
          <w:tcPr/>
          <w:p>
            <w:pPr>
              <w:pStyle w:val="Compact"/>
              <w:jc w:val="left"/>
            </w:pPr>
            <w:r>
              <w:rPr>
                <w:i/>
                <w:iCs/>
              </w:rPr>
              <w:t xml:space="preserve">z</w:t>
            </w:r>
            <w:r>
              <w:t xml:space="preserve">-score</w:t>
            </w:r>
          </w:p>
        </w:tc>
        <w:tc>
          <w:tcPr/>
          <w:p>
            <w:pPr>
              <w:pStyle w:val="Compact"/>
              <w:jc w:val="center"/>
            </w:pPr>
            <w:r>
              <w:t xml:space="preserve">0.479 [0.341, 0.620]</w:t>
            </w:r>
          </w:p>
        </w:tc>
        <w:tc>
          <w:tcPr/>
          <w:p>
            <w:pPr>
              <w:pStyle w:val="Compact"/>
              <w:jc w:val="center"/>
            </w:pPr>
            <w:r>
              <w:t xml:space="preserve">−0.027</w:t>
            </w:r>
          </w:p>
        </w:tc>
        <w:tc>
          <w:tcPr/>
          <w:p>
            <w:pPr>
              <w:pStyle w:val="Compact"/>
              <w:jc w:val="center"/>
            </w:pPr>
            <w:r>
              <w:t xml:space="preserve">0.559</w:t>
            </w:r>
          </w:p>
        </w:tc>
        <w:tc>
          <w:tcPr/>
          <w:p>
            <w:pPr>
              <w:pStyle w:val="Compact"/>
              <w:jc w:val="center"/>
            </w:pPr>
            <w:r>
              <w:t xml:space="preserve">0.697 [0.575, 0.807]</w:t>
            </w:r>
          </w:p>
        </w:tc>
        <w:tc>
          <w:tcPr/>
          <w:p>
            <w:pPr>
              <w:pStyle w:val="Compact"/>
              <w:jc w:val="center"/>
            </w:pPr>
            <w:r>
              <w:t xml:space="preserve">0.214</w:t>
            </w:r>
          </w:p>
        </w:tc>
        <w:tc>
          <w:tcPr/>
          <w:p>
            <w:pPr>
              <w:pStyle w:val="Compact"/>
              <w:jc w:val="center"/>
            </w:pPr>
            <w:r>
              <w:t xml:space="preserve">0.009</w:t>
            </w:r>
          </w:p>
        </w:tc>
      </w:tr>
      <w:tr>
        <w:tc>
          <w:tcPr/>
          <w:p>
            <w:pPr>
              <w:pStyle w:val="Compact"/>
              <w:jc w:val="left"/>
            </w:pPr>
            <w:r>
              <w:t xml:space="preserve">PCA-recon</w:t>
            </w:r>
          </w:p>
        </w:tc>
        <w:tc>
          <w:tcPr/>
          <w:p>
            <w:pPr>
              <w:pStyle w:val="Compact"/>
              <w:jc w:val="center"/>
            </w:pPr>
            <w:r>
              <w:t xml:space="preserve">0.478 [0.330, 0.627]</w:t>
            </w:r>
          </w:p>
        </w:tc>
        <w:tc>
          <w:tcPr/>
          <w:p>
            <w:pPr>
              <w:pStyle w:val="Compact"/>
              <w:jc w:val="center"/>
            </w:pPr>
            <w:r>
              <w:t xml:space="preserve">−0.027</w:t>
            </w:r>
          </w:p>
        </w:tc>
        <w:tc>
          <w:tcPr/>
          <w:p>
            <w:pPr>
              <w:pStyle w:val="Compact"/>
              <w:jc w:val="center"/>
            </w:pPr>
            <w:r>
              <w:t xml:space="preserve">0.558</w:t>
            </w:r>
          </w:p>
        </w:tc>
        <w:tc>
          <w:tcPr/>
          <w:p>
            <w:pPr>
              <w:pStyle w:val="Compact"/>
              <w:jc w:val="center"/>
            </w:pPr>
            <w:r>
              <w:t xml:space="preserve">0.686 [0.480, 0.833]</w:t>
            </w:r>
          </w:p>
        </w:tc>
        <w:tc>
          <w:tcPr/>
          <w:p>
            <w:pPr>
              <w:pStyle w:val="Compact"/>
              <w:jc w:val="center"/>
            </w:pPr>
            <w:r>
              <w:t xml:space="preserve">0.192</w:t>
            </w:r>
          </w:p>
        </w:tc>
        <w:tc>
          <w:tcPr/>
          <w:p>
            <w:pPr>
              <w:pStyle w:val="Compact"/>
              <w:jc w:val="center"/>
            </w:pPr>
            <w:r>
              <w:t xml:space="preserve">0.010</w:t>
            </w:r>
          </w:p>
        </w:tc>
      </w:tr>
      <w:tr>
        <w:tc>
          <w:tcPr/>
          <w:p>
            <w:pPr>
              <w:pStyle w:val="Compact"/>
              <w:jc w:val="left"/>
            </w:pPr>
            <w:r>
              <w:t xml:space="preserve">Elliptic Envelope</w:t>
            </w:r>
          </w:p>
        </w:tc>
        <w:tc>
          <w:tcPr/>
          <w:p>
            <w:pPr>
              <w:pStyle w:val="Compact"/>
              <w:jc w:val="center"/>
            </w:pPr>
            <w:r>
              <w:t xml:space="preserve">0.475 [0.327, 0.635]</w:t>
            </w:r>
          </w:p>
        </w:tc>
        <w:tc>
          <w:tcPr/>
          <w:p>
            <w:pPr>
              <w:pStyle w:val="Compact"/>
              <w:jc w:val="center"/>
            </w:pPr>
            <w:r>
              <w:t xml:space="preserve">−0.074</w:t>
            </w:r>
          </w:p>
        </w:tc>
        <w:tc>
          <w:tcPr/>
          <w:p>
            <w:pPr>
              <w:pStyle w:val="Compact"/>
              <w:jc w:val="center"/>
            </w:pPr>
            <w:r>
              <w:t xml:space="preserve">0.559</w:t>
            </w:r>
          </w:p>
        </w:tc>
        <w:tc>
          <w:tcPr/>
          <w:p>
            <w:pPr>
              <w:pStyle w:val="Compact"/>
              <w:jc w:val="center"/>
            </w:pPr>
            <w:r>
              <w:t xml:space="preserve">0.709 [0.551, 0.844]</w:t>
            </w:r>
          </w:p>
        </w:tc>
        <w:tc>
          <w:tcPr/>
          <w:p>
            <w:pPr>
              <w:pStyle w:val="Compact"/>
              <w:jc w:val="center"/>
            </w:pPr>
            <w:r>
              <w:t xml:space="preserve">−0.006</w:t>
            </w:r>
          </w:p>
        </w:tc>
        <w:tc>
          <w:tcPr/>
          <w:p>
            <w:pPr>
              <w:pStyle w:val="Compact"/>
              <w:jc w:val="center"/>
            </w:pPr>
            <w:r>
              <w:t xml:space="preserve">0.011</w:t>
            </w:r>
          </w:p>
        </w:tc>
      </w:tr>
      <w:tr>
        <w:tc>
          <w:tcPr/>
          <w:p>
            <w:pPr>
              <w:pStyle w:val="Compact"/>
              <w:jc w:val="left"/>
            </w:pPr>
            <w:r>
              <w:t xml:space="preserve">LSTM-AE</w:t>
            </w:r>
          </w:p>
        </w:tc>
        <w:tc>
          <w:tcPr/>
          <w:p>
            <w:pPr>
              <w:pStyle w:val="Compact"/>
              <w:jc w:val="center"/>
            </w:pPr>
            <w:r>
              <w:t xml:space="preserve">0.464 [0.295, 0.623]</w:t>
            </w:r>
          </w:p>
        </w:tc>
        <w:tc>
          <w:tcPr/>
          <w:p>
            <w:pPr>
              <w:pStyle w:val="Compact"/>
              <w:jc w:val="center"/>
            </w:pPr>
            <w:r>
              <w:t xml:space="preserve">0.014</w:t>
            </w:r>
          </w:p>
        </w:tc>
        <w:tc>
          <w:tcPr/>
          <w:p>
            <w:pPr>
              <w:pStyle w:val="Compact"/>
              <w:jc w:val="center"/>
            </w:pPr>
            <w:r>
              <w:t xml:space="preserve">0.561</w:t>
            </w:r>
          </w:p>
        </w:tc>
        <w:tc>
          <w:tcPr/>
          <w:p>
            <w:pPr>
              <w:pStyle w:val="Compact"/>
              <w:jc w:val="center"/>
            </w:pPr>
            <w:r>
              <w:t xml:space="preserve">0.720 [0.494, 0.887]</w:t>
            </w:r>
          </w:p>
        </w:tc>
        <w:tc>
          <w:tcPr/>
          <w:p>
            <w:pPr>
              <w:pStyle w:val="Compact"/>
              <w:jc w:val="center"/>
            </w:pPr>
            <w:r>
              <w:t xml:space="preserve">0.351</w:t>
            </w:r>
          </w:p>
        </w:tc>
        <w:tc>
          <w:tcPr/>
          <w:p>
            <w:pPr>
              <w:pStyle w:val="Compact"/>
              <w:jc w:val="center"/>
            </w:pPr>
            <w:r>
              <w:t xml:space="preserve">0.011</w:t>
            </w:r>
          </w:p>
        </w:tc>
      </w:tr>
    </w:tbl>
    <w:p>
      <w:pPr>
        <w:pStyle w:val="phmcaption"/>
      </w:pPr>
      <w:r>
        <w:t xml:space="preserve">WADI A2 (test: 172</w:t>
      </w:r>
      <w:r>
        <w:t xml:space="preserve">,</w:t>
      </w:r>
      <w:r>
        <w:t xml:space="preserve">803 rows, 5.8% attacks, 14 attacks), with all 67 points</w:t>
      </w:r>
      <w:r>
        <w:t xml:space="preserve"> </w:t>
      </w:r>
      <w:r>
        <w:t xml:space="preserve">and without the three drifting analysers (64 points). AUROC with 95% block-bootstrap CI</w:t>
      </w:r>
      <w:r>
        <w:t xml:space="preserve"> </w:t>
      </w:r>
      <w:r>
        <w:t xml:space="preserve">(one-hour blocks); label-free MCC and false-alarm rate on normal test rows.</w:t>
      </w:r>
    </w:p>
    <w:bookmarkEnd w:id="84"/>
    <w:bookmarkStart w:id="88" w:name="fig:protocol"/>
    <w:p>
      <w:pPr>
        <w:pStyle w:val="phmfigures"/>
      </w:pPr>
      <w:r>
        <w:drawing>
          <wp:inline>
            <wp:extent cx="6400800" cy="2277618"/>
            <wp:effectExtent b="0" l="0" r="0" t="0"/>
            <wp:docPr descr="" title="" id="86" name="Picture"/>
            <a:graphic>
              <a:graphicData uri="http://schemas.openxmlformats.org/drawingml/2006/picture">
                <pic:pic>
                  <pic:nvPicPr>
                    <pic:cNvPr descr="protocol_sensitivity.png" id="87" name="Picture"/>
                    <pic:cNvPicPr>
                      <a:picLocks noChangeArrowheads="1" noChangeAspect="1"/>
                    </pic:cNvPicPr>
                  </pic:nvPicPr>
                  <pic:blipFill>
                    <a:blip r:embed="rId85"/>
                    <a:stretch>
                      <a:fillRect/>
                    </a:stretch>
                  </pic:blipFill>
                  <pic:spPr bwMode="auto">
                    <a:xfrm>
                      <a:off x="0" y="0"/>
                      <a:ext cx="6400800" cy="2277618"/>
                    </a:xfrm>
                    <a:prstGeom prst="rect">
                      <a:avLst/>
                    </a:prstGeom>
                    <a:noFill/>
                    <a:ln w="9525">
                      <a:noFill/>
                      <a:headEnd/>
                      <a:tailEnd/>
                    </a:ln>
                  </pic:spPr>
                </pic:pic>
              </a:graphicData>
            </a:graphic>
          </wp:inline>
        </w:drawing>
      </w:r>
    </w:p>
    <w:p>
      <w:pPr>
        <w:pStyle w:val="phmcaption"/>
      </w:pPr>
      <w:r>
        <w:t xml:space="preserve">Same detectors, same code, different protocol. Left: SWaT AUROC under the</w:t>
      </w:r>
      <w:r>
        <w:t xml:space="preserve"> </w:t>
      </w:r>
      <w:r>
        <w:t xml:space="preserve">re-upload layout used in the initial analysis versus the standard split. Right: SKAB</w:t>
      </w:r>
      <w:r>
        <w:t xml:space="preserve"> </w:t>
      </w:r>
      <w:r>
        <w:t xml:space="preserve">AUROC with one model trained on all runs (pooled) versus one model per run trained</w:t>
      </w:r>
      <w:r>
        <w:t xml:space="preserve"> </w:t>
      </w:r>
      <w:r>
        <w:t xml:space="preserve">on its first 400 rows (SKAB reference protocol; mean over runs).</w:t>
      </w:r>
    </w:p>
    <w:bookmarkEnd w:id="88"/>
    <w:bookmarkStart w:id="89" w:name="tab:skabbench"/>
    <w:tbl>
      <w:tblPr>
        <w:tblStyle w:val="Table"/>
        <w:tblW w:type="auto" w:w="0"/>
        <w:tblLook w:firstRow="1" w:lastRow="0" w:firstColumn="0" w:lastColumn="0" w:noHBand="0" w:noVBand="0" w:val="0020"/>
        <w:tblCaption w:val="SKAB reference protocol (per run: first 400 rows train, remainder test; label-free threshold from each run’s training scores). FAR and MAR as defined by the SKAB benchmark (false-alarm and missed-alarm rates)."/>
      </w:tblPr>
      <w:tblGrid>
        <w:gridCol w:w="1320"/>
        <w:gridCol w:w="1320"/>
        <w:gridCol w:w="1320"/>
        <w:gridCol w:w="1320"/>
        <w:gridCol w:w="1320"/>
        <w:gridCol w:w="1320"/>
      </w:tblGrid>
      <w:tr>
        <w:trPr>
          <w:tblHeader w:val="on"/>
        </w:trPr>
        <w:tc>
          <w:tcPr/>
          <w:p>
            <w:pPr>
              <w:pStyle w:val="Compact"/>
              <w:jc w:val="left"/>
            </w:pPr>
            <w:r>
              <w:t xml:space="preserve">Detector</w:t>
            </w:r>
          </w:p>
        </w:tc>
        <w:tc>
          <w:tcPr/>
          <w:p>
            <w:pPr>
              <w:pStyle w:val="Compact"/>
              <w:jc w:val="center"/>
            </w:pPr>
            <w:r>
              <w:t xml:space="preserve">F1</w:t>
            </w:r>
          </w:p>
        </w:tc>
        <w:tc>
          <w:tcPr/>
          <w:p>
            <w:pPr>
              <w:pStyle w:val="Compact"/>
              <w:jc w:val="center"/>
            </w:pPr>
            <w:r>
              <w:t xml:space="preserve">FAR</w:t>
            </w:r>
          </w:p>
        </w:tc>
        <w:tc>
          <w:tcPr/>
          <w:p>
            <w:pPr>
              <w:pStyle w:val="Compact"/>
              <w:jc w:val="center"/>
            </w:pPr>
            <w:r>
              <w:t xml:space="preserve">MAR</w:t>
            </w:r>
          </w:p>
        </w:tc>
        <w:tc>
          <w:tcPr/>
          <w:p>
            <w:pPr>
              <w:pStyle w:val="Compact"/>
              <w:jc w:val="center"/>
            </w:pPr>
            <w:r>
              <w:t xml:space="preserve">MCC</w:t>
            </w:r>
          </w:p>
        </w:tc>
        <w:tc>
          <w:tcPr/>
          <w:p>
            <w:pPr>
              <w:pStyle w:val="Compact"/>
              <w:jc w:val="center"/>
            </w:pPr>
            <w:r>
              <w:t xml:space="preserve">Mean run AUROC</w:t>
            </w:r>
          </w:p>
        </w:tc>
      </w:tr>
      <w:tr>
        <w:tc>
          <w:tcPr/>
          <w:p>
            <w:pPr>
              <w:pStyle w:val="Compact"/>
              <w:jc w:val="left"/>
            </w:pPr>
            <w:r>
              <w:t xml:space="preserve">Elliptic Envelope</w:t>
            </w:r>
          </w:p>
        </w:tc>
        <w:tc>
          <w:tcPr/>
          <w:p>
            <w:pPr>
              <w:pStyle w:val="Compact"/>
              <w:jc w:val="center"/>
            </w:pPr>
            <w:r>
              <w:t xml:space="preserve">0.644</w:t>
            </w:r>
          </w:p>
        </w:tc>
        <w:tc>
          <w:tcPr/>
          <w:p>
            <w:pPr>
              <w:pStyle w:val="Compact"/>
              <w:jc w:val="center"/>
            </w:pPr>
            <w:r>
              <w:t xml:space="preserve">0.202</w:t>
            </w:r>
          </w:p>
        </w:tc>
        <w:tc>
          <w:tcPr/>
          <w:p>
            <w:pPr>
              <w:pStyle w:val="Compact"/>
              <w:jc w:val="center"/>
            </w:pPr>
            <w:r>
              <w:t xml:space="preserve">0.445</w:t>
            </w:r>
          </w:p>
        </w:tc>
        <w:tc>
          <w:tcPr/>
          <w:p>
            <w:pPr>
              <w:pStyle w:val="Compact"/>
              <w:jc w:val="center"/>
            </w:pPr>
            <w:r>
              <w:t xml:space="preserve">0.361</w:t>
            </w:r>
          </w:p>
        </w:tc>
        <w:tc>
          <w:tcPr/>
          <w:p>
            <w:pPr>
              <w:pStyle w:val="Compact"/>
              <w:jc w:val="center"/>
            </w:pPr>
            <w:r>
              <w:t xml:space="preserve">0.749</w:t>
            </w:r>
          </w:p>
        </w:tc>
      </w:tr>
      <w:tr>
        <w:tc>
          <w:tcPr/>
          <w:p>
            <w:pPr>
              <w:pStyle w:val="Compact"/>
              <w:jc w:val="left"/>
            </w:pPr>
            <w:r>
              <w:rPr>
                <w:i/>
                <w:iCs/>
              </w:rPr>
              <w:t xml:space="preserve">z</w:t>
            </w:r>
            <w:r>
              <w:t xml:space="preserve">-score</w:t>
            </w:r>
          </w:p>
        </w:tc>
        <w:tc>
          <w:tcPr/>
          <w:p>
            <w:pPr>
              <w:pStyle w:val="Compact"/>
              <w:jc w:val="center"/>
            </w:pPr>
            <w:r>
              <w:t xml:space="preserve">0.722</w:t>
            </w:r>
          </w:p>
        </w:tc>
        <w:tc>
          <w:tcPr/>
          <w:p>
            <w:pPr>
              <w:pStyle w:val="Compact"/>
              <w:jc w:val="center"/>
            </w:pPr>
            <w:r>
              <w:t xml:space="preserve">0.468</w:t>
            </w:r>
          </w:p>
        </w:tc>
        <w:tc>
          <w:tcPr/>
          <w:p>
            <w:pPr>
              <w:pStyle w:val="Compact"/>
              <w:jc w:val="center"/>
            </w:pPr>
            <w:r>
              <w:t xml:space="preserve">0.213</w:t>
            </w:r>
          </w:p>
        </w:tc>
        <w:tc>
          <w:tcPr/>
          <w:p>
            <w:pPr>
              <w:pStyle w:val="Compact"/>
              <w:jc w:val="center"/>
            </w:pPr>
            <w:r>
              <w:t xml:space="preserve">0.331</w:t>
            </w:r>
          </w:p>
        </w:tc>
        <w:tc>
          <w:tcPr/>
          <w:p>
            <w:pPr>
              <w:pStyle w:val="Compact"/>
              <w:jc w:val="center"/>
            </w:pPr>
            <w:r>
              <w:t xml:space="preserve">0.766</w:t>
            </w:r>
          </w:p>
        </w:tc>
      </w:tr>
      <w:tr>
        <w:tc>
          <w:tcPr/>
          <w:p>
            <w:pPr>
              <w:pStyle w:val="Compact"/>
              <w:jc w:val="left"/>
            </w:pPr>
            <w:r>
              <w:t xml:space="preserve">LOF</w:t>
            </w:r>
          </w:p>
        </w:tc>
        <w:tc>
          <w:tcPr/>
          <w:p>
            <w:pPr>
              <w:pStyle w:val="Compact"/>
              <w:jc w:val="center"/>
            </w:pPr>
            <w:r>
              <w:t xml:space="preserve">0.723</w:t>
            </w:r>
          </w:p>
        </w:tc>
        <w:tc>
          <w:tcPr/>
          <w:p>
            <w:pPr>
              <w:pStyle w:val="Compact"/>
              <w:jc w:val="center"/>
            </w:pPr>
            <w:r>
              <w:t xml:space="preserve">0.556</w:t>
            </w:r>
          </w:p>
        </w:tc>
        <w:tc>
          <w:tcPr/>
          <w:p>
            <w:pPr>
              <w:pStyle w:val="Compact"/>
              <w:jc w:val="center"/>
            </w:pPr>
            <w:r>
              <w:t xml:space="preserve">0.168</w:t>
            </w:r>
          </w:p>
        </w:tc>
        <w:tc>
          <w:tcPr/>
          <w:p>
            <w:pPr>
              <w:pStyle w:val="Compact"/>
              <w:jc w:val="center"/>
            </w:pPr>
            <w:r>
              <w:t xml:space="preserve">0.302</w:t>
            </w:r>
          </w:p>
        </w:tc>
        <w:tc>
          <w:tcPr/>
          <w:p>
            <w:pPr>
              <w:pStyle w:val="Compact"/>
              <w:jc w:val="center"/>
            </w:pPr>
            <w:r>
              <w:t xml:space="preserve">0.785</w:t>
            </w:r>
          </w:p>
        </w:tc>
      </w:tr>
      <w:tr>
        <w:tc>
          <w:tcPr/>
          <w:p>
            <w:pPr>
              <w:pStyle w:val="Compact"/>
              <w:jc w:val="left"/>
            </w:pPr>
            <w:r>
              <w:t xml:space="preserve">One-Class SVM</w:t>
            </w:r>
          </w:p>
        </w:tc>
        <w:tc>
          <w:tcPr/>
          <w:p>
            <w:pPr>
              <w:pStyle w:val="Compact"/>
              <w:jc w:val="center"/>
            </w:pPr>
            <w:r>
              <w:t xml:space="preserve">0.732</w:t>
            </w:r>
          </w:p>
        </w:tc>
        <w:tc>
          <w:tcPr/>
          <w:p>
            <w:pPr>
              <w:pStyle w:val="Compact"/>
              <w:jc w:val="center"/>
            </w:pPr>
            <w:r>
              <w:t xml:space="preserve">0.712</w:t>
            </w:r>
          </w:p>
        </w:tc>
        <w:tc>
          <w:tcPr/>
          <w:p>
            <w:pPr>
              <w:pStyle w:val="Compact"/>
              <w:jc w:val="center"/>
            </w:pPr>
            <w:r>
              <w:t xml:space="preserve">0.077</w:t>
            </w:r>
          </w:p>
        </w:tc>
        <w:tc>
          <w:tcPr/>
          <w:p>
            <w:pPr>
              <w:pStyle w:val="Compact"/>
              <w:jc w:val="center"/>
            </w:pPr>
            <w:r>
              <w:t xml:space="preserve">0.277</w:t>
            </w:r>
          </w:p>
        </w:tc>
        <w:tc>
          <w:tcPr/>
          <w:p>
            <w:pPr>
              <w:pStyle w:val="Compact"/>
              <w:jc w:val="center"/>
            </w:pPr>
            <w:r>
              <w:t xml:space="preserve">0.771</w:t>
            </w:r>
          </w:p>
        </w:tc>
      </w:tr>
      <w:tr>
        <w:tc>
          <w:tcPr/>
          <w:p>
            <w:pPr>
              <w:pStyle w:val="Compact"/>
              <w:jc w:val="left"/>
            </w:pPr>
            <w:r>
              <w:t xml:space="preserve">PCA-recon</w:t>
            </w:r>
          </w:p>
        </w:tc>
        <w:tc>
          <w:tcPr/>
          <w:p>
            <w:pPr>
              <w:pStyle w:val="Compact"/>
              <w:jc w:val="center"/>
            </w:pPr>
            <w:r>
              <w:t xml:space="preserve">0.731</w:t>
            </w:r>
          </w:p>
        </w:tc>
        <w:tc>
          <w:tcPr/>
          <w:p>
            <w:pPr>
              <w:pStyle w:val="Compact"/>
              <w:jc w:val="center"/>
            </w:pPr>
            <w:r>
              <w:t xml:space="preserve">0.707</w:t>
            </w:r>
          </w:p>
        </w:tc>
        <w:tc>
          <w:tcPr/>
          <w:p>
            <w:pPr>
              <w:pStyle w:val="Compact"/>
              <w:jc w:val="center"/>
            </w:pPr>
            <w:r>
              <w:t xml:space="preserve">0.081</w:t>
            </w:r>
          </w:p>
        </w:tc>
        <w:tc>
          <w:tcPr/>
          <w:p>
            <w:pPr>
              <w:pStyle w:val="Compact"/>
              <w:jc w:val="center"/>
            </w:pPr>
            <w:r>
              <w:t xml:space="preserve">0.276</w:t>
            </w:r>
          </w:p>
        </w:tc>
        <w:tc>
          <w:tcPr/>
          <w:p>
            <w:pPr>
              <w:pStyle w:val="Compact"/>
              <w:jc w:val="center"/>
            </w:pPr>
            <w:r>
              <w:t xml:space="preserve">0.794</w:t>
            </w:r>
          </w:p>
        </w:tc>
      </w:tr>
      <w:tr>
        <w:tc>
          <w:tcPr/>
          <w:p>
            <w:pPr>
              <w:pStyle w:val="Compact"/>
              <w:jc w:val="left"/>
            </w:pPr>
            <w:r>
              <w:t xml:space="preserve">HBOS</w:t>
            </w:r>
          </w:p>
        </w:tc>
        <w:tc>
          <w:tcPr/>
          <w:p>
            <w:pPr>
              <w:pStyle w:val="Compact"/>
              <w:jc w:val="center"/>
            </w:pPr>
            <w:r>
              <w:t xml:space="preserve">0.603</w:t>
            </w:r>
          </w:p>
        </w:tc>
        <w:tc>
          <w:tcPr/>
          <w:p>
            <w:pPr>
              <w:pStyle w:val="Compact"/>
              <w:jc w:val="center"/>
            </w:pPr>
            <w:r>
              <w:t xml:space="preserve">0.306</w:t>
            </w:r>
          </w:p>
        </w:tc>
        <w:tc>
          <w:tcPr/>
          <w:p>
            <w:pPr>
              <w:pStyle w:val="Compact"/>
              <w:jc w:val="center"/>
            </w:pPr>
            <w:r>
              <w:t xml:space="preserve">0.457</w:t>
            </w:r>
          </w:p>
        </w:tc>
        <w:tc>
          <w:tcPr/>
          <w:p>
            <w:pPr>
              <w:pStyle w:val="Compact"/>
              <w:jc w:val="center"/>
            </w:pPr>
            <w:r>
              <w:t xml:space="preserve">0.239</w:t>
            </w:r>
          </w:p>
        </w:tc>
        <w:tc>
          <w:tcPr/>
          <w:p>
            <w:pPr>
              <w:pStyle w:val="Compact"/>
              <w:jc w:val="center"/>
            </w:pPr>
            <w:r>
              <w:t xml:space="preserve">0.674</w:t>
            </w:r>
          </w:p>
        </w:tc>
      </w:tr>
      <w:tr>
        <w:tc>
          <w:tcPr/>
          <w:p>
            <w:pPr>
              <w:pStyle w:val="Compact"/>
              <w:jc w:val="left"/>
            </w:pPr>
            <w:r>
              <w:t xml:space="preserve">Isolation Forest</w:t>
            </w:r>
          </w:p>
        </w:tc>
        <w:tc>
          <w:tcPr/>
          <w:p>
            <w:pPr>
              <w:pStyle w:val="Compact"/>
              <w:jc w:val="center"/>
            </w:pPr>
            <w:r>
              <w:t xml:space="preserve">0.470</w:t>
            </w:r>
          </w:p>
        </w:tc>
        <w:tc>
          <w:tcPr/>
          <w:p>
            <w:pPr>
              <w:pStyle w:val="Compact"/>
              <w:jc w:val="center"/>
            </w:pPr>
            <w:r>
              <w:t xml:space="preserve">0.201</w:t>
            </w:r>
          </w:p>
        </w:tc>
        <w:tc>
          <w:tcPr/>
          <w:p>
            <w:pPr>
              <w:pStyle w:val="Compact"/>
              <w:jc w:val="center"/>
            </w:pPr>
            <w:r>
              <w:t xml:space="preserve">0.641</w:t>
            </w:r>
          </w:p>
        </w:tc>
        <w:tc>
          <w:tcPr/>
          <w:p>
            <w:pPr>
              <w:pStyle w:val="Compact"/>
              <w:jc w:val="center"/>
            </w:pPr>
            <w:r>
              <w:t xml:space="preserve">0.174</w:t>
            </w:r>
          </w:p>
        </w:tc>
        <w:tc>
          <w:tcPr/>
          <w:p>
            <w:pPr>
              <w:pStyle w:val="Compact"/>
              <w:jc w:val="center"/>
            </w:pPr>
            <w:r>
              <w:t xml:space="preserve">0.664</w:t>
            </w:r>
          </w:p>
        </w:tc>
      </w:tr>
      <w:tr>
        <w:tc>
          <w:tcPr/>
          <w:p>
            <w:pPr>
              <w:pStyle w:val="Compact"/>
              <w:jc w:val="left"/>
            </w:pPr>
            <w:r>
              <w:t xml:space="preserve">COPOD</w:t>
            </w:r>
          </w:p>
        </w:tc>
        <w:tc>
          <w:tcPr/>
          <w:p>
            <w:pPr>
              <w:pStyle w:val="Compact"/>
              <w:jc w:val="center"/>
            </w:pPr>
            <w:r>
              <w:t xml:space="preserve">0.044</w:t>
            </w:r>
          </w:p>
        </w:tc>
        <w:tc>
          <w:tcPr/>
          <w:p>
            <w:pPr>
              <w:pStyle w:val="Compact"/>
              <w:jc w:val="center"/>
            </w:pPr>
            <w:r>
              <w:t xml:space="preserve">0.024</w:t>
            </w:r>
          </w:p>
        </w:tc>
        <w:tc>
          <w:tcPr/>
          <w:p>
            <w:pPr>
              <w:pStyle w:val="Compact"/>
              <w:jc w:val="center"/>
            </w:pPr>
            <w:r>
              <w:t xml:space="preserve">0.977</w:t>
            </w:r>
          </w:p>
        </w:tc>
        <w:tc>
          <w:tcPr/>
          <w:p>
            <w:pPr>
              <w:pStyle w:val="Compact"/>
              <w:jc w:val="center"/>
            </w:pPr>
            <w:r>
              <w:t xml:space="preserve">−0.004</w:t>
            </w:r>
          </w:p>
        </w:tc>
        <w:tc>
          <w:tcPr/>
          <w:p>
            <w:pPr>
              <w:pStyle w:val="Compact"/>
              <w:jc w:val="center"/>
            </w:pPr>
            <w:r>
              <w:t xml:space="preserve">0.548</w:t>
            </w:r>
          </w:p>
        </w:tc>
      </w:tr>
      <w:tr>
        <w:tc>
          <w:tcPr/>
          <w:p>
            <w:pPr>
              <w:pStyle w:val="Compact"/>
              <w:jc w:val="left"/>
            </w:pPr>
            <w:r>
              <w:t xml:space="preserve">ECOD</w:t>
            </w:r>
          </w:p>
        </w:tc>
        <w:tc>
          <w:tcPr/>
          <w:p>
            <w:pPr>
              <w:pStyle w:val="Compact"/>
              <w:jc w:val="center"/>
            </w:pPr>
            <w:r>
              <w:t xml:space="preserve">0.027</w:t>
            </w:r>
          </w:p>
        </w:tc>
        <w:tc>
          <w:tcPr/>
          <w:p>
            <w:pPr>
              <w:pStyle w:val="Compact"/>
              <w:jc w:val="center"/>
            </w:pPr>
            <w:r>
              <w:t xml:space="preserve">0.022</w:t>
            </w:r>
          </w:p>
        </w:tc>
        <w:tc>
          <w:tcPr/>
          <w:p>
            <w:pPr>
              <w:pStyle w:val="Compact"/>
              <w:jc w:val="center"/>
            </w:pPr>
            <w:r>
              <w:t xml:space="preserve">0.986</w:t>
            </w:r>
          </w:p>
        </w:tc>
        <w:tc>
          <w:tcPr/>
          <w:p>
            <w:pPr>
              <w:pStyle w:val="Compact"/>
              <w:jc w:val="center"/>
            </w:pPr>
            <w:r>
              <w:t xml:space="preserve">−0.029</w:t>
            </w:r>
          </w:p>
        </w:tc>
        <w:tc>
          <w:tcPr/>
          <w:p>
            <w:pPr>
              <w:pStyle w:val="Compact"/>
              <w:jc w:val="center"/>
            </w:pPr>
            <w:r>
              <w:t xml:space="preserve">0.493</w:t>
            </w:r>
          </w:p>
        </w:tc>
      </w:tr>
    </w:tbl>
    <w:p>
      <w:pPr>
        <w:pStyle w:val="phmcaption"/>
      </w:pPr>
      <w:r>
        <w:t xml:space="preserve">SKAB reference protocol (per run: first 400 rows train, remainder test;</w:t>
      </w:r>
      <w:r>
        <w:t xml:space="preserve"> </w:t>
      </w:r>
      <w:r>
        <w:t xml:space="preserve">label-free threshold from each run’s training scores). FAR and MAR as defined by the</w:t>
      </w:r>
      <w:r>
        <w:t xml:space="preserve"> </w:t>
      </w:r>
      <w:r>
        <w:t xml:space="preserve">SKAB benchmark (false-alarm and missed-alarm rates).</w:t>
      </w:r>
    </w:p>
    <w:bookmarkEnd w:id="89"/>
    <w:bookmarkStart w:id="90" w:name="tab:drift"/>
    <w:tbl>
      <w:tblPr>
        <w:tblStyle w:val="Table"/>
        <w:tblW w:type="auto" w:w="0"/>
        <w:tblLook w:firstRow="1" w:lastRow="0" w:firstColumn="0" w:lastColumn="0" w:noHBand="0" w:noVBand="0" w:val="0020"/>
        <w:tblCaption w:val="Retraining budget on SWaT: MCC over the attack period (point-wise) for each detector and retraining-data selection, at every periodic budget P (refit attempt every P hourly batches; 244 batches in total) and for the KS-triggered policy. The number in brackets is the number of successful refits. Static: Isolation Forest 0.167, Elliptic Envelope 0.723."/>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jc w:val="left"/>
            </w:pPr>
            <w:r>
              <w:t xml:space="preserve">Selection</w:t>
            </w:r>
          </w:p>
        </w:tc>
        <w:tc>
          <w:tcPr/>
          <w:p>
            <w:pPr>
              <w:pStyle w:val="Compact"/>
              <w:jc w:val="center"/>
            </w:pPr>
            <m:oMath>
              <m:r>
                <m:t>P</m:t>
              </m:r>
              <m:r>
                <m:rPr>
                  <m:sty m:val="p"/>
                </m:rPr>
                <m:t>=</m:t>
              </m:r>
              <m:r>
                <m:t>1</m:t>
              </m:r>
            </m:oMath>
          </w:p>
        </w:tc>
        <w:tc>
          <w:tcPr/>
          <w:p>
            <w:pPr>
              <w:pStyle w:val="Compact"/>
              <w:jc w:val="center"/>
            </w:pPr>
            <m:oMath>
              <m:r>
                <m:t>P</m:t>
              </m:r>
              <m:r>
                <m:rPr>
                  <m:sty m:val="p"/>
                </m:rPr>
                <m:t>=</m:t>
              </m:r>
              <m:r>
                <m:t>2</m:t>
              </m:r>
            </m:oMath>
          </w:p>
        </w:tc>
        <w:tc>
          <w:tcPr/>
          <w:p>
            <w:pPr>
              <w:pStyle w:val="Compact"/>
              <w:jc w:val="center"/>
            </w:pPr>
            <m:oMath>
              <m:r>
                <m:t>P</m:t>
              </m:r>
              <m:r>
                <m:rPr>
                  <m:sty m:val="p"/>
                </m:rPr>
                <m:t>=</m:t>
              </m:r>
              <m:r>
                <m:t>3</m:t>
              </m:r>
            </m:oMath>
          </w:p>
        </w:tc>
        <w:tc>
          <w:tcPr/>
          <w:p>
            <w:pPr>
              <w:pStyle w:val="Compact"/>
              <w:jc w:val="center"/>
            </w:pPr>
            <m:oMath>
              <m:r>
                <m:t>P</m:t>
              </m:r>
              <m:r>
                <m:rPr>
                  <m:sty m:val="p"/>
                </m:rPr>
                <m:t>=</m:t>
              </m:r>
              <m:r>
                <m:t>6</m:t>
              </m:r>
            </m:oMath>
          </w:p>
        </w:tc>
        <w:tc>
          <w:tcPr/>
          <w:p>
            <w:pPr>
              <w:pStyle w:val="Compact"/>
              <w:jc w:val="center"/>
            </w:pPr>
            <m:oMath>
              <m:r>
                <m:t>P</m:t>
              </m:r>
              <m:r>
                <m:rPr>
                  <m:sty m:val="p"/>
                </m:rPr>
                <m:t>=</m:t>
              </m:r>
              <m:r>
                <m:t>12</m:t>
              </m:r>
            </m:oMath>
          </w:p>
        </w:tc>
        <w:tc>
          <w:tcPr/>
          <w:p>
            <w:pPr>
              <w:pStyle w:val="Compact"/>
              <w:jc w:val="center"/>
            </w:pPr>
            <m:oMath>
              <m:r>
                <m:t>P</m:t>
              </m:r>
              <m:r>
                <m:rPr>
                  <m:sty m:val="p"/>
                </m:rPr>
                <m:t>=</m:t>
              </m:r>
              <m:r>
                <m:t>24</m:t>
              </m:r>
            </m:oMath>
          </w:p>
        </w:tc>
        <w:tc>
          <w:tcPr/>
          <w:p>
            <w:pPr>
              <w:pStyle w:val="Compact"/>
              <w:jc w:val="center"/>
            </w:pPr>
            <m:oMath>
              <m:r>
                <m:t>P</m:t>
              </m:r>
              <m:r>
                <m:rPr>
                  <m:sty m:val="p"/>
                </m:rPr>
                <m:t>=</m:t>
              </m:r>
              <m:r>
                <m:t>48</m:t>
              </m:r>
            </m:oMath>
          </w:p>
        </w:tc>
        <w:tc>
          <w:tcPr/>
          <w:p>
            <w:pPr>
              <w:pStyle w:val="Compact"/>
              <w:jc w:val="center"/>
            </w:pPr>
            <w:r>
              <w:t xml:space="preserve">KS</w:t>
            </w:r>
          </w:p>
        </w:tc>
      </w:tr>
      <w:tr>
        <w:tc>
          <w:tcPr/>
          <w:p>
            <w:pPr>
              <w:pStyle w:val="Compact"/>
              <w:jc w:val="left"/>
            </w:pPr>
            <w:r>
              <w:t xml:space="preserve">IF</w:t>
            </w:r>
          </w:p>
        </w:tc>
        <w:tc>
          <w:tcPr/>
          <w:p>
            <w:pPr>
              <w:pStyle w:val="Compact"/>
              <w:jc w:val="left"/>
            </w:pPr>
            <w:r>
              <w:t xml:space="preserve">oracle</w:t>
            </w:r>
          </w:p>
        </w:tc>
        <w:tc>
          <w:tcPr/>
          <w:p>
            <w:pPr>
              <w:pStyle w:val="Compact"/>
              <w:jc w:val="center"/>
            </w:pPr>
            <w:r>
              <w:t xml:space="preserve">0.537 (239)</w:t>
            </w:r>
          </w:p>
        </w:tc>
        <w:tc>
          <w:tcPr/>
          <w:p>
            <w:pPr>
              <w:pStyle w:val="Compact"/>
              <w:jc w:val="center"/>
            </w:pPr>
            <w:r>
              <w:t xml:space="preserve">0.485 (120)</w:t>
            </w:r>
          </w:p>
        </w:tc>
        <w:tc>
          <w:tcPr/>
          <w:p>
            <w:pPr>
              <w:pStyle w:val="Compact"/>
              <w:jc w:val="center"/>
            </w:pPr>
            <w:r>
              <w:t xml:space="preserve">0.456 (80)</w:t>
            </w:r>
          </w:p>
        </w:tc>
        <w:tc>
          <w:tcPr/>
          <w:p>
            <w:pPr>
              <w:pStyle w:val="Compact"/>
              <w:jc w:val="center"/>
            </w:pPr>
            <w:r>
              <w:t xml:space="preserve">0.380 (40)</w:t>
            </w:r>
          </w:p>
        </w:tc>
        <w:tc>
          <w:tcPr/>
          <w:p>
            <w:pPr>
              <w:pStyle w:val="Compact"/>
              <w:jc w:val="center"/>
            </w:pPr>
            <w:r>
              <w:t xml:space="preserve">0.325 (20)</w:t>
            </w:r>
          </w:p>
        </w:tc>
        <w:tc>
          <w:tcPr/>
          <w:p>
            <w:pPr>
              <w:pStyle w:val="Compact"/>
              <w:jc w:val="center"/>
            </w:pPr>
            <w:r>
              <w:t xml:space="preserve">0.254 (10)</w:t>
            </w:r>
          </w:p>
        </w:tc>
        <w:tc>
          <w:tcPr/>
          <w:p>
            <w:pPr>
              <w:pStyle w:val="Compact"/>
              <w:jc w:val="center"/>
            </w:pPr>
            <w:r>
              <w:t xml:space="preserve">0.276 (5)</w:t>
            </w:r>
          </w:p>
        </w:tc>
        <w:tc>
          <w:tcPr/>
          <w:p>
            <w:pPr>
              <w:pStyle w:val="Compact"/>
              <w:jc w:val="center"/>
            </w:pPr>
            <w:r>
              <w:t xml:space="preserve">0.488 (74)</w:t>
            </w:r>
          </w:p>
        </w:tc>
      </w:tr>
      <w:tr>
        <w:tc>
          <w:tcPr/>
          <w:p>
            <w:pPr>
              <w:pStyle w:val="Compact"/>
            </w:pPr>
          </w:p>
        </w:tc>
        <w:tc>
          <w:tcPr/>
          <w:p>
            <w:pPr>
              <w:pStyle w:val="Compact"/>
              <w:jc w:val="left"/>
            </w:pPr>
            <w:r>
              <w:t xml:space="preserve">pred.-normal</w:t>
            </w:r>
          </w:p>
        </w:tc>
        <w:tc>
          <w:tcPr/>
          <w:p>
            <w:pPr>
              <w:pStyle w:val="Compact"/>
              <w:jc w:val="center"/>
            </w:pPr>
            <w:r>
              <w:t xml:space="preserve">0.001 (52)</w:t>
            </w:r>
          </w:p>
        </w:tc>
        <w:tc>
          <w:tcPr/>
          <w:p>
            <w:pPr>
              <w:pStyle w:val="Compact"/>
              <w:jc w:val="center"/>
            </w:pPr>
            <w:r>
              <w:t xml:space="preserve">0.286 (105)</w:t>
            </w:r>
          </w:p>
        </w:tc>
        <w:tc>
          <w:tcPr/>
          <w:p>
            <w:pPr>
              <w:pStyle w:val="Compact"/>
              <w:jc w:val="center"/>
            </w:pPr>
            <w:r>
              <w:t xml:space="preserve">0.004 (25)</w:t>
            </w:r>
          </w:p>
        </w:tc>
        <w:tc>
          <w:tcPr/>
          <w:p>
            <w:pPr>
              <w:pStyle w:val="Compact"/>
              <w:jc w:val="center"/>
            </w:pPr>
            <w:r>
              <w:t xml:space="preserve">0.000 (7)</w:t>
            </w:r>
          </w:p>
        </w:tc>
        <w:tc>
          <w:tcPr/>
          <w:p>
            <w:pPr>
              <w:pStyle w:val="Compact"/>
              <w:jc w:val="center"/>
            </w:pPr>
            <w:r>
              <w:t xml:space="preserve">0.000 (4)</w:t>
            </w:r>
          </w:p>
        </w:tc>
        <w:tc>
          <w:tcPr/>
          <w:p>
            <w:pPr>
              <w:pStyle w:val="Compact"/>
              <w:jc w:val="center"/>
            </w:pPr>
            <w:r>
              <w:t xml:space="preserve">0.033 (4)</w:t>
            </w:r>
          </w:p>
        </w:tc>
        <w:tc>
          <w:tcPr/>
          <w:p>
            <w:pPr>
              <w:pStyle w:val="Compact"/>
              <w:jc w:val="center"/>
            </w:pPr>
            <w:r>
              <w:t xml:space="preserve">0.005 (1)</w:t>
            </w:r>
          </w:p>
        </w:tc>
        <w:tc>
          <w:tcPr/>
          <w:p>
            <w:pPr>
              <w:pStyle w:val="Compact"/>
              <w:jc w:val="center"/>
            </w:pPr>
            <w:r>
              <w:t xml:space="preserve">0.025 (52)</w:t>
            </w:r>
          </w:p>
        </w:tc>
      </w:tr>
      <w:tr>
        <w:tc>
          <w:tcPr/>
          <w:p>
            <w:pPr>
              <w:pStyle w:val="Compact"/>
            </w:pPr>
          </w:p>
        </w:tc>
        <w:tc>
          <w:tcPr/>
          <w:p>
            <w:pPr>
              <w:pStyle w:val="Compact"/>
              <w:jc w:val="left"/>
            </w:pPr>
            <w:r>
              <w:t xml:space="preserve">all rows</w:t>
            </w:r>
          </w:p>
        </w:tc>
        <w:tc>
          <w:tcPr/>
          <w:p>
            <w:pPr>
              <w:pStyle w:val="Compact"/>
              <w:jc w:val="center"/>
            </w:pPr>
            <w:r>
              <w:t xml:space="preserve">0.226 (244)</w:t>
            </w:r>
          </w:p>
        </w:tc>
        <w:tc>
          <w:tcPr/>
          <w:p>
            <w:pPr>
              <w:pStyle w:val="Compact"/>
              <w:jc w:val="center"/>
            </w:pPr>
            <w:r>
              <w:t xml:space="preserve">0.147 (122)</w:t>
            </w:r>
          </w:p>
        </w:tc>
        <w:tc>
          <w:tcPr/>
          <w:p>
            <w:pPr>
              <w:pStyle w:val="Compact"/>
              <w:jc w:val="center"/>
            </w:pPr>
            <w:r>
              <w:t xml:space="preserve">0.303 (81)</w:t>
            </w:r>
          </w:p>
        </w:tc>
        <w:tc>
          <w:tcPr/>
          <w:p>
            <w:pPr>
              <w:pStyle w:val="Compact"/>
              <w:jc w:val="center"/>
            </w:pPr>
            <w:r>
              <w:t xml:space="preserve">0.124 (40)</w:t>
            </w:r>
          </w:p>
        </w:tc>
        <w:tc>
          <w:tcPr/>
          <w:p>
            <w:pPr>
              <w:pStyle w:val="Compact"/>
              <w:jc w:val="center"/>
            </w:pPr>
            <w:r>
              <w:t xml:space="preserve">0.301 (20)</w:t>
            </w:r>
          </w:p>
        </w:tc>
        <w:tc>
          <w:tcPr/>
          <w:p>
            <w:pPr>
              <w:pStyle w:val="Compact"/>
              <w:jc w:val="center"/>
            </w:pPr>
            <w:r>
              <w:t xml:space="preserve">0.225 (10)</w:t>
            </w:r>
          </w:p>
        </w:tc>
        <w:tc>
          <w:tcPr/>
          <w:p>
            <w:pPr>
              <w:pStyle w:val="Compact"/>
              <w:jc w:val="center"/>
            </w:pPr>
            <w:r>
              <w:t xml:space="preserve">0.200 (5)</w:t>
            </w:r>
          </w:p>
        </w:tc>
        <w:tc>
          <w:tcPr/>
          <w:p>
            <w:pPr>
              <w:pStyle w:val="Compact"/>
              <w:jc w:val="center"/>
            </w:pPr>
            <w:r>
              <w:t xml:space="preserve">0.188 (79)</w:t>
            </w:r>
          </w:p>
        </w:tc>
      </w:tr>
      <w:tr>
        <w:tc>
          <w:tcPr/>
          <w:p>
            <w:pPr>
              <w:pStyle w:val="Compact"/>
              <w:jc w:val="left"/>
            </w:pPr>
            <w:r>
              <w:t xml:space="preserve">EE</w:t>
            </w:r>
          </w:p>
        </w:tc>
        <w:tc>
          <w:tcPr/>
          <w:p>
            <w:pPr>
              <w:pStyle w:val="Compact"/>
              <w:jc w:val="left"/>
            </w:pPr>
            <w:r>
              <w:t xml:space="preserve">oracle</w:t>
            </w:r>
          </w:p>
        </w:tc>
        <w:tc>
          <w:tcPr/>
          <w:p>
            <w:pPr>
              <w:pStyle w:val="Compact"/>
              <w:jc w:val="center"/>
            </w:pPr>
            <w:r>
              <w:t xml:space="preserve">0.711 (239)</w:t>
            </w:r>
          </w:p>
        </w:tc>
        <w:tc>
          <w:tcPr/>
          <w:p>
            <w:pPr>
              <w:pStyle w:val="Compact"/>
              <w:jc w:val="center"/>
            </w:pPr>
            <w:r>
              <w:t xml:space="preserve">0.707 (120)</w:t>
            </w:r>
          </w:p>
        </w:tc>
        <w:tc>
          <w:tcPr/>
          <w:p>
            <w:pPr>
              <w:pStyle w:val="Compact"/>
              <w:jc w:val="center"/>
            </w:pPr>
            <w:r>
              <w:t xml:space="preserve">0.717 (80)</w:t>
            </w:r>
          </w:p>
        </w:tc>
        <w:tc>
          <w:tcPr/>
          <w:p>
            <w:pPr>
              <w:pStyle w:val="Compact"/>
              <w:jc w:val="center"/>
            </w:pPr>
            <w:r>
              <w:t xml:space="preserve">0.726 (40)</w:t>
            </w:r>
          </w:p>
        </w:tc>
        <w:tc>
          <w:tcPr/>
          <w:p>
            <w:pPr>
              <w:pStyle w:val="Compact"/>
              <w:jc w:val="center"/>
            </w:pPr>
            <w:r>
              <w:t xml:space="preserve">0.719 (20)</w:t>
            </w:r>
          </w:p>
        </w:tc>
        <w:tc>
          <w:tcPr/>
          <w:p>
            <w:pPr>
              <w:pStyle w:val="Compact"/>
              <w:jc w:val="center"/>
            </w:pPr>
            <w:r>
              <w:t xml:space="preserve">0.724 (10)</w:t>
            </w:r>
          </w:p>
        </w:tc>
        <w:tc>
          <w:tcPr/>
          <w:p>
            <w:pPr>
              <w:pStyle w:val="Compact"/>
              <w:jc w:val="center"/>
            </w:pPr>
            <w:r>
              <w:t xml:space="preserve">0.731 (5)</w:t>
            </w:r>
          </w:p>
        </w:tc>
        <w:tc>
          <w:tcPr/>
          <w:p>
            <w:pPr>
              <w:pStyle w:val="Compact"/>
              <w:jc w:val="center"/>
            </w:pPr>
            <w:r>
              <w:t xml:space="preserve">0.709 (74)</w:t>
            </w:r>
          </w:p>
        </w:tc>
      </w:tr>
      <w:tr>
        <w:tc>
          <w:tcPr/>
          <w:p>
            <w:pPr>
              <w:pStyle w:val="Compact"/>
            </w:pPr>
          </w:p>
        </w:tc>
        <w:tc>
          <w:tcPr/>
          <w:p>
            <w:pPr>
              <w:pStyle w:val="Compact"/>
              <w:jc w:val="left"/>
            </w:pPr>
            <w:r>
              <w:t xml:space="preserve">pred.-normal</w:t>
            </w:r>
          </w:p>
        </w:tc>
        <w:tc>
          <w:tcPr/>
          <w:p>
            <w:pPr>
              <w:pStyle w:val="Compact"/>
              <w:jc w:val="center"/>
            </w:pPr>
            <w:r>
              <w:t xml:space="preserve">0.683 (238)</w:t>
            </w:r>
          </w:p>
        </w:tc>
        <w:tc>
          <w:tcPr/>
          <w:p>
            <w:pPr>
              <w:pStyle w:val="Compact"/>
              <w:jc w:val="center"/>
            </w:pPr>
            <w:r>
              <w:t xml:space="preserve">0.729 (120)</w:t>
            </w:r>
          </w:p>
        </w:tc>
        <w:tc>
          <w:tcPr/>
          <w:p>
            <w:pPr>
              <w:pStyle w:val="Compact"/>
              <w:jc w:val="center"/>
            </w:pPr>
            <w:r>
              <w:t xml:space="preserve">0.734 (80)</w:t>
            </w:r>
          </w:p>
        </w:tc>
        <w:tc>
          <w:tcPr/>
          <w:p>
            <w:pPr>
              <w:pStyle w:val="Compact"/>
              <w:jc w:val="center"/>
            </w:pPr>
            <w:r>
              <w:t xml:space="preserve">0.711 (39)</w:t>
            </w:r>
          </w:p>
        </w:tc>
        <w:tc>
          <w:tcPr/>
          <w:p>
            <w:pPr>
              <w:pStyle w:val="Compact"/>
              <w:jc w:val="center"/>
            </w:pPr>
            <w:r>
              <w:t xml:space="preserve">0.738 (20)</w:t>
            </w:r>
          </w:p>
        </w:tc>
        <w:tc>
          <w:tcPr/>
          <w:p>
            <w:pPr>
              <w:pStyle w:val="Compact"/>
              <w:jc w:val="center"/>
            </w:pPr>
            <w:r>
              <w:t xml:space="preserve">0.748 (10)</w:t>
            </w:r>
          </w:p>
        </w:tc>
        <w:tc>
          <w:tcPr/>
          <w:p>
            <w:pPr>
              <w:pStyle w:val="Compact"/>
              <w:jc w:val="center"/>
            </w:pPr>
            <w:r>
              <w:t xml:space="preserve">0.740 (5)</w:t>
            </w:r>
          </w:p>
        </w:tc>
        <w:tc>
          <w:tcPr/>
          <w:p>
            <w:pPr>
              <w:pStyle w:val="Compact"/>
              <w:jc w:val="center"/>
            </w:pPr>
            <w:r>
              <w:t xml:space="preserve">0.725 (73)</w:t>
            </w:r>
          </w:p>
        </w:tc>
      </w:tr>
      <w:tr>
        <w:tc>
          <w:tcPr/>
          <w:p>
            <w:pPr>
              <w:pStyle w:val="Compact"/>
            </w:pPr>
          </w:p>
        </w:tc>
        <w:tc>
          <w:tcPr/>
          <w:p>
            <w:pPr>
              <w:pStyle w:val="Compact"/>
              <w:jc w:val="left"/>
            </w:pPr>
            <w:r>
              <w:t xml:space="preserve">all rows</w:t>
            </w:r>
          </w:p>
        </w:tc>
        <w:tc>
          <w:tcPr/>
          <w:p>
            <w:pPr>
              <w:pStyle w:val="Compact"/>
              <w:jc w:val="center"/>
            </w:pPr>
            <w:r>
              <w:t xml:space="preserve">0.335 (244)</w:t>
            </w:r>
          </w:p>
        </w:tc>
        <w:tc>
          <w:tcPr/>
          <w:p>
            <w:pPr>
              <w:pStyle w:val="Compact"/>
              <w:jc w:val="center"/>
            </w:pPr>
            <w:r>
              <w:t xml:space="preserve">0.405 (122)</w:t>
            </w:r>
          </w:p>
        </w:tc>
        <w:tc>
          <w:tcPr/>
          <w:p>
            <w:pPr>
              <w:pStyle w:val="Compact"/>
              <w:jc w:val="center"/>
            </w:pPr>
            <w:r>
              <w:t xml:space="preserve">0.418 (81)</w:t>
            </w:r>
          </w:p>
        </w:tc>
        <w:tc>
          <w:tcPr/>
          <w:p>
            <w:pPr>
              <w:pStyle w:val="Compact"/>
              <w:jc w:val="center"/>
            </w:pPr>
            <w:r>
              <w:t xml:space="preserve">0.423 (40)</w:t>
            </w:r>
          </w:p>
        </w:tc>
        <w:tc>
          <w:tcPr/>
          <w:p>
            <w:pPr>
              <w:pStyle w:val="Compact"/>
              <w:jc w:val="center"/>
            </w:pPr>
            <w:r>
              <w:t xml:space="preserve">0.717 (20)</w:t>
            </w:r>
          </w:p>
        </w:tc>
        <w:tc>
          <w:tcPr/>
          <w:p>
            <w:pPr>
              <w:pStyle w:val="Compact"/>
              <w:jc w:val="center"/>
            </w:pPr>
            <w:r>
              <w:t xml:space="preserve">0.701 (10)</w:t>
            </w:r>
          </w:p>
        </w:tc>
        <w:tc>
          <w:tcPr/>
          <w:p>
            <w:pPr>
              <w:pStyle w:val="Compact"/>
              <w:jc w:val="center"/>
            </w:pPr>
            <w:r>
              <w:t xml:space="preserve">0.683 (5)</w:t>
            </w:r>
          </w:p>
        </w:tc>
        <w:tc>
          <w:tcPr/>
          <w:p>
            <w:pPr>
              <w:pStyle w:val="Compact"/>
              <w:jc w:val="center"/>
            </w:pPr>
            <w:r>
              <w:t xml:space="preserve">0.332 (79)</w:t>
            </w:r>
          </w:p>
        </w:tc>
      </w:tr>
    </w:tbl>
    <w:p>
      <w:pPr>
        <w:pStyle w:val="phmcaption"/>
      </w:pPr>
      <w:r>
        <w:t xml:space="preserve">Retraining budget on SWaT: MCC over the attack period (point-wise) for each</w:t>
      </w:r>
      <w:r>
        <w:t xml:space="preserve"> </w:t>
      </w:r>
      <w:r>
        <w:t xml:space="preserve">detector and retraining-data selection, at every periodic budget</w:t>
      </w:r>
      <w:r>
        <w:t xml:space="preserve"> </w:t>
      </w:r>
      <m:oMath>
        <m:r>
          <m:t>P</m:t>
        </m:r>
      </m:oMath>
      <w:r>
        <w:t xml:space="preserve"> </w:t>
      </w:r>
      <w:r>
        <w:t xml:space="preserve">(refit attempt</w:t>
      </w:r>
      <w:r>
        <w:t xml:space="preserve"> </w:t>
      </w:r>
      <w:r>
        <w:t xml:space="preserve">every</w:t>
      </w:r>
      <w:r>
        <w:t xml:space="preserve"> </w:t>
      </w:r>
      <m:oMath>
        <m:r>
          <m:t>P</m:t>
        </m:r>
      </m:oMath>
      <w:r>
        <w:t xml:space="preserve"> </w:t>
      </w:r>
      <w:r>
        <w:t xml:space="preserve">hourly batches; 244 batches in total) and for the KS-triggered policy. The</w:t>
      </w:r>
      <w:r>
        <w:t xml:space="preserve"> </w:t>
      </w:r>
      <w:r>
        <w:t xml:space="preserve">number in brackets is the number of successful refits. Static: Isolation Forest</w:t>
      </w:r>
      <w:r>
        <w:t xml:space="preserve"> </w:t>
      </w:r>
      <w:r>
        <w:t xml:space="preserve">0.167, Elliptic Envelope 0.723.</w:t>
      </w:r>
    </w:p>
    <w:bookmarkEnd w:id="90"/>
    <w:bookmarkStart w:id="94" w:name="fig:drift"/>
    <w:p>
      <w:pPr>
        <w:pStyle w:val="phmfigures"/>
      </w:pPr>
      <w:r>
        <w:drawing>
          <wp:inline>
            <wp:extent cx="6400800" cy="2128266"/>
            <wp:effectExtent b="0" l="0" r="0" t="0"/>
            <wp:docPr descr="" title="" id="92" name="Picture"/>
            <a:graphic>
              <a:graphicData uri="http://schemas.openxmlformats.org/drawingml/2006/picture">
                <pic:pic>
                  <pic:nvPicPr>
                    <pic:cNvPr descr="drift_policies.png" id="93" name="Picture"/>
                    <pic:cNvPicPr>
                      <a:picLocks noChangeArrowheads="1" noChangeAspect="1"/>
                    </pic:cNvPicPr>
                  </pic:nvPicPr>
                  <pic:blipFill>
                    <a:blip r:embed="rId91"/>
                    <a:stretch>
                      <a:fillRect/>
                    </a:stretch>
                  </pic:blipFill>
                  <pic:spPr bwMode="auto">
                    <a:xfrm>
                      <a:off x="0" y="0"/>
                      <a:ext cx="6400800" cy="2128266"/>
                    </a:xfrm>
                    <a:prstGeom prst="rect">
                      <a:avLst/>
                    </a:prstGeom>
                    <a:noFill/>
                    <a:ln w="9525">
                      <a:noFill/>
                      <a:headEnd/>
                      <a:tailEnd/>
                    </a:ln>
                  </pic:spPr>
                </pic:pic>
              </a:graphicData>
            </a:graphic>
          </wp:inline>
        </w:drawing>
      </w:r>
    </w:p>
    <w:p>
      <w:pPr>
        <w:pStyle w:val="phmcaption"/>
      </w:pPr>
      <w:r>
        <w:t xml:space="preserve">Left: false-alarm rate of a static Isolation Forest over SWaT’s genuine normal</w:t>
      </w:r>
      <w:r>
        <w:t xml:space="preserve"> </w:t>
      </w:r>
      <w:r>
        <w:t xml:space="preserve">week (threshold set to flag 1% of its training window). Middle and right: detection</w:t>
      </w:r>
      <w:r>
        <w:t xml:space="preserve"> </w:t>
      </w:r>
      <w:r>
        <w:t xml:space="preserve">skill (MCC) over the attack period against the number of successful refits; lines are</w:t>
      </w:r>
      <w:r>
        <w:t xml:space="preserve"> </w:t>
      </w:r>
      <w:r>
        <w:t xml:space="preserve">periodic retraining at different budgets, stars the KS-triggered policy, the dashed line</w:t>
      </w:r>
      <w:r>
        <w:t xml:space="preserve"> </w:t>
      </w:r>
      <w:r>
        <w:t xml:space="preserve">the static model. Colours give the retraining-data selection.</w:t>
      </w:r>
    </w:p>
    <w:bookmarkEnd w:id="94"/>
    <w:bookmarkStart w:id="95" w:name="tab:edge"/>
    <w:tbl>
      <w:tblPr>
        <w:tblStyle w:val="Table"/>
        <w:tblW w:type="auto" w:w="0"/>
        <w:tblLook w:firstRow="1" w:lastRow="0" w:firstColumn="0" w:lastColumn="0" w:noHBand="0" w:noVBand="0" w:val="0020"/>
        <w:tblCaption w:val="Cost per detector in a Docker container capped at one CPU and 1 GB RAM (linux/arm64 on an Apple M4 host; single BLAS thread; one spawned process per detector). SWaT-shaped input, 120 features, 50,000 training rows. Latency: one reading per call, 1,000 calls after warm-up. Model memory: peak resident-memory increase above the 444 MB baseline during fitting and scoring."/>
      </w:tblPr>
      <w:tblGrid>
        <w:gridCol w:w="990"/>
        <w:gridCol w:w="990"/>
        <w:gridCol w:w="990"/>
        <w:gridCol w:w="990"/>
        <w:gridCol w:w="990"/>
        <w:gridCol w:w="990"/>
        <w:gridCol w:w="990"/>
        <w:gridCol w:w="990"/>
      </w:tblGrid>
      <w:tr>
        <w:trPr>
          <w:tblHeader w:val="on"/>
        </w:trPr>
        <w:tc>
          <w:tcPr/>
          <w:p>
            <w:pPr>
              <w:pStyle w:val="Compact"/>
              <w:jc w:val="left"/>
            </w:pPr>
            <w:r>
              <w:t xml:space="preserve">Detector</w:t>
            </w:r>
          </w:p>
        </w:tc>
        <w:tc>
          <w:tcPr/>
          <w:p>
            <w:pPr>
              <w:pStyle w:val="Compact"/>
              <w:jc w:val="right"/>
            </w:pPr>
            <w:r>
              <w:t xml:space="preserve">Fit (s)</w:t>
            </w:r>
          </w:p>
        </w:tc>
        <w:tc>
          <w:tcPr/>
          <w:p>
            <w:pPr>
              <w:pStyle w:val="Compact"/>
              <w:jc w:val="right"/>
            </w:pPr>
            <w:r>
              <w:t xml:space="preserve">Load (ms)</w:t>
            </w:r>
          </w:p>
        </w:tc>
        <w:tc>
          <w:tcPr/>
          <w:p>
            <w:pPr>
              <w:pStyle w:val="Compact"/>
              <w:jc w:val="right"/>
            </w:pPr>
            <w:r>
              <w:t xml:space="preserve">p50 (ms)</w:t>
            </w:r>
          </w:p>
        </w:tc>
        <w:tc>
          <w:tcPr/>
          <w:p>
            <w:pPr>
              <w:pStyle w:val="Compact"/>
              <w:jc w:val="right"/>
            </w:pPr>
            <w:r>
              <w:t xml:space="preserve">p95 (ms)</w:t>
            </w:r>
          </w:p>
        </w:tc>
        <w:tc>
          <w:tcPr/>
          <w:p>
            <w:pPr>
              <w:pStyle w:val="Compact"/>
              <w:jc w:val="right"/>
            </w:pPr>
            <w:r>
              <w:t xml:space="preserve">Batch rows/s</w:t>
            </w:r>
          </w:p>
        </w:tc>
        <w:tc>
          <w:tcPr/>
          <w:p>
            <w:pPr>
              <w:pStyle w:val="Compact"/>
              <w:jc w:val="right"/>
            </w:pPr>
            <w:r>
              <w:t xml:space="preserve">Size (KB)</w:t>
            </w:r>
          </w:p>
        </w:tc>
        <w:tc>
          <w:tcPr/>
          <w:p>
            <w:pPr>
              <w:pStyle w:val="Compact"/>
              <w:jc w:val="right"/>
            </w:pPr>
            <w:r>
              <w:t xml:space="preserve">Model mem. (MB)</w:t>
            </w:r>
          </w:p>
        </w:tc>
      </w:tr>
      <w:tr>
        <w:tc>
          <w:tcPr/>
          <w:p>
            <w:pPr>
              <w:pStyle w:val="Compact"/>
              <w:jc w:val="left"/>
            </w:pPr>
            <w:r>
              <w:rPr>
                <w:i/>
                <w:iCs/>
              </w:rPr>
              <w:t xml:space="preserve">z</w:t>
            </w:r>
            <w:r>
              <w:t xml:space="preserve">-score</w:t>
            </w:r>
          </w:p>
        </w:tc>
        <w:tc>
          <w:tcPr/>
          <w:p>
            <w:pPr>
              <w:pStyle w:val="Compact"/>
              <w:jc w:val="right"/>
            </w:pPr>
            <w:r>
              <w:t xml:space="preserve">0.006</w:t>
            </w:r>
          </w:p>
        </w:tc>
        <w:tc>
          <w:tcPr/>
          <w:p>
            <w:pPr>
              <w:pStyle w:val="Compact"/>
              <w:jc w:val="right"/>
            </w:pPr>
            <w:r>
              <w:t xml:space="preserve">0.12</w:t>
            </w:r>
          </w:p>
        </w:tc>
        <w:tc>
          <w:tcPr/>
          <w:p>
            <w:pPr>
              <w:pStyle w:val="Compact"/>
              <w:jc w:val="right"/>
            </w:pPr>
            <w:r>
              <w:t xml:space="preserve">0.002</w:t>
            </w:r>
          </w:p>
        </w:tc>
        <w:tc>
          <w:tcPr/>
          <w:p>
            <w:pPr>
              <w:pStyle w:val="Compact"/>
              <w:jc w:val="right"/>
            </w:pPr>
            <w:r>
              <w:t xml:space="preserve">0.002</w:t>
            </w:r>
          </w:p>
        </w:tc>
        <w:tc>
          <w:tcPr/>
          <w:p>
            <w:pPr>
              <w:pStyle w:val="Compact"/>
              <w:jc w:val="right"/>
            </w:pPr>
            <w:r>
              <w:t xml:space="preserve">7</w:t>
            </w:r>
            <w:r>
              <w:t xml:space="preserve">,</w:t>
            </w:r>
            <w:r>
              <w:t xml:space="preserve">188</w:t>
            </w:r>
            <w:r>
              <w:t xml:space="preserve">,</w:t>
            </w:r>
            <w:r>
              <w:t xml:space="preserve">644</w:t>
            </w:r>
          </w:p>
        </w:tc>
        <w:tc>
          <w:tcPr/>
          <w:p>
            <w:pPr>
              <w:pStyle w:val="Compact"/>
              <w:jc w:val="right"/>
            </w:pPr>
            <w:r>
              <w:t xml:space="preserve">2</w:t>
            </w:r>
          </w:p>
        </w:tc>
        <w:tc>
          <w:tcPr/>
          <w:p>
            <w:pPr>
              <w:pStyle w:val="Compact"/>
              <w:jc w:val="right"/>
            </w:pPr>
            <w:r>
              <w:t xml:space="preserve">107</w:t>
            </w:r>
          </w:p>
        </w:tc>
      </w:tr>
      <w:tr>
        <w:tc>
          <w:tcPr/>
          <w:p>
            <w:pPr>
              <w:pStyle w:val="Compact"/>
              <w:jc w:val="left"/>
            </w:pPr>
            <w:r>
              <w:t xml:space="preserve">HBOS</w:t>
            </w:r>
          </w:p>
        </w:tc>
        <w:tc>
          <w:tcPr/>
          <w:p>
            <w:pPr>
              <w:pStyle w:val="Compact"/>
              <w:jc w:val="right"/>
            </w:pPr>
            <w:r>
              <w:t xml:space="preserve">1.10</w:t>
            </w:r>
          </w:p>
        </w:tc>
        <w:tc>
          <w:tcPr/>
          <w:p>
            <w:pPr>
              <w:pStyle w:val="Compact"/>
              <w:jc w:val="right"/>
            </w:pPr>
            <w:r>
              <w:t xml:space="preserve">0.24</w:t>
            </w:r>
          </w:p>
        </w:tc>
        <w:tc>
          <w:tcPr/>
          <w:p>
            <w:pPr>
              <w:pStyle w:val="Compact"/>
              <w:jc w:val="right"/>
            </w:pPr>
            <w:r>
              <w:t xml:space="preserve">0.050</w:t>
            </w:r>
          </w:p>
        </w:tc>
        <w:tc>
          <w:tcPr/>
          <w:p>
            <w:pPr>
              <w:pStyle w:val="Compact"/>
              <w:jc w:val="right"/>
            </w:pPr>
            <w:r>
              <w:t xml:space="preserve">0.053</w:t>
            </w:r>
          </w:p>
        </w:tc>
        <w:tc>
          <w:tcPr/>
          <w:p>
            <w:pPr>
              <w:pStyle w:val="Compact"/>
              <w:jc w:val="right"/>
            </w:pPr>
            <w:r>
              <w:t xml:space="preserve">812</w:t>
            </w:r>
            <w:r>
              <w:t xml:space="preserve">,</w:t>
            </w:r>
            <w:r>
              <w:t xml:space="preserve">430</w:t>
            </w:r>
          </w:p>
        </w:tc>
        <w:tc>
          <w:tcPr/>
          <w:p>
            <w:pPr>
              <w:pStyle w:val="Compact"/>
              <w:jc w:val="right"/>
            </w:pPr>
            <w:r>
              <w:t xml:space="preserve">802</w:t>
            </w:r>
          </w:p>
        </w:tc>
        <w:tc>
          <w:tcPr/>
          <w:p>
            <w:pPr>
              <w:pStyle w:val="Compact"/>
              <w:jc w:val="right"/>
            </w:pPr>
            <w:r>
              <w:t xml:space="preserve">164</w:t>
            </w:r>
          </w:p>
        </w:tc>
      </w:tr>
      <w:tr>
        <w:tc>
          <w:tcPr/>
          <w:p>
            <w:pPr>
              <w:pStyle w:val="Compact"/>
              <w:jc w:val="left"/>
            </w:pPr>
            <w:r>
              <w:t xml:space="preserve">PCA-recon</w:t>
            </w:r>
          </w:p>
        </w:tc>
        <w:tc>
          <w:tcPr/>
          <w:p>
            <w:pPr>
              <w:pStyle w:val="Compact"/>
              <w:jc w:val="right"/>
            </w:pPr>
            <w:r>
              <w:t xml:space="preserve">0.019</w:t>
            </w:r>
          </w:p>
        </w:tc>
        <w:tc>
          <w:tcPr/>
          <w:p>
            <w:pPr>
              <w:pStyle w:val="Compact"/>
              <w:jc w:val="right"/>
            </w:pPr>
            <w:r>
              <w:t xml:space="preserve">0.18</w:t>
            </w:r>
          </w:p>
        </w:tc>
        <w:tc>
          <w:tcPr/>
          <w:p>
            <w:pPr>
              <w:pStyle w:val="Compact"/>
              <w:jc w:val="right"/>
            </w:pPr>
            <w:r>
              <w:t xml:space="preserve">0.058</w:t>
            </w:r>
          </w:p>
        </w:tc>
        <w:tc>
          <w:tcPr/>
          <w:p>
            <w:pPr>
              <w:pStyle w:val="Compact"/>
              <w:jc w:val="right"/>
            </w:pPr>
            <w:r>
              <w:t xml:space="preserve">0.063</w:t>
            </w:r>
          </w:p>
        </w:tc>
        <w:tc>
          <w:tcPr/>
          <w:p>
            <w:pPr>
              <w:pStyle w:val="Compact"/>
              <w:jc w:val="right"/>
            </w:pPr>
            <w:r>
              <w:t xml:space="preserve">1</w:t>
            </w:r>
            <w:r>
              <w:t xml:space="preserve">,</w:t>
            </w:r>
            <w:r>
              <w:t xml:space="preserve">242</w:t>
            </w:r>
            <w:r>
              <w:t xml:space="preserve">,</w:t>
            </w:r>
            <w:r>
              <w:t xml:space="preserve">616</w:t>
            </w:r>
          </w:p>
        </w:tc>
        <w:tc>
          <w:tcPr/>
          <w:p>
            <w:pPr>
              <w:pStyle w:val="Compact"/>
              <w:jc w:val="right"/>
            </w:pPr>
            <w:r>
              <w:t xml:space="preserve">52</w:t>
            </w:r>
          </w:p>
        </w:tc>
        <w:tc>
          <w:tcPr/>
          <w:p>
            <w:pPr>
              <w:pStyle w:val="Compact"/>
              <w:jc w:val="right"/>
            </w:pPr>
            <w:r>
              <w:t xml:space="preserve">71</w:t>
            </w:r>
          </w:p>
        </w:tc>
      </w:tr>
      <w:tr>
        <w:tc>
          <w:tcPr/>
          <w:p>
            <w:pPr>
              <w:pStyle w:val="Compact"/>
              <w:jc w:val="left"/>
            </w:pPr>
            <w:r>
              <w:t xml:space="preserve">Elliptic Envelope</w:t>
            </w:r>
          </w:p>
        </w:tc>
        <w:tc>
          <w:tcPr/>
          <w:p>
            <w:pPr>
              <w:pStyle w:val="Compact"/>
              <w:jc w:val="right"/>
            </w:pPr>
            <w:r>
              <w:t xml:space="preserve">4.22</w:t>
            </w:r>
          </w:p>
        </w:tc>
        <w:tc>
          <w:tcPr/>
          <w:p>
            <w:pPr>
              <w:pStyle w:val="Compact"/>
              <w:jc w:val="right"/>
            </w:pPr>
            <w:r>
              <w:t xml:space="preserve">0.31</w:t>
            </w:r>
          </w:p>
        </w:tc>
        <w:tc>
          <w:tcPr/>
          <w:p>
            <w:pPr>
              <w:pStyle w:val="Compact"/>
              <w:jc w:val="right"/>
            </w:pPr>
            <w:r>
              <w:t xml:space="preserve">0.151</w:t>
            </w:r>
          </w:p>
        </w:tc>
        <w:tc>
          <w:tcPr/>
          <w:p>
            <w:pPr>
              <w:pStyle w:val="Compact"/>
              <w:jc w:val="right"/>
            </w:pPr>
            <w:r>
              <w:t xml:space="preserve">0.161</w:t>
            </w:r>
          </w:p>
        </w:tc>
        <w:tc>
          <w:tcPr/>
          <w:p>
            <w:pPr>
              <w:pStyle w:val="Compact"/>
              <w:jc w:val="right"/>
            </w:pPr>
            <w:r>
              <w:t xml:space="preserve">5</w:t>
            </w:r>
            <w:r>
              <w:t xml:space="preserve">,</w:t>
            </w:r>
            <w:r>
              <w:t xml:space="preserve">866</w:t>
            </w:r>
            <w:r>
              <w:t xml:space="preserve">,</w:t>
            </w:r>
            <w:r>
              <w:t xml:space="preserve">393</w:t>
            </w:r>
          </w:p>
        </w:tc>
        <w:tc>
          <w:tcPr/>
          <w:p>
            <w:pPr>
              <w:pStyle w:val="Compact"/>
              <w:jc w:val="right"/>
            </w:pPr>
            <w:r>
              <w:t xml:space="preserve">503</w:t>
            </w:r>
          </w:p>
        </w:tc>
        <w:tc>
          <w:tcPr/>
          <w:p>
            <w:pPr>
              <w:pStyle w:val="Compact"/>
              <w:jc w:val="right"/>
            </w:pPr>
            <w:r>
              <w:t xml:space="preserve">89</w:t>
            </w:r>
          </w:p>
        </w:tc>
      </w:tr>
      <w:tr>
        <w:tc>
          <w:tcPr/>
          <w:p>
            <w:pPr>
              <w:pStyle w:val="Compact"/>
              <w:jc w:val="left"/>
            </w:pPr>
            <w:r>
              <w:t xml:space="preserve">One-Class SVM</w:t>
            </w:r>
          </w:p>
        </w:tc>
        <w:tc>
          <w:tcPr/>
          <w:p>
            <w:pPr>
              <w:pStyle w:val="Compact"/>
              <w:jc w:val="right"/>
            </w:pPr>
            <w:r>
              <w:t xml:space="preserve">3.10</w:t>
            </w:r>
          </w:p>
        </w:tc>
        <w:tc>
          <w:tcPr/>
          <w:p>
            <w:pPr>
              <w:pStyle w:val="Compact"/>
              <w:jc w:val="right"/>
            </w:pPr>
            <w:r>
              <w:t xml:space="preserve">2.78</w:t>
            </w:r>
          </w:p>
        </w:tc>
        <w:tc>
          <w:tcPr/>
          <w:p>
            <w:pPr>
              <w:pStyle w:val="Compact"/>
              <w:jc w:val="right"/>
            </w:pPr>
            <w:r>
              <w:t xml:space="preserve">0.158</w:t>
            </w:r>
          </w:p>
        </w:tc>
        <w:tc>
          <w:tcPr/>
          <w:p>
            <w:pPr>
              <w:pStyle w:val="Compact"/>
              <w:jc w:val="right"/>
            </w:pPr>
            <w:r>
              <w:t xml:space="preserve">0.172</w:t>
            </w:r>
          </w:p>
        </w:tc>
        <w:tc>
          <w:tcPr/>
          <w:p>
            <w:pPr>
              <w:pStyle w:val="Compact"/>
              <w:jc w:val="right"/>
            </w:pPr>
            <w:r>
              <w:t xml:space="preserve">10</w:t>
            </w:r>
            <w:r>
              <w:t xml:space="preserve">,</w:t>
            </w:r>
            <w:r>
              <w:t xml:space="preserve">049</w:t>
            </w:r>
          </w:p>
        </w:tc>
        <w:tc>
          <w:tcPr/>
          <w:p>
            <w:pPr>
              <w:pStyle w:val="Compact"/>
              <w:jc w:val="right"/>
            </w:pPr>
            <w:r>
              <w:t xml:space="preserve">1</w:t>
            </w:r>
            <w:r>
              <w:t xml:space="preserve">,</w:t>
            </w:r>
            <w:r>
              <w:t xml:space="preserve">942</w:t>
            </w:r>
          </w:p>
        </w:tc>
        <w:tc>
          <w:tcPr/>
          <w:p>
            <w:pPr>
              <w:pStyle w:val="Compact"/>
              <w:jc w:val="right"/>
            </w:pPr>
            <w:r>
              <w:t xml:space="preserve">228</w:t>
            </w:r>
          </w:p>
        </w:tc>
      </w:tr>
      <w:tr>
        <w:tc>
          <w:tcPr/>
          <w:p>
            <w:pPr>
              <w:pStyle w:val="Compact"/>
              <w:jc w:val="left"/>
            </w:pPr>
            <w:r>
              <w:t xml:space="preserve">LOF</w:t>
            </w:r>
          </w:p>
        </w:tc>
        <w:tc>
          <w:tcPr/>
          <w:p>
            <w:pPr>
              <w:pStyle w:val="Compact"/>
              <w:jc w:val="right"/>
            </w:pPr>
            <w:r>
              <w:t xml:space="preserve">2.55</w:t>
            </w:r>
          </w:p>
        </w:tc>
        <w:tc>
          <w:tcPr/>
          <w:p>
            <w:pPr>
              <w:pStyle w:val="Compact"/>
              <w:jc w:val="right"/>
            </w:pPr>
            <w:r>
              <w:t xml:space="preserve">1.88</w:t>
            </w:r>
          </w:p>
        </w:tc>
        <w:tc>
          <w:tcPr/>
          <w:p>
            <w:pPr>
              <w:pStyle w:val="Compact"/>
              <w:jc w:val="right"/>
            </w:pPr>
            <w:r>
              <w:t xml:space="preserve">0.892</w:t>
            </w:r>
          </w:p>
        </w:tc>
        <w:tc>
          <w:tcPr/>
          <w:p>
            <w:pPr>
              <w:pStyle w:val="Compact"/>
              <w:jc w:val="right"/>
            </w:pPr>
            <w:r>
              <w:t xml:space="preserve">0.934</w:t>
            </w:r>
          </w:p>
        </w:tc>
        <w:tc>
          <w:tcPr/>
          <w:p>
            <w:pPr>
              <w:pStyle w:val="Compact"/>
              <w:jc w:val="right"/>
            </w:pPr>
            <w:r>
              <w:t xml:space="preserve">7</w:t>
            </w:r>
            <w:r>
              <w:t xml:space="preserve">,</w:t>
            </w:r>
            <w:r>
              <w:t xml:space="preserve">745</w:t>
            </w:r>
          </w:p>
        </w:tc>
        <w:tc>
          <w:tcPr/>
          <w:p>
            <w:pPr>
              <w:pStyle w:val="Compact"/>
              <w:jc w:val="right"/>
            </w:pPr>
            <w:r>
              <w:t xml:space="preserve">22</w:t>
            </w:r>
            <w:r>
              <w:t xml:space="preserve">,</w:t>
            </w:r>
            <w:r>
              <w:t xml:space="preserve">188</w:t>
            </w:r>
          </w:p>
        </w:tc>
        <w:tc>
          <w:tcPr/>
          <w:p>
            <w:pPr>
              <w:pStyle w:val="Compact"/>
              <w:jc w:val="right"/>
            </w:pPr>
            <w:r>
              <w:t xml:space="preserve">128</w:t>
            </w:r>
          </w:p>
        </w:tc>
      </w:tr>
      <w:tr>
        <w:tc>
          <w:tcPr/>
          <w:p>
            <w:pPr>
              <w:pStyle w:val="Compact"/>
              <w:jc w:val="left"/>
            </w:pPr>
            <w:r>
              <w:t xml:space="preserve">Isolation Forest</w:t>
            </w:r>
          </w:p>
        </w:tc>
        <w:tc>
          <w:tcPr/>
          <w:p>
            <w:pPr>
              <w:pStyle w:val="Compact"/>
              <w:jc w:val="right"/>
            </w:pPr>
            <w:r>
              <w:t xml:space="preserve">0.072</w:t>
            </w:r>
          </w:p>
        </w:tc>
        <w:tc>
          <w:tcPr/>
          <w:p>
            <w:pPr>
              <w:pStyle w:val="Compact"/>
              <w:jc w:val="right"/>
            </w:pPr>
            <w:r>
              <w:t xml:space="preserve">7.46</w:t>
            </w:r>
          </w:p>
        </w:tc>
        <w:tc>
          <w:tcPr/>
          <w:p>
            <w:pPr>
              <w:pStyle w:val="Compact"/>
              <w:jc w:val="right"/>
            </w:pPr>
            <w:r>
              <w:t xml:space="preserve">2.255</w:t>
            </w:r>
          </w:p>
        </w:tc>
        <w:tc>
          <w:tcPr/>
          <w:p>
            <w:pPr>
              <w:pStyle w:val="Compact"/>
              <w:jc w:val="right"/>
            </w:pPr>
            <w:r>
              <w:t xml:space="preserve">2.353</w:t>
            </w:r>
          </w:p>
        </w:tc>
        <w:tc>
          <w:tcPr/>
          <w:p>
            <w:pPr>
              <w:pStyle w:val="Compact"/>
              <w:jc w:val="right"/>
            </w:pPr>
            <w:r>
              <w:t xml:space="preserve">853</w:t>
            </w:r>
            <w:r>
              <w:t xml:space="preserve">,</w:t>
            </w:r>
            <w:r>
              <w:t xml:space="preserve">367</w:t>
            </w:r>
          </w:p>
        </w:tc>
        <w:tc>
          <w:tcPr/>
          <w:p>
            <w:pPr>
              <w:pStyle w:val="Compact"/>
              <w:jc w:val="right"/>
            </w:pPr>
            <w:r>
              <w:t xml:space="preserve">1</w:t>
            </w:r>
            <w:r>
              <w:t xml:space="preserve">,</w:t>
            </w:r>
            <w:r>
              <w:t xml:space="preserve">149</w:t>
            </w:r>
          </w:p>
        </w:tc>
        <w:tc>
          <w:tcPr/>
          <w:p>
            <w:pPr>
              <w:pStyle w:val="Compact"/>
              <w:jc w:val="right"/>
            </w:pPr>
            <w:r>
              <w:t xml:space="preserve">85</w:t>
            </w:r>
          </w:p>
        </w:tc>
      </w:tr>
      <w:tr>
        <w:tc>
          <w:tcPr/>
          <w:p>
            <w:pPr>
              <w:pStyle w:val="Compact"/>
              <w:jc w:val="left"/>
            </w:pPr>
            <w:r>
              <w:t xml:space="preserve">ECOD</w:t>
            </w:r>
          </w:p>
        </w:tc>
        <w:tc>
          <w:tcPr/>
          <w:p>
            <w:pPr>
              <w:pStyle w:val="Compact"/>
              <w:jc w:val="right"/>
            </w:pPr>
            <w:r>
              <w:t xml:space="preserve">0.83</w:t>
            </w:r>
          </w:p>
        </w:tc>
        <w:tc>
          <w:tcPr/>
          <w:p>
            <w:pPr>
              <w:pStyle w:val="Compact"/>
              <w:jc w:val="right"/>
            </w:pPr>
            <w:r>
              <w:t xml:space="preserve">196.5</w:t>
            </w:r>
          </w:p>
        </w:tc>
        <w:tc>
          <w:tcPr/>
          <w:p>
            <w:pPr>
              <w:pStyle w:val="Compact"/>
              <w:jc w:val="right"/>
            </w:pPr>
            <w:r>
              <w:t xml:space="preserve">698.2</w:t>
            </w:r>
          </w:p>
        </w:tc>
        <w:tc>
          <w:tcPr/>
          <w:p>
            <w:pPr>
              <w:pStyle w:val="Compact"/>
              <w:jc w:val="right"/>
            </w:pPr>
            <w:r>
              <w:t xml:space="preserve">956.7</w:t>
            </w:r>
          </w:p>
        </w:tc>
        <w:tc>
          <w:tcPr/>
          <w:p>
            <w:pPr>
              <w:pStyle w:val="Compact"/>
              <w:jc w:val="right"/>
            </w:pPr>
            <w:r>
              <w:t xml:space="preserve">8</w:t>
            </w:r>
            <w:r>
              <w:t xml:space="preserve">,</w:t>
            </w:r>
            <w:r>
              <w:t xml:space="preserve">960</w:t>
            </w:r>
          </w:p>
        </w:tc>
        <w:tc>
          <w:tcPr/>
          <w:p>
            <w:pPr>
              <w:pStyle w:val="Compact"/>
              <w:jc w:val="right"/>
            </w:pPr>
            <w:r>
              <w:t xml:space="preserve">235</w:t>
            </w:r>
            <w:r>
              <w:t xml:space="preserve">,</w:t>
            </w:r>
            <w:r>
              <w:t xml:space="preserve">157</w:t>
            </w:r>
          </w:p>
        </w:tc>
        <w:tc>
          <w:tcPr/>
          <w:p>
            <w:pPr>
              <w:pStyle w:val="Compact"/>
              <w:jc w:val="right"/>
            </w:pPr>
            <w:r>
              <w:t xml:space="preserve">516</w:t>
            </w:r>
          </w:p>
        </w:tc>
      </w:tr>
      <w:tr>
        <w:tc>
          <w:tcPr/>
          <w:p>
            <w:pPr>
              <w:pStyle w:val="Compact"/>
              <w:jc w:val="left"/>
            </w:pPr>
            <w:r>
              <w:t xml:space="preserve">COPOD</w:t>
            </w:r>
          </w:p>
        </w:tc>
        <w:tc>
          <w:tcPr/>
          <w:p>
            <w:pPr>
              <w:pStyle w:val="Compact"/>
              <w:jc w:val="right"/>
            </w:pPr>
            <w:r>
              <w:t xml:space="preserve">1.11</w:t>
            </w:r>
          </w:p>
        </w:tc>
        <w:tc>
          <w:tcPr/>
          <w:p>
            <w:pPr>
              <w:pStyle w:val="Compact"/>
              <w:jc w:val="right"/>
            </w:pPr>
            <w:r>
              <w:t xml:space="preserve">222.6</w:t>
            </w:r>
          </w:p>
        </w:tc>
        <w:tc>
          <w:tcPr/>
          <w:p>
            <w:pPr>
              <w:pStyle w:val="Compact"/>
              <w:jc w:val="right"/>
            </w:pPr>
            <w:r>
              <w:t xml:space="preserve">739.3</w:t>
            </w:r>
          </w:p>
        </w:tc>
        <w:tc>
          <w:tcPr/>
          <w:p>
            <w:pPr>
              <w:pStyle w:val="Compact"/>
              <w:jc w:val="right"/>
            </w:pPr>
            <w:r>
              <w:t xml:space="preserve">833.9</w:t>
            </w:r>
          </w:p>
        </w:tc>
        <w:tc>
          <w:tcPr/>
          <w:p>
            <w:pPr>
              <w:pStyle w:val="Compact"/>
              <w:jc w:val="right"/>
            </w:pPr>
            <w:r>
              <w:t xml:space="preserve">11</w:t>
            </w:r>
            <w:r>
              <w:t xml:space="preserve">,</w:t>
            </w:r>
            <w:r>
              <w:t xml:space="preserve">203</w:t>
            </w:r>
          </w:p>
        </w:tc>
        <w:tc>
          <w:tcPr/>
          <w:p>
            <w:pPr>
              <w:pStyle w:val="Compact"/>
              <w:jc w:val="right"/>
            </w:pPr>
            <w:r>
              <w:t xml:space="preserve">235</w:t>
            </w:r>
            <w:r>
              <w:t xml:space="preserve">,</w:t>
            </w:r>
            <w:r>
              <w:t xml:space="preserve">157</w:t>
            </w:r>
          </w:p>
        </w:tc>
        <w:tc>
          <w:tcPr/>
          <w:p>
            <w:pPr>
              <w:pStyle w:val="Compact"/>
              <w:jc w:val="right"/>
            </w:pPr>
            <w:r>
              <w:t xml:space="preserve">527</w:t>
            </w:r>
          </w:p>
        </w:tc>
      </w:tr>
    </w:tbl>
    <w:p>
      <w:pPr>
        <w:pStyle w:val="phmcaption"/>
      </w:pPr>
      <w:r>
        <w:t xml:space="preserve">Cost per detector in a Docker container capped at one CPU and 1 GB RAM</w:t>
      </w:r>
      <w:r>
        <w:t xml:space="preserve"> </w:t>
      </w:r>
      <w:r>
        <w:t xml:space="preserve">(linux/arm64 on an Apple M4 host; single BLAS thread; one spawned process per</w:t>
      </w:r>
      <w:r>
        <w:t xml:space="preserve"> </w:t>
      </w:r>
      <w:r>
        <w:t xml:space="preserve">detector). SWaT-shaped input, 120 features, 50</w:t>
      </w:r>
      <w:r>
        <w:t xml:space="preserve">,</w:t>
      </w:r>
      <w:r>
        <w:t xml:space="preserve">000 training rows. Latency: one</w:t>
      </w:r>
      <w:r>
        <w:t xml:space="preserve"> </w:t>
      </w:r>
      <w:r>
        <w:t xml:space="preserve">reading per call, 1</w:t>
      </w:r>
      <w:r>
        <w:t xml:space="preserve">,</w:t>
      </w:r>
      <w:r>
        <w:t xml:space="preserve">000 calls after warm-up. Model memory: peak resident-memory</w:t>
      </w:r>
      <w:r>
        <w:t xml:space="preserve"> </w:t>
      </w:r>
      <w:r>
        <w:t xml:space="preserve">increase above the 444 MB baseline during fitting and scoring.</w:t>
      </w:r>
    </w:p>
    <w:bookmarkEnd w:id="95"/>
    <w:bookmarkStart w:id="99" w:name="fig:edge"/>
    <w:p>
      <w:pPr>
        <w:pStyle w:val="phmfigures"/>
      </w:pPr>
      <w:r>
        <w:drawing>
          <wp:inline>
            <wp:extent cx="4800600" cy="2782347"/>
            <wp:effectExtent b="0" l="0" r="0" t="0"/>
            <wp:docPr descr="" title="" id="97" name="Picture"/>
            <a:graphic>
              <a:graphicData uri="http://schemas.openxmlformats.org/drawingml/2006/picture">
                <pic:pic>
                  <pic:nvPicPr>
                    <pic:cNvPr descr="edge_cost.png" id="98" name="Picture"/>
                    <pic:cNvPicPr>
                      <a:picLocks noChangeArrowheads="1" noChangeAspect="1"/>
                    </pic:cNvPicPr>
                  </pic:nvPicPr>
                  <pic:blipFill>
                    <a:blip r:embed="rId96"/>
                    <a:stretch>
                      <a:fillRect/>
                    </a:stretch>
                  </pic:blipFill>
                  <pic:spPr bwMode="auto">
                    <a:xfrm>
                      <a:off x="0" y="0"/>
                      <a:ext cx="4800600" cy="2782347"/>
                    </a:xfrm>
                    <a:prstGeom prst="rect">
                      <a:avLst/>
                    </a:prstGeom>
                    <a:noFill/>
                    <a:ln w="9525">
                      <a:noFill/>
                      <a:headEnd/>
                      <a:tailEnd/>
                    </a:ln>
                  </pic:spPr>
                </pic:pic>
              </a:graphicData>
            </a:graphic>
          </wp:inline>
        </w:drawing>
      </w:r>
    </w:p>
    <w:p>
      <w:pPr>
        <w:pStyle w:val="phmcaption"/>
      </w:pPr>
      <w:r>
        <w:t xml:space="preserve">Single-reading latency against serialised model size (both log scale) in the</w:t>
      </w:r>
      <w:r>
        <w:t xml:space="preserve"> </w:t>
      </w:r>
      <w:r>
        <w:t xml:space="preserve">capped container, for SKAB-shaped (40 features) and SWaT-shaped (120 features) input.</w:t>
      </w:r>
    </w:p>
    <w:bookmarkEnd w:id="99"/>
    <w:bookmarkStart w:id="100" w:name="tab:synth"/>
    <w:tbl>
      <w:tblPr>
        <w:tblStyle w:val="Table"/>
        <w:tblW w:type="auto" w:w="0"/>
        <w:tblLook w:firstRow="1" w:lastRow="0" w:firstColumn="0" w:lastColumn="0" w:noHBand="0" w:noVBand="0" w:val="0020"/>
        <w:tblCaption w:val="Summary: how each evaluation choice changed the measured outcome in this study, and the practical implication."/>
      </w:tblPr>
      <w:tblGrid>
        <w:gridCol w:w="2640"/>
        <w:gridCol w:w="2640"/>
        <w:gridCol w:w="2640"/>
      </w:tblGrid>
      <w:tr>
        <w:trPr>
          <w:tblHeader w:val="on"/>
        </w:trPr>
        <w:tc>
          <w:tcPr/>
          <w:p>
            <w:pPr>
              <w:pStyle w:val="Compact"/>
              <w:jc w:val="left"/>
            </w:pPr>
            <w:r>
              <w:t xml:space="preserve">Choice</w:t>
            </w:r>
          </w:p>
        </w:tc>
        <w:tc>
          <w:tcPr/>
          <w:p>
            <w:pPr>
              <w:pStyle w:val="Compact"/>
              <w:jc w:val="left"/>
            </w:pPr>
            <w:r>
              <w:t xml:space="preserve">Evidence in this study</w:t>
            </w:r>
          </w:p>
        </w:tc>
        <w:tc>
          <w:tcPr/>
          <w:p>
            <w:pPr>
              <w:pStyle w:val="Compact"/>
              <w:jc w:val="left"/>
            </w:pPr>
            <w:r>
              <w:t xml:space="preserve">Implication</w:t>
            </w:r>
          </w:p>
        </w:tc>
      </w:tr>
      <w:tr>
        <w:tc>
          <w:tcPr/>
          <w:p>
            <w:pPr>
              <w:pStyle w:val="Compact"/>
              <w:jc w:val="left"/>
            </w:pPr>
            <w:r>
              <w:t xml:space="preserve">Sensor set</w:t>
            </w:r>
          </w:p>
        </w:tc>
        <w:tc>
          <w:tcPr/>
          <w:p>
            <w:pPr>
              <w:pStyle w:val="Compact"/>
              <w:jc w:val="left"/>
            </w:pPr>
            <w:r>
              <w:t xml:space="preserve">Adding one drifting SWaT analyser (AIT201):</w:t>
            </w:r>
            <w:r>
              <w:t xml:space="preserve"> </w:t>
            </w:r>
            <w:r>
              <w:rPr>
                <w:i/>
                <w:iCs/>
              </w:rPr>
              <w:t xml:space="preserve">z</w:t>
            </w:r>
            <w:r>
              <w:t xml:space="preserve">-score false alarms</w:t>
            </w:r>
            <w:r>
              <w:t xml:space="preserve"> </w:t>
            </w:r>
            <m:oMath>
              <m:r>
                <m:t>1.4</m:t>
              </m:r>
              <m:r>
                <m:rPr>
                  <m:sty m:val="p"/>
                </m:rPr>
                <m:t>%</m:t>
              </m:r>
              <m:r>
                <m:rPr>
                  <m:sty m:val="p"/>
                </m:rPr>
                <m:t>→</m:t>
              </m:r>
              <m:r>
                <m:t>42</m:t>
              </m:r>
              <m:r>
                <m:rPr>
                  <m:sty m:val="p"/>
                </m:rPr>
                <m:t>%</m:t>
              </m:r>
            </m:oMath>
            <w:r>
              <w:t xml:space="preserve">. Removing three drifting WADI analysers: false alarms</w:t>
            </w:r>
            <w:r>
              <w:t xml:space="preserve"> </w:t>
            </w:r>
            <m:oMath>
              <m:r>
                <m:t>56</m:t>
              </m:r>
              <m:r>
                <m:rPr>
                  <m:sty m:val="p"/>
                </m:rPr>
                <m:t>%</m:t>
              </m:r>
              <m:r>
                <m:rPr>
                  <m:sty m:val="p"/>
                </m:rPr>
                <m:t>→</m:t>
              </m:r>
              <m:r>
                <m:t>1</m:t>
              </m:r>
              <m:r>
                <m:rPr>
                  <m:sty m:val="p"/>
                </m:rPr>
                <m:t>%</m:t>
              </m:r>
            </m:oMath>
            <w:r>
              <w:t xml:space="preserve"> </w:t>
            </w:r>
            <w:r>
              <w:t xml:space="preserve">for six detectors</w:t>
            </w:r>
          </w:p>
        </w:tc>
        <w:tc>
          <w:tcPr/>
          <w:p>
            <w:pPr>
              <w:pStyle w:val="Compact"/>
              <w:jc w:val="left"/>
            </w:pPr>
            <w:r>
              <w:t xml:space="preserve">Check sensor ranges against training data; prefer detectors that bound each sensor’s influence when analysers can drift</w:t>
            </w:r>
          </w:p>
        </w:tc>
      </w:tr>
      <w:tr>
        <w:tc>
          <w:tcPr/>
          <w:p>
            <w:pPr>
              <w:pStyle w:val="Compact"/>
              <w:jc w:val="left"/>
            </w:pPr>
            <w:r>
              <w:t xml:space="preserve">Training/test split</w:t>
            </w:r>
          </w:p>
        </w:tc>
        <w:tc>
          <w:tcPr/>
          <w:p>
            <w:pPr>
              <w:pStyle w:val="Compact"/>
              <w:jc w:val="left"/>
            </w:pPr>
            <w:r>
              <w:t xml:space="preserve">SWaT re-upload layout vs standard split: AUROC 0.84–0.93 vs 0.83–0.86; HBOS first vs last. SKAB pooled vs per-run: chance-level vs run AUROC up to 0.79, ranking inverted</w:t>
            </w:r>
          </w:p>
        </w:tc>
        <w:tc>
          <w:tcPr/>
          <w:p>
            <w:pPr>
              <w:pStyle w:val="Compact"/>
              <w:jc w:val="left"/>
            </w:pPr>
            <w:r>
              <w:t xml:space="preserve">State the time span and source of training and test data; use a benchmark’s reference protocol</w:t>
            </w:r>
          </w:p>
        </w:tc>
      </w:tr>
      <w:tr>
        <w:tc>
          <w:tcPr/>
          <w:p>
            <w:pPr>
              <w:pStyle w:val="Compact"/>
              <w:jc w:val="left"/>
            </w:pPr>
            <w:r>
              <w:t xml:space="preserve">Threshold rule</w:t>
            </w:r>
          </w:p>
        </w:tc>
        <w:tc>
          <w:tcPr/>
          <w:p>
            <w:pPr>
              <w:pStyle w:val="Compact"/>
              <w:jc w:val="left"/>
            </w:pPr>
            <w:r>
              <w:t xml:space="preserve">Shared contamination vs per-model calibration:</w:t>
            </w:r>
            <w:r>
              <w:t xml:space="preserve"> </w:t>
            </w:r>
            <w:r>
              <w:rPr>
                <w:i/>
                <w:iCs/>
              </w:rPr>
              <w:t xml:space="preserve">z</w:t>
            </w:r>
            <w:r>
              <w:t xml:space="preserve">-score MCC 0.18 vs 0.84. Label-free vs label-calibrated on SWaT:</w:t>
            </w:r>
            <w:r>
              <w:t xml:space="preserve"> </w:t>
            </w:r>
            <w:r>
              <w:rPr>
                <w:i/>
                <w:iCs/>
              </w:rPr>
              <w:t xml:space="preserve">z</w:t>
            </w:r>
            <w:r>
              <w:t xml:space="preserve">-score MCC 0.22 vs 0.82, One-Class SVM 0.18 vs 0.82</w:t>
            </w:r>
          </w:p>
        </w:tc>
        <w:tc>
          <w:tcPr/>
          <w:p>
            <w:pPr>
              <w:pStyle w:val="Compact"/>
              <w:jc w:val="left"/>
            </w:pPr>
            <w:r>
              <w:t xml:space="preserve">Report a label-free threshold as the deployable result; treat label-calibrated results as an optimistic reference</w:t>
            </w:r>
          </w:p>
        </w:tc>
      </w:tr>
      <w:tr>
        <w:tc>
          <w:tcPr/>
          <w:p>
            <w:pPr>
              <w:pStyle w:val="Compact"/>
              <w:jc w:val="left"/>
            </w:pPr>
            <w:r>
              <w:t xml:space="preserve">Retraining data</w:t>
            </w:r>
          </w:p>
        </w:tc>
        <w:tc>
          <w:tcPr/>
          <w:p>
            <w:pPr>
              <w:pStyle w:val="Compact"/>
              <w:jc w:val="left"/>
            </w:pPr>
            <w:r>
              <w:t xml:space="preserve">Oracle labels: Isolation Forest MCC</w:t>
            </w:r>
            <w:r>
              <w:t xml:space="preserve"> </w:t>
            </w:r>
            <m:oMath>
              <m:r>
                <m:t>0.17</m:t>
              </m:r>
              <m:r>
                <m:rPr>
                  <m:sty m:val="p"/>
                </m:rPr>
                <m:t>→</m:t>
              </m:r>
              <m:r>
                <m:t>0.54</m:t>
              </m:r>
            </m:oMath>
            <w:r>
              <w:t xml:space="preserve">. Predicted-normal: collapse to flag-everything. All rows: attacks absorbed, MCC</w:t>
            </w:r>
            <w:r>
              <w:t xml:space="preserve"> </w:t>
            </w:r>
            <m:oMath>
              <m:r>
                <m:rPr>
                  <m:sty m:val="p"/>
                </m:rPr>
                <m:t>≤</m:t>
              </m:r>
              <m:r>
                <m:t>0.30</m:t>
              </m:r>
            </m:oMath>
          </w:p>
        </w:tc>
        <w:tc>
          <w:tcPr/>
          <w:p>
            <w:pPr>
              <w:pStyle w:val="Compact"/>
              <w:jc w:val="left"/>
            </w:pPr>
            <w:r>
              <w:t xml:space="preserve">Do not claim adaptation gains from label-selected retraining; vet retraining data or use slowly changing detectors</w:t>
            </w:r>
          </w:p>
        </w:tc>
      </w:tr>
      <w:tr>
        <w:tc>
          <w:tcPr/>
          <w:p>
            <w:pPr>
              <w:pStyle w:val="Compact"/>
              <w:jc w:val="left"/>
            </w:pPr>
            <w:r>
              <w:t xml:space="preserve">Retraining trigger</w:t>
            </w:r>
          </w:p>
        </w:tc>
        <w:tc>
          <w:tcPr/>
          <w:p>
            <w:pPr>
              <w:pStyle w:val="Compact"/>
              <w:jc w:val="left"/>
            </w:pPr>
            <w:r>
              <w:t xml:space="preserve">KS trigger: 0.488 with 74 refits vs periodic 0.456 (80), 0.485 (120); KS checks 96 s vs every-batch refits 19 s</w:t>
            </w:r>
          </w:p>
        </w:tc>
        <w:tc>
          <w:tcPr/>
          <w:p>
            <w:pPr>
              <w:pStyle w:val="Compact"/>
              <w:jc w:val="left"/>
            </w:pPr>
            <w:r>
              <w:t xml:space="preserve">Compare triggers against a budget curve, including the cost of the check</w:t>
            </w:r>
          </w:p>
        </w:tc>
      </w:tr>
      <w:tr>
        <w:tc>
          <w:tcPr/>
          <w:p>
            <w:pPr>
              <w:pStyle w:val="Compact"/>
              <w:jc w:val="left"/>
            </w:pPr>
            <w:r>
              <w:t xml:space="preserve">Cost measurement</w:t>
            </w:r>
          </w:p>
        </w:tc>
        <w:tc>
          <w:tcPr/>
          <w:p>
            <w:pPr>
              <w:pStyle w:val="Compact"/>
              <w:jc w:val="left"/>
            </w:pPr>
            <w:r>
              <w:t xml:space="preserve">Batch-averaged vs single-reading latency for Isolation Forest: 0.0019 vs 2.3 ms; feature update 3.2 ms</w:t>
            </w:r>
          </w:p>
        </w:tc>
        <w:tc>
          <w:tcPr/>
          <w:p>
            <w:pPr>
              <w:pStyle w:val="Compact"/>
              <w:jc w:val="left"/>
            </w:pPr>
            <w:r>
              <w:t xml:space="preserve">Report single-reading latency and memory above a stated baseline</w:t>
            </w:r>
          </w:p>
        </w:tc>
      </w:tr>
    </w:tbl>
    <w:p>
      <w:pPr>
        <w:pStyle w:val="phmcaption"/>
      </w:pPr>
      <w:r>
        <w:t xml:space="preserve">Summary: how each evaluation choice changed the measured outcome in this study,</w:t>
      </w:r>
      <w:r>
        <w:t xml:space="preserve"> </w:t>
      </w:r>
      <w:r>
        <w:t xml:space="preserve">and the practical implication.</w:t>
      </w:r>
    </w:p>
    <w:bookmarkEnd w:id="100"/>
    <w:bookmarkEnd w:id="101"/>
    <w:sectPr>
      <w:type w:val="nextPage"/>
      <w:pgSz w:w="12240" w:h="15840"/>
      <w:pgMar w:top="2160" w:right="1080" w:bottom="1440" w:left="108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3AE6" w:rsidRPr="00A60983" w:rsidRDefault="009D7D9F" w:rsidP="00DF5A57">
    <w:pPr>
      <w:jc w:val="right"/>
      <w:rPr>
        <w:sz w:val="18"/>
      </w:rPr>
    </w:pPr>
    <w:r w:rsidRPr="00A60983">
      <w:rPr>
        <w:rStyle w:val="PageNumber"/>
        <w:sz w:val="18"/>
      </w:rPr>
      <w:fldChar w:fldCharType="begin"/>
    </w:r>
    <w:r w:rsidR="00523AE6" w:rsidRPr="00A60983">
      <w:rPr>
        <w:rStyle w:val="PageNumber"/>
        <w:sz w:val="18"/>
      </w:rPr>
      <w:instrText xml:space="preserve"> PAGE </w:instrText>
    </w:r>
    <w:r w:rsidRPr="00A60983">
      <w:rPr>
        <w:rStyle w:val="PageNumber"/>
        <w:sz w:val="18"/>
      </w:rPr>
      <w:fldChar w:fldCharType="separate"/>
    </w:r>
    <w:r w:rsidR="00352B81">
      <w:rPr>
        <w:rStyle w:val="PageNumber"/>
        <w:noProof/>
        <w:sz w:val="18"/>
      </w:rPr>
      <w:t>5</w:t>
    </w:r>
    <w:r w:rsidRPr="00A60983">
      <w:rPr>
        <w:rStyle w:val="PageNumber"/>
        <w:sz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881" w:rsidRPr="00B84881" w:rsidRDefault="00B84881">
    <w:pPr>
      <w:pStyle w:val="Footer"/>
      <w:rPr>
        <w:sz w:val="18"/>
      </w:rPr>
    </w:pPr>
    <w:r w:rsidRPr="0018349F">
      <w:rPr>
        <w:sz w:val="18"/>
      </w:rPr>
      <w:t xml:space="preserve">International Journal of Prognostics and Health </w:t>
    </w:r>
    <w:r>
      <w:rPr>
        <w:sz w:val="18"/>
      </w:rPr>
      <w:t>Management, ISSN 2153-2648, 2012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3AE6" w:rsidRPr="00B84881" w:rsidRDefault="00B84881" w:rsidP="00B84881">
    <w:pPr>
      <w:pStyle w:val="Header"/>
      <w:jc w:val="center"/>
      <w:rPr>
        <w:smallCaps/>
        <w:sz w:val="18"/>
      </w:rPr>
    </w:pPr>
    <w:r w:rsidRPr="00886B8A">
      <w:rPr>
        <w:smallCaps/>
        <w:sz w:val="18"/>
      </w:rPr>
      <w:t>International Journal of Prognostics and Health Management</w:t>
    </w: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025C2831"/>
    <w:multiLevelType w:val="multilevel"/>
    <w:tmpl w:val="5E3823E8"/>
    <w:lvl w:ilvl="0">
      <w:start w:val="1"/>
      <w:numFmt w:val="decimal"/>
      <w:suff w:val="space"/>
      <w:lvlText w:val="%1."/>
      <w:lvlJc w:val="left"/>
      <w:pPr>
        <w:ind w:hanging="360" w:left="360"/>
      </w:pPr>
      <w:rPr>
        <w:rFonts w:ascii="Times New Roman" w:hAnsi="Times New Roman" w:hint="default"/>
        <w:b/>
        <w:bCs/>
        <w:i w:val="0"/>
        <w:iCs w:val="0"/>
        <w:sz w:val="20"/>
        <w:szCs w:val="20"/>
      </w:rPr>
    </w:lvl>
    <w:lvl w:ilvl="1">
      <w:start w:val="1"/>
      <w:numFmt w:val="decimal"/>
      <w:suff w:val="space"/>
      <w:lvlText w:val="%1.%2."/>
      <w:lvlJc w:val="left"/>
      <w:pPr>
        <w:ind w:hanging="360" w:left="360"/>
      </w:pPr>
      <w:rPr>
        <w:rFonts w:hint="default"/>
      </w:rPr>
    </w:lvl>
    <w:lvl w:ilvl="2">
      <w:start w:val="1"/>
      <w:numFmt w:val="decimal"/>
      <w:suff w:val="space"/>
      <w:lvlText w:val="%1.%2.%3."/>
      <w:lvlJc w:val="left"/>
      <w:pPr>
        <w:ind w:hanging="360" w:left="36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
    <w:nsid w:val="04E20328"/>
    <w:multiLevelType w:val="hybridMultilevel"/>
    <w:tmpl w:val="A2B4719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2">
    <w:nsid w:val="10E37CA9"/>
    <w:multiLevelType w:val="multilevel"/>
    <w:tmpl w:val="4156D44A"/>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suff w:val="space"/>
      <w:lvlText w:val="%1.%2."/>
      <w:lvlJc w:val="left"/>
      <w:pPr>
        <w:ind w:hanging="360" w:left="360"/>
      </w:pPr>
      <w:rPr>
        <w:rFonts w:hint="default"/>
      </w:rPr>
    </w:lvl>
    <w:lvl w:ilvl="2">
      <w:start w:val="1"/>
      <w:numFmt w:val="decimal"/>
      <w:suff w:val="space"/>
      <w:lvlText w:val="%1.%2.%3."/>
      <w:lvlJc w:val="left"/>
      <w:pPr>
        <w:ind w:hanging="360" w:left="36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3">
    <w:nsid w:val="13804C0C"/>
    <w:multiLevelType w:val="multilevel"/>
    <w:tmpl w:val="49465E86"/>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tabs>
          <w:tab w:pos="360" w:val="num"/>
        </w:tabs>
        <w:ind w:hanging="360" w:left="360"/>
      </w:pPr>
      <w:rPr>
        <w:rFonts w:hint="default"/>
      </w:rPr>
    </w:lvl>
    <w:lvl w:ilvl="2">
      <w:start w:val="1"/>
      <w:numFmt w:val="decimal"/>
      <w:suff w:val="space"/>
      <w:lvlText w:val="%1.%2.%3."/>
      <w:lvlJc w:val="left"/>
      <w:pPr>
        <w:ind w:hanging="360" w:left="36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4">
    <w:nsid w:val="1FC804CA"/>
    <w:multiLevelType w:val="hybridMultilevel"/>
    <w:tmpl w:val="1326EA98"/>
    <w:lvl w:ilvl="0" w:tplc="5558A6FA">
      <w:start w:val="1"/>
      <w:numFmt w:val="bullet"/>
      <w:pStyle w:val="phmbulletlist"/>
      <w:lvlText w:val=""/>
      <w:lvlJc w:val="left"/>
      <w:pPr>
        <w:ind w:hanging="360" w:left="36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5">
    <w:nsid w:val="200D4037"/>
    <w:multiLevelType w:val="multilevel"/>
    <w:tmpl w:val="7BE8028C"/>
    <w:lvl w:ilvl="0">
      <w:start w:val="1"/>
      <w:numFmt w:val="decimal"/>
      <w:lvlText w:val="%1."/>
      <w:lvlJc w:val="left"/>
      <w:pPr>
        <w:ind w:hanging="432" w:left="432"/>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6">
    <w:nsid w:val="29920D13"/>
    <w:multiLevelType w:val="multilevel"/>
    <w:tmpl w:val="8B221B92"/>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7">
    <w:nsid w:val="2ADB60A7"/>
    <w:multiLevelType w:val="hybridMultilevel"/>
    <w:tmpl w:val="453EE0C0"/>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8">
    <w:nsid w:val="2DED297B"/>
    <w:multiLevelType w:val="hybridMultilevel"/>
    <w:tmpl w:val="2FC4DB72"/>
    <w:lvl w:ilvl="0" w:tplc="D752EB02">
      <w:start w:val="1"/>
      <w:numFmt w:val="decimal"/>
      <w:pStyle w:val="phmnumberlist"/>
      <w:lvlText w:val="%1."/>
      <w:lvlJc w:val="left"/>
      <w:pPr>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
    <w:nsid w:val="34DB73F8"/>
    <w:multiLevelType w:val="multilevel"/>
    <w:tmpl w:val="00983C5C"/>
    <w:lvl w:ilvl="0">
      <w:start w:val="1"/>
      <w:numFmt w:val="decimal"/>
      <w:lvlText w:val="%1"/>
      <w:lvlJc w:val="left"/>
      <w:pPr>
        <w:ind w:hanging="432" w:left="432"/>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0">
    <w:nsid w:val="3CF11BDC"/>
    <w:multiLevelType w:val="multilevel"/>
    <w:tmpl w:val="70D64FE4"/>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tabs>
          <w:tab w:pos="360" w:val="num"/>
        </w:tabs>
        <w:ind w:hanging="360" w:left="360"/>
      </w:pPr>
      <w:rPr>
        <w:rFonts w:hint="default"/>
      </w:rPr>
    </w:lvl>
    <w:lvl w:ilvl="2">
      <w:start w:val="1"/>
      <w:numFmt w:val="decimal"/>
      <w:pStyle w:val="Heading3"/>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1">
    <w:nsid w:val="49034839"/>
    <w:multiLevelType w:val="multilevel"/>
    <w:tmpl w:val="38AC97DE"/>
    <w:lvl w:ilvl="0">
      <w:start w:val="1"/>
      <w:numFmt w:val="bullet"/>
      <w:lvlText w:val=""/>
      <w:lvlJc w:val="left"/>
      <w:pPr>
        <w:ind w:hanging="360" w:left="72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abstractNumId="12">
    <w:nsid w:val="49104106"/>
    <w:multiLevelType w:val="multilevel"/>
    <w:tmpl w:val="9B6C0568"/>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tabs>
          <w:tab w:pos="360" w:val="num"/>
        </w:tabs>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3">
    <w:nsid w:val="4C5F21F4"/>
    <w:multiLevelType w:val="multilevel"/>
    <w:tmpl w:val="09763E1E"/>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4">
    <w:nsid w:val="5EF1107C"/>
    <w:multiLevelType w:val="multilevel"/>
    <w:tmpl w:val="9E70D7EE"/>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5">
    <w:nsid w:val="637D752E"/>
    <w:multiLevelType w:val="multilevel"/>
    <w:tmpl w:val="FBA0AE22"/>
    <w:lvl w:ilvl="0">
      <w:start w:val="1"/>
      <w:numFmt w:val="bullet"/>
      <w:lvlText w:val=""/>
      <w:lvlJc w:val="left"/>
      <w:pPr>
        <w:ind w:hanging="360" w:left="36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abstractNumId="16">
    <w:nsid w:val="648B65CB"/>
    <w:multiLevelType w:val="multilevel"/>
    <w:tmpl w:val="9462D6F4"/>
    <w:lvl w:ilvl="0">
      <w:start w:val="1"/>
      <w:numFmt w:val="decimal"/>
      <w:lvlText w:val="%1."/>
      <w:lvlJc w:val="left"/>
      <w:pPr>
        <w:ind w:hanging="360" w:left="36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rPr>
    </w:lvl>
    <w:lvl w:ilvl="1">
      <w:start w:val="3"/>
      <w:numFmt w:val="none"/>
      <w:lvlText w:val=""/>
      <w:lvlJc w:val="left"/>
      <w:pPr>
        <w:tabs>
          <w:tab w:pos="792" w:val="num"/>
        </w:tabs>
        <w:ind w:hanging="432" w:left="792"/>
      </w:pPr>
      <w:rPr>
        <w:rFonts w:hint="default"/>
      </w:rPr>
    </w:lvl>
    <w:lvl w:ilvl="2">
      <w:start w:val="1"/>
      <w:numFmt w:val="none"/>
      <w:lvlText w:val=""/>
      <w:lvlJc w:val="left"/>
      <w:pPr>
        <w:tabs>
          <w:tab w:pos="1224" w:val="num"/>
        </w:tabs>
        <w:ind w:hanging="504" w:left="1224"/>
      </w:pPr>
      <w:rPr>
        <w:rFonts w:hint="default"/>
      </w:rPr>
    </w:lvl>
    <w:lvl w:ilvl="3">
      <w:start w:val="1"/>
      <w:numFmt w:val="decimal"/>
      <w:lvlText w:val="%1.%2.%3.%4."/>
      <w:lvlJc w:val="left"/>
      <w:pPr>
        <w:tabs>
          <w:tab w:pos="1728" w:val="num"/>
        </w:tabs>
        <w:ind w:hanging="648" w:left="1728"/>
      </w:pPr>
      <w:rPr>
        <w:rFonts w:hint="default"/>
      </w:rPr>
    </w:lvl>
    <w:lvl w:ilvl="4">
      <w:start w:val="1"/>
      <w:numFmt w:val="decimal"/>
      <w:lvlText w:val="%1.%2.%3.%4.%5."/>
      <w:lvlJc w:val="left"/>
      <w:pPr>
        <w:tabs>
          <w:tab w:pos="2232" w:val="num"/>
        </w:tabs>
        <w:ind w:hanging="792" w:left="2232"/>
      </w:pPr>
      <w:rPr>
        <w:rFonts w:hint="default"/>
      </w:rPr>
    </w:lvl>
    <w:lvl w:ilvl="5">
      <w:start w:val="1"/>
      <w:numFmt w:val="decimal"/>
      <w:lvlText w:val="%1.%2.%3.%4.%5.%6."/>
      <w:lvlJc w:val="left"/>
      <w:pPr>
        <w:tabs>
          <w:tab w:pos="2736" w:val="num"/>
        </w:tabs>
        <w:ind w:hanging="936" w:left="2736"/>
      </w:pPr>
      <w:rPr>
        <w:rFonts w:hint="default"/>
      </w:rPr>
    </w:lvl>
    <w:lvl w:ilvl="6">
      <w:start w:val="1"/>
      <w:numFmt w:val="decimal"/>
      <w:lvlText w:val="%1.%2.%3.%4.%5.%6.%7."/>
      <w:lvlJc w:val="left"/>
      <w:pPr>
        <w:tabs>
          <w:tab w:pos="3240" w:val="num"/>
        </w:tabs>
        <w:ind w:hanging="1080" w:left="3240"/>
      </w:pPr>
      <w:rPr>
        <w:rFonts w:hint="default"/>
      </w:rPr>
    </w:lvl>
    <w:lvl w:ilvl="7">
      <w:start w:val="1"/>
      <w:numFmt w:val="decimal"/>
      <w:lvlText w:val="%1.%2.%3.%4.%5.%6.%7.%8."/>
      <w:lvlJc w:val="left"/>
      <w:pPr>
        <w:tabs>
          <w:tab w:pos="3744" w:val="num"/>
        </w:tabs>
        <w:ind w:hanging="1224" w:left="3744"/>
      </w:pPr>
      <w:rPr>
        <w:rFonts w:hint="default"/>
      </w:rPr>
    </w:lvl>
    <w:lvl w:ilvl="8">
      <w:start w:val="1"/>
      <w:numFmt w:val="decimal"/>
      <w:lvlText w:val="%1.%2.%3.%4.%5.%6.%7.%8.%9."/>
      <w:lvlJc w:val="left"/>
      <w:pPr>
        <w:tabs>
          <w:tab w:pos="4320" w:val="num"/>
        </w:tabs>
        <w:ind w:hanging="1440" w:left="4320"/>
      </w:pPr>
      <w:rPr>
        <w:rFonts w:hint="default"/>
      </w:rPr>
    </w:lvl>
  </w:abstractNum>
  <w:abstractNum w:abstractNumId="17">
    <w:nsid w:val="687409EC"/>
    <w:multiLevelType w:val="multilevel"/>
    <w:tmpl w:val="5E3823E8"/>
    <w:lvl w:ilvl="0">
      <w:start w:val="1"/>
      <w:numFmt w:val="decimal"/>
      <w:pStyle w:val="phmheading1"/>
      <w:suff w:val="space"/>
      <w:lvlText w:val="%1."/>
      <w:lvlJc w:val="left"/>
      <w:pPr>
        <w:ind w:hanging="360" w:left="360"/>
      </w:pPr>
      <w:rPr>
        <w:rFonts w:ascii="Times New Roman" w:hAnsi="Times New Roman" w:hint="default"/>
        <w:b/>
        <w:bCs/>
        <w:i w:val="0"/>
        <w:iCs w:val="0"/>
        <w:sz w:val="20"/>
        <w:szCs w:val="20"/>
      </w:rPr>
    </w:lvl>
    <w:lvl w:ilvl="1">
      <w:start w:val="1"/>
      <w:numFmt w:val="decimal"/>
      <w:pStyle w:val="phmheading2"/>
      <w:suff w:val="space"/>
      <w:lvlText w:val="%1.%2."/>
      <w:lvlJc w:val="left"/>
      <w:pPr>
        <w:ind w:hanging="360" w:left="360"/>
      </w:pPr>
      <w:rPr>
        <w:rFonts w:hint="default"/>
      </w:rPr>
    </w:lvl>
    <w:lvl w:ilvl="2">
      <w:start w:val="1"/>
      <w:numFmt w:val="decimal"/>
      <w:pStyle w:val="phmheading3"/>
      <w:suff w:val="space"/>
      <w:lvlText w:val="%1.%2.%3."/>
      <w:lvlJc w:val="left"/>
      <w:pPr>
        <w:ind w:hanging="360" w:left="360"/>
      </w:pPr>
      <w:rPr>
        <w:rFonts w:hint="default"/>
      </w:rPr>
    </w:lvl>
    <w:lvl w:ilvl="3">
      <w:start w:val="1"/>
      <w:numFmt w:val="decimal"/>
      <w:pStyle w:val="Heading4"/>
      <w:lvlText w:val="%1.%2.%3.%4"/>
      <w:lvlJc w:val="left"/>
      <w:pPr>
        <w:ind w:hanging="864" w:left="864"/>
      </w:pPr>
      <w:rPr>
        <w:rFonts w:hint="default"/>
      </w:rPr>
    </w:lvl>
    <w:lvl w:ilvl="4">
      <w:start w:val="1"/>
      <w:numFmt w:val="decimal"/>
      <w:pStyle w:val="Heading5"/>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abstractNumId="18">
    <w:nsid w:val="68D33AAD"/>
    <w:multiLevelType w:val="multilevel"/>
    <w:tmpl w:val="02EEE80C"/>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tabs>
          <w:tab w:pos="360" w:val="num"/>
        </w:tabs>
        <w:ind w:hanging="360" w:left="360"/>
      </w:pPr>
      <w:rPr>
        <w:rFonts w:hint="default"/>
      </w:rPr>
    </w:lvl>
    <w:lvl w:ilvl="2">
      <w:start w:val="1"/>
      <w:numFmt w:val="decimal"/>
      <w:lvlText w:val="%1.%2.%3."/>
      <w:lvlJc w:val="left"/>
      <w:pPr>
        <w:tabs>
          <w:tab w:pos="360" w:val="num"/>
        </w:tabs>
        <w:ind w:hanging="360" w:left="36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9">
    <w:nsid w:val="71DB2247"/>
    <w:multiLevelType w:val="multilevel"/>
    <w:tmpl w:val="63CCE6D2"/>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tabs>
          <w:tab w:pos="360" w:val="num"/>
        </w:tabs>
        <w:ind w:hanging="360" w:left="360"/>
      </w:pPr>
      <w:rPr>
        <w:rFonts w:hint="default"/>
      </w:rPr>
    </w:lvl>
    <w:lvl w:ilvl="2">
      <w:start w:val="1"/>
      <w:numFmt w:val="decimal"/>
      <w:lvlText w:val="%1.%2.%3."/>
      <w:lvlJc w:val="left"/>
      <w:pPr>
        <w:tabs>
          <w:tab w:pos="360" w:val="num"/>
        </w:tabs>
        <w:ind w:hanging="360" w:left="36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20">
    <w:nsid w:val="7FA51F01"/>
    <w:multiLevelType w:val="multilevel"/>
    <w:tmpl w:val="C90A40F4"/>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0"/>
  </w:num>
  <w:num w:numId="2">
    <w:abstractNumId w:val="9"/>
  </w:num>
  <w:num w:numId="3">
    <w:abstractNumId w:val="5"/>
  </w:num>
  <w:num w:numId="4">
    <w:abstractNumId w:val="14"/>
  </w:num>
  <w:num w:numId="5">
    <w:abstractNumId w:val="10"/>
  </w:num>
  <w:num w:numId="6">
    <w:abstractNumId w:val="13"/>
  </w:num>
  <w:num w:numId="7">
    <w:abstractNumId w:val="6"/>
  </w:num>
  <w:num w:numId="8">
    <w:abstractNumId w:val="12"/>
  </w:num>
  <w:num w:numId="9">
    <w:abstractNumId w:val="17"/>
  </w:num>
  <w:num w:numId="10">
    <w:abstractNumId w:val="18"/>
  </w:num>
  <w:num w:numId="11">
    <w:abstractNumId w:val="19"/>
  </w:num>
  <w:num w:numId="12">
    <w:abstractNumId w:val="3"/>
  </w:num>
  <w:num w:numId="13">
    <w:abstractNumId w:val="2"/>
  </w:num>
  <w:num w:numId="14">
    <w:abstractNumId w:val="1"/>
  </w:num>
  <w:num w:numId="15">
    <w:abstractNumId w:val="4"/>
  </w:num>
  <w:num w:numId="16">
    <w:abstractNumId w:val="7"/>
  </w:num>
  <w:num w:numId="17">
    <w:abstractNumId w:val="16"/>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num>
  <w:num w:numId="19">
    <w:abstractNumId w:val="11"/>
  </w:num>
  <w:num w:numId="20">
    <w:abstractNumId w:val="15"/>
  </w:num>
  <w:num w:numId="21">
    <w:abstractNumId w:val="8"/>
  </w:num>
  <w:num w:numId="22">
    <w:abstractNumId w:val="0"/>
  </w:num>
  <w:num w:numId="23">
    <w:abstractNumId w:val="8"/>
    <w:lvlOverride w:ilvl="0">
      <w:startOverride w:val="1"/>
    </w:lvlOverride>
  </w:num>
  <w:num w:numId="24">
    <w:abstractNumId w:val="17"/>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8"/>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8194" v:ext="edit">
      <o:colormenu fillcolor="none" v:ext="edit"/>
    </o:shapedefaults>
  </w:hdrShapeDefaults>
  <w:compat>
    <w:useFELayout/>
  </w:compat>
  <w:rsids>
    <w:rsidRoot w:val="008C749C"/>
    <w:rsid w:val="0000321C"/>
    <w:rsid w:val="000032E0"/>
    <w:rsid w:val="000050D2"/>
    <w:rsid w:val="0001087E"/>
    <w:rsid w:val="00034CF5"/>
    <w:rsid w:val="000962FC"/>
    <w:rsid w:val="000A7728"/>
    <w:rsid w:val="000B45B1"/>
    <w:rsid w:val="000C5181"/>
    <w:rsid w:val="000C521E"/>
    <w:rsid w:val="000C55C5"/>
    <w:rsid w:val="000D0A6D"/>
    <w:rsid w:val="000D0B13"/>
    <w:rsid w:val="000D1DFE"/>
    <w:rsid w:val="000D4DA0"/>
    <w:rsid w:val="000E76EC"/>
    <w:rsid w:val="00107C6A"/>
    <w:rsid w:val="001261A8"/>
    <w:rsid w:val="00132E72"/>
    <w:rsid w:val="001719A1"/>
    <w:rsid w:val="0018349F"/>
    <w:rsid w:val="00184FF7"/>
    <w:rsid w:val="001860BF"/>
    <w:rsid w:val="001948FF"/>
    <w:rsid w:val="001A4B99"/>
    <w:rsid w:val="001B14E9"/>
    <w:rsid w:val="001E1404"/>
    <w:rsid w:val="00201404"/>
    <w:rsid w:val="002074EB"/>
    <w:rsid w:val="00247A33"/>
    <w:rsid w:val="00256DA7"/>
    <w:rsid w:val="002739DE"/>
    <w:rsid w:val="00275783"/>
    <w:rsid w:val="00294FCC"/>
    <w:rsid w:val="002A1DE1"/>
    <w:rsid w:val="002A21D4"/>
    <w:rsid w:val="002B6BA8"/>
    <w:rsid w:val="002B719F"/>
    <w:rsid w:val="002C2DA8"/>
    <w:rsid w:val="002D488F"/>
    <w:rsid w:val="002D5BD3"/>
    <w:rsid w:val="003031F8"/>
    <w:rsid w:val="00320CCC"/>
    <w:rsid w:val="00346C15"/>
    <w:rsid w:val="00352B81"/>
    <w:rsid w:val="003545F1"/>
    <w:rsid w:val="00363B84"/>
    <w:rsid w:val="0036697D"/>
    <w:rsid w:val="00377240"/>
    <w:rsid w:val="0038019F"/>
    <w:rsid w:val="00393CEF"/>
    <w:rsid w:val="003A1BF0"/>
    <w:rsid w:val="003B5585"/>
    <w:rsid w:val="003B56E5"/>
    <w:rsid w:val="003C1B4D"/>
    <w:rsid w:val="003D0FC8"/>
    <w:rsid w:val="00427C47"/>
    <w:rsid w:val="0045455A"/>
    <w:rsid w:val="00454BAB"/>
    <w:rsid w:val="0046410B"/>
    <w:rsid w:val="00481AE6"/>
    <w:rsid w:val="004B410F"/>
    <w:rsid w:val="004C0729"/>
    <w:rsid w:val="005111B9"/>
    <w:rsid w:val="00523AE6"/>
    <w:rsid w:val="00532FF9"/>
    <w:rsid w:val="005404EE"/>
    <w:rsid w:val="00541637"/>
    <w:rsid w:val="00566D7B"/>
    <w:rsid w:val="0057149A"/>
    <w:rsid w:val="00590B80"/>
    <w:rsid w:val="005E41A7"/>
    <w:rsid w:val="00602395"/>
    <w:rsid w:val="006342F8"/>
    <w:rsid w:val="0064653F"/>
    <w:rsid w:val="00657827"/>
    <w:rsid w:val="0066604D"/>
    <w:rsid w:val="00666FD2"/>
    <w:rsid w:val="00673B7F"/>
    <w:rsid w:val="0068694B"/>
    <w:rsid w:val="00693373"/>
    <w:rsid w:val="006936B4"/>
    <w:rsid w:val="006A1CDA"/>
    <w:rsid w:val="006C4896"/>
    <w:rsid w:val="006C4905"/>
    <w:rsid w:val="006D7488"/>
    <w:rsid w:val="006E7AC9"/>
    <w:rsid w:val="00726D2C"/>
    <w:rsid w:val="0075575B"/>
    <w:rsid w:val="0076666C"/>
    <w:rsid w:val="00772D1F"/>
    <w:rsid w:val="00772E5C"/>
    <w:rsid w:val="007733EE"/>
    <w:rsid w:val="00777B38"/>
    <w:rsid w:val="00786571"/>
    <w:rsid w:val="00792BAE"/>
    <w:rsid w:val="007A255D"/>
    <w:rsid w:val="007C14BE"/>
    <w:rsid w:val="007D5E88"/>
    <w:rsid w:val="007D78A2"/>
    <w:rsid w:val="00800124"/>
    <w:rsid w:val="008013F8"/>
    <w:rsid w:val="008144CC"/>
    <w:rsid w:val="00814F9F"/>
    <w:rsid w:val="00822332"/>
    <w:rsid w:val="00824004"/>
    <w:rsid w:val="00830404"/>
    <w:rsid w:val="00852395"/>
    <w:rsid w:val="0085692B"/>
    <w:rsid w:val="00886B8A"/>
    <w:rsid w:val="008C749C"/>
    <w:rsid w:val="008D0B4F"/>
    <w:rsid w:val="008D2783"/>
    <w:rsid w:val="008E7D1A"/>
    <w:rsid w:val="00906988"/>
    <w:rsid w:val="00911FE2"/>
    <w:rsid w:val="00920B22"/>
    <w:rsid w:val="00925795"/>
    <w:rsid w:val="009262F6"/>
    <w:rsid w:val="00954231"/>
    <w:rsid w:val="00961056"/>
    <w:rsid w:val="00965DB6"/>
    <w:rsid w:val="009726D3"/>
    <w:rsid w:val="00984D30"/>
    <w:rsid w:val="009B31FE"/>
    <w:rsid w:val="009D4B13"/>
    <w:rsid w:val="009D7D9F"/>
    <w:rsid w:val="009E3A08"/>
    <w:rsid w:val="009E48FD"/>
    <w:rsid w:val="009F3D79"/>
    <w:rsid w:val="009F5DD0"/>
    <w:rsid w:val="00A03C1D"/>
    <w:rsid w:val="00A044F3"/>
    <w:rsid w:val="00A13AA8"/>
    <w:rsid w:val="00A52D8C"/>
    <w:rsid w:val="00A563F9"/>
    <w:rsid w:val="00A60983"/>
    <w:rsid w:val="00A65C7E"/>
    <w:rsid w:val="00A971E4"/>
    <w:rsid w:val="00AA14AA"/>
    <w:rsid w:val="00AA4E77"/>
    <w:rsid w:val="00B0498D"/>
    <w:rsid w:val="00B1631C"/>
    <w:rsid w:val="00B22B2A"/>
    <w:rsid w:val="00B25F6F"/>
    <w:rsid w:val="00B3685C"/>
    <w:rsid w:val="00B444B2"/>
    <w:rsid w:val="00B636AC"/>
    <w:rsid w:val="00B63B50"/>
    <w:rsid w:val="00B671AB"/>
    <w:rsid w:val="00B72BD7"/>
    <w:rsid w:val="00B72E70"/>
    <w:rsid w:val="00B8186E"/>
    <w:rsid w:val="00B84881"/>
    <w:rsid w:val="00BA3F23"/>
    <w:rsid w:val="00BD1545"/>
    <w:rsid w:val="00BD6216"/>
    <w:rsid w:val="00BE2579"/>
    <w:rsid w:val="00C0322A"/>
    <w:rsid w:val="00C03A63"/>
    <w:rsid w:val="00C365A7"/>
    <w:rsid w:val="00C43E1D"/>
    <w:rsid w:val="00C46552"/>
    <w:rsid w:val="00C54D2D"/>
    <w:rsid w:val="00C6575D"/>
    <w:rsid w:val="00C65E6F"/>
    <w:rsid w:val="00CA2719"/>
    <w:rsid w:val="00CA4586"/>
    <w:rsid w:val="00CA4C3B"/>
    <w:rsid w:val="00CD2142"/>
    <w:rsid w:val="00CD770C"/>
    <w:rsid w:val="00CE5109"/>
    <w:rsid w:val="00D02547"/>
    <w:rsid w:val="00D127E1"/>
    <w:rsid w:val="00D5403B"/>
    <w:rsid w:val="00D71FDF"/>
    <w:rsid w:val="00D86B63"/>
    <w:rsid w:val="00D939E1"/>
    <w:rsid w:val="00DD7A7D"/>
    <w:rsid w:val="00DF09D9"/>
    <w:rsid w:val="00DF3981"/>
    <w:rsid w:val="00DF5A57"/>
    <w:rsid w:val="00E21B28"/>
    <w:rsid w:val="00E269FB"/>
    <w:rsid w:val="00E41124"/>
    <w:rsid w:val="00E4372F"/>
    <w:rsid w:val="00E957A4"/>
    <w:rsid w:val="00EA1891"/>
    <w:rsid w:val="00EB781E"/>
    <w:rsid w:val="00EC1C92"/>
    <w:rsid w:val="00EE2135"/>
    <w:rsid w:val="00EF4CBC"/>
    <w:rsid w:val="00EF650E"/>
    <w:rsid w:val="00F00281"/>
    <w:rsid w:val="00F140D3"/>
    <w:rsid w:val="00F31042"/>
    <w:rsid w:val="00F332DC"/>
    <w:rsid w:val="00F554DB"/>
    <w:rsid w:val="00F6384C"/>
    <w:rsid w:val="00F66262"/>
    <w:rsid w:val="00F930DF"/>
    <w:rsid w:val="00FC39F9"/>
    <w:rsid w:val="00FE541C"/>
    <w:rsid w:val="00FF631D"/>
    <w:rsid w:val="00FF6FFF"/>
  </w:rsids>
  <w:themeFontLang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8194" v:ext="edit">
      <o:colormenu fillcolor="none" v:ext="edit"/>
    </o:shapedefaults>
    <o:shapelayout v:ext="edit">
      <o:idmap data="1" v:ext="edit"/>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uiPriority="0"/>
    <w:lsdException w:name="caption" w:qFormat="1" w:uiPriority="35"/>
    <w:lsdException w:name="Title" w:qFormat="1" w:semiHidden="0" w:uiPriority="10" w:unhideWhenUsed="0"/>
    <w:lsdException w:name="Default Paragraph Font" w:uiPriority="1"/>
    <w:lsdException w:name="Body Text" w:uiPriority="0"/>
    <w:lsdException w:name="Subtitle" w:qFormat="1" w:semiHidden="0" w:uiPriority="11" w:unhideWhenUsed="0"/>
    <w:lsdException w:name="Hyperlink" w:uiPriority="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427C47"/>
    <w:pPr>
      <w:jc w:val="both"/>
    </w:pPr>
    <w:rPr>
      <w:rFonts w:ascii="Times New Roman" w:hAnsi="Times New Roman"/>
      <w:sz w:val="20"/>
    </w:rPr>
  </w:style>
  <w:style w:styleId="Heading2" w:type="paragraph">
    <w:name w:val="heading 2"/>
    <w:basedOn w:val="Normal"/>
    <w:next w:val="Normal"/>
    <w:link w:val="Heading2Char"/>
    <w:uiPriority w:val="9"/>
    <w:semiHidden/>
    <w:unhideWhenUsed/>
    <w:qFormat/>
    <w:rsid w:val="001B14E9"/>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semiHidden/>
    <w:unhideWhenUsed/>
    <w:qFormat/>
    <w:rsid w:val="0036697D"/>
    <w:pPr>
      <w:keepNext/>
      <w:keepLines/>
      <w:numPr>
        <w:ilvl w:val="2"/>
        <w:numId w:val="5"/>
      </w:numPr>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8013F8"/>
    <w:pPr>
      <w:keepNext/>
      <w:keepLines/>
      <w:numPr>
        <w:ilvl w:val="3"/>
        <w:numId w:val="9"/>
      </w:numPr>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8013F8"/>
    <w:pPr>
      <w:keepNext/>
      <w:keepLines/>
      <w:numPr>
        <w:ilvl w:val="4"/>
        <w:numId w:val="9"/>
      </w:numPr>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8013F8"/>
    <w:pPr>
      <w:keepNext/>
      <w:keepLines/>
      <w:numPr>
        <w:ilvl w:val="5"/>
        <w:numId w:val="9"/>
      </w:numPr>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8013F8"/>
    <w:pPr>
      <w:keepNext/>
      <w:keepLines/>
      <w:numPr>
        <w:ilvl w:val="6"/>
        <w:numId w:val="9"/>
      </w:numPr>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8013F8"/>
    <w:pPr>
      <w:keepNext/>
      <w:keepLines/>
      <w:numPr>
        <w:ilvl w:val="7"/>
        <w:numId w:val="9"/>
      </w:numPr>
      <w:spacing w:before="200"/>
      <w:outlineLvl w:val="7"/>
    </w:pPr>
    <w:rPr>
      <w:rFonts w:asciiTheme="majorHAnsi" w:cstheme="majorBidi" w:eastAsiaTheme="majorEastAsia" w:hAnsiTheme="majorHAnsi"/>
      <w:color w:themeColor="text1" w:themeTint="BF" w:val="404040"/>
      <w:szCs w:val="20"/>
    </w:rPr>
  </w:style>
  <w:style w:styleId="Heading9" w:type="paragraph">
    <w:name w:val="heading 9"/>
    <w:basedOn w:val="Normal"/>
    <w:next w:val="Normal"/>
    <w:link w:val="Heading9Char"/>
    <w:uiPriority w:val="9"/>
    <w:semiHidden/>
    <w:unhideWhenUsed/>
    <w:qFormat/>
    <w:rsid w:val="008013F8"/>
    <w:pPr>
      <w:keepNext/>
      <w:keepLines/>
      <w:numPr>
        <w:ilvl w:val="8"/>
        <w:numId w:val="9"/>
      </w:numPr>
      <w:spacing w:before="200"/>
      <w:outlineLvl w:val="8"/>
    </w:pPr>
    <w:rPr>
      <w:rFonts w:asciiTheme="majorHAnsi" w:cstheme="majorBidi" w:eastAsiaTheme="majorEastAsia" w:hAnsiTheme="majorHAnsi"/>
      <w:i/>
      <w:iCs/>
      <w:color w:themeColor="text1" w:themeTint="BF" w:val="40404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qFormat/>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427C47"/>
    <w:rPr>
      <w:rFonts w:ascii="Lucida Grande" w:hAnsi="Lucida Grande"/>
      <w:sz w:val="18"/>
      <w:szCs w:val="18"/>
    </w:rPr>
  </w:style>
  <w:style w:customStyle="1" w:styleId="BalloonTextChar" w:type="character">
    <w:name w:val="Balloon Text Char"/>
    <w:basedOn w:val="DefaultParagraphFont"/>
    <w:link w:val="BalloonText"/>
    <w:uiPriority w:val="99"/>
    <w:semiHidden/>
    <w:rsid w:val="00427C47"/>
    <w:rPr>
      <w:rFonts w:ascii="Lucida Grande" w:hAnsi="Lucida Grande"/>
      <w:sz w:val="18"/>
      <w:szCs w:val="18"/>
    </w:rPr>
  </w:style>
  <w:style w:customStyle="1" w:styleId="phmnormal" w:type="paragraph">
    <w:name w:val="phm_normal"/>
    <w:basedOn w:val="Normal"/>
    <w:qFormat/>
    <w:rsid w:val="00A13AA8"/>
  </w:style>
  <w:style w:customStyle="1" w:styleId="phmtitle" w:type="paragraph">
    <w:name w:val="phm_title"/>
    <w:basedOn w:val="phmnormal"/>
    <w:qFormat/>
    <w:rsid w:val="00602395"/>
    <w:pPr>
      <w:spacing w:after="280"/>
      <w:jc w:val="center"/>
    </w:pPr>
    <w:rPr>
      <w:b/>
      <w:sz w:val="34"/>
    </w:rPr>
  </w:style>
  <w:style w:customStyle="1" w:styleId="phmauthorlist" w:type="paragraph">
    <w:name w:val="phm_authorlist"/>
    <w:basedOn w:val="phmnormal"/>
    <w:qFormat/>
    <w:rsid w:val="005404EE"/>
    <w:pPr>
      <w:spacing w:after="240"/>
      <w:jc w:val="center"/>
    </w:pPr>
  </w:style>
  <w:style w:customStyle="1" w:styleId="phmaffiliation" w:type="paragraph">
    <w:name w:val="phm_affiliation"/>
    <w:basedOn w:val="phmnormal"/>
    <w:qFormat/>
    <w:rsid w:val="00C365A7"/>
    <w:pPr>
      <w:spacing w:after="60" w:before="180"/>
      <w:jc w:val="center"/>
    </w:pPr>
    <w:rPr>
      <w:i/>
    </w:rPr>
  </w:style>
  <w:style w:customStyle="1" w:styleId="phmemail" w:type="paragraph">
    <w:name w:val="phm_email"/>
    <w:basedOn w:val="phmnormal"/>
    <w:qFormat/>
    <w:rsid w:val="007733EE"/>
    <w:pPr>
      <w:jc w:val="center"/>
    </w:pPr>
    <w:rPr>
      <w:i/>
      <w:sz w:val="18"/>
    </w:rPr>
  </w:style>
  <w:style w:customStyle="1" w:styleId="phmheadingnonumber" w:type="paragraph">
    <w:name w:val="phm_heading_nonumber"/>
    <w:basedOn w:val="phmnormal"/>
    <w:next w:val="phmbodytext"/>
    <w:qFormat/>
    <w:rsid w:val="00C03A63"/>
    <w:pPr>
      <w:spacing w:after="120" w:before="240"/>
      <w:jc w:val="left"/>
    </w:pPr>
    <w:rPr>
      <w:b/>
      <w:bCs/>
      <w:smallCaps/>
    </w:rPr>
  </w:style>
  <w:style w:customStyle="1" w:styleId="phmbodytext" w:type="paragraph">
    <w:name w:val="phm_body_text"/>
    <w:basedOn w:val="phmnormal"/>
    <w:qFormat/>
    <w:rsid w:val="008D2783"/>
    <w:pPr>
      <w:spacing w:after="120"/>
    </w:pPr>
  </w:style>
  <w:style w:customStyle="1" w:styleId="phmheading1" w:type="paragraph">
    <w:name w:val="phm_heading1"/>
    <w:basedOn w:val="phmnormal"/>
    <w:next w:val="phmbodytext"/>
    <w:qFormat/>
    <w:rsid w:val="008013F8"/>
    <w:pPr>
      <w:keepNext/>
      <w:numPr>
        <w:numId w:val="9"/>
      </w:numPr>
      <w:spacing w:after="120" w:before="240"/>
      <w:jc w:val="left"/>
      <w:outlineLvl w:val="0"/>
    </w:pPr>
    <w:rPr>
      <w:b/>
      <w:bCs/>
      <w:smallCaps/>
    </w:rPr>
  </w:style>
  <w:style w:customStyle="1" w:styleId="phmheading2" w:type="paragraph">
    <w:name w:val="phm_heading2"/>
    <w:basedOn w:val="phmnormal"/>
    <w:next w:val="phmbodytext"/>
    <w:qFormat/>
    <w:rsid w:val="008013F8"/>
    <w:pPr>
      <w:keepNext/>
      <w:numPr>
        <w:ilvl w:val="1"/>
        <w:numId w:val="9"/>
      </w:numPr>
      <w:spacing w:after="120" w:before="240"/>
      <w:jc w:val="left"/>
      <w:outlineLvl w:val="1"/>
    </w:pPr>
    <w:rPr>
      <w:b/>
    </w:rPr>
  </w:style>
  <w:style w:customStyle="1" w:styleId="Heading2Char" w:type="character">
    <w:name w:val="Heading 2 Char"/>
    <w:basedOn w:val="DefaultParagraphFont"/>
    <w:link w:val="Heading2"/>
    <w:uiPriority w:val="9"/>
    <w:semiHidden/>
    <w:rsid w:val="001B14E9"/>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semiHidden/>
    <w:rsid w:val="0036697D"/>
    <w:rPr>
      <w:rFonts w:asciiTheme="majorHAnsi" w:cstheme="majorBidi" w:eastAsiaTheme="majorEastAsia" w:hAnsiTheme="majorHAnsi"/>
      <w:b/>
      <w:bCs/>
      <w:color w:themeColor="accent1" w:val="4F81BD"/>
      <w:sz w:val="20"/>
    </w:rPr>
  </w:style>
  <w:style w:customStyle="1" w:styleId="Heading4Char" w:type="character">
    <w:name w:val="Heading 4 Char"/>
    <w:basedOn w:val="DefaultParagraphFont"/>
    <w:link w:val="Heading4"/>
    <w:uiPriority w:val="9"/>
    <w:rsid w:val="008013F8"/>
    <w:rPr>
      <w:rFonts w:asciiTheme="majorHAnsi" w:cstheme="majorBidi" w:eastAsiaTheme="majorEastAsia" w:hAnsiTheme="majorHAnsi"/>
      <w:b/>
      <w:bCs/>
      <w:i/>
      <w:iCs/>
      <w:color w:themeColor="accent1" w:val="4F81BD"/>
      <w:sz w:val="20"/>
    </w:rPr>
  </w:style>
  <w:style w:customStyle="1" w:styleId="Heading5Char" w:type="character">
    <w:name w:val="Heading 5 Char"/>
    <w:basedOn w:val="DefaultParagraphFont"/>
    <w:link w:val="Heading5"/>
    <w:uiPriority w:val="9"/>
    <w:semiHidden/>
    <w:rsid w:val="008013F8"/>
    <w:rPr>
      <w:rFonts w:asciiTheme="majorHAnsi" w:cstheme="majorBidi" w:eastAsiaTheme="majorEastAsia" w:hAnsiTheme="majorHAnsi"/>
      <w:color w:themeColor="accent1" w:themeShade="7F" w:val="243F60"/>
      <w:sz w:val="20"/>
    </w:rPr>
  </w:style>
  <w:style w:customStyle="1" w:styleId="Heading6Char" w:type="character">
    <w:name w:val="Heading 6 Char"/>
    <w:basedOn w:val="DefaultParagraphFont"/>
    <w:link w:val="Heading6"/>
    <w:uiPriority w:val="9"/>
    <w:semiHidden/>
    <w:rsid w:val="008013F8"/>
    <w:rPr>
      <w:rFonts w:asciiTheme="majorHAnsi" w:cstheme="majorBidi" w:eastAsiaTheme="majorEastAsia" w:hAnsiTheme="majorHAnsi"/>
      <w:i/>
      <w:iCs/>
      <w:color w:themeColor="accent1" w:themeShade="7F" w:val="243F60"/>
      <w:sz w:val="20"/>
    </w:rPr>
  </w:style>
  <w:style w:customStyle="1" w:styleId="Heading7Char" w:type="character">
    <w:name w:val="Heading 7 Char"/>
    <w:basedOn w:val="DefaultParagraphFont"/>
    <w:link w:val="Heading7"/>
    <w:uiPriority w:val="9"/>
    <w:semiHidden/>
    <w:rsid w:val="008013F8"/>
    <w:rPr>
      <w:rFonts w:asciiTheme="majorHAnsi" w:cstheme="majorBidi" w:eastAsiaTheme="majorEastAsia" w:hAnsiTheme="majorHAnsi"/>
      <w:i/>
      <w:iCs/>
      <w:color w:themeColor="text1" w:themeTint="BF" w:val="404040"/>
      <w:sz w:val="20"/>
    </w:rPr>
  </w:style>
  <w:style w:customStyle="1" w:styleId="Heading8Char" w:type="character">
    <w:name w:val="Heading 8 Char"/>
    <w:basedOn w:val="DefaultParagraphFont"/>
    <w:link w:val="Heading8"/>
    <w:uiPriority w:val="9"/>
    <w:semiHidden/>
    <w:rsid w:val="008013F8"/>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semiHidden/>
    <w:rsid w:val="008013F8"/>
    <w:rPr>
      <w:rFonts w:asciiTheme="majorHAnsi" w:cstheme="majorBidi" w:eastAsiaTheme="majorEastAsia" w:hAnsiTheme="majorHAnsi"/>
      <w:i/>
      <w:iCs/>
      <w:color w:themeColor="text1" w:themeTint="BF" w:val="404040"/>
      <w:sz w:val="20"/>
      <w:szCs w:val="20"/>
    </w:rPr>
  </w:style>
  <w:style w:customStyle="1" w:styleId="phmheading3" w:type="paragraph">
    <w:name w:val="phm_heading3"/>
    <w:basedOn w:val="phmnormal"/>
    <w:next w:val="phmbodytext"/>
    <w:qFormat/>
    <w:rsid w:val="008013F8"/>
    <w:pPr>
      <w:keepNext/>
      <w:numPr>
        <w:ilvl w:val="2"/>
        <w:numId w:val="9"/>
      </w:numPr>
      <w:spacing w:after="120" w:before="240"/>
      <w:jc w:val="left"/>
      <w:outlineLvl w:val="2"/>
    </w:pPr>
    <w:rPr>
      <w:b/>
    </w:rPr>
  </w:style>
  <w:style w:customStyle="1" w:styleId="phmheadingabstract" w:type="paragraph">
    <w:name w:val="phm_heading_abstract"/>
    <w:basedOn w:val="phmbodytext"/>
    <w:qFormat/>
    <w:rsid w:val="00F332DC"/>
    <w:pPr>
      <w:jc w:val="center"/>
    </w:pPr>
    <w:rPr>
      <w:b/>
      <w:bCs/>
      <w:smallCaps/>
    </w:rPr>
  </w:style>
  <w:style w:customStyle="1" w:styleId="AuthorAffiliation" w:type="paragraph">
    <w:name w:val="Author Affiliation"/>
    <w:basedOn w:val="Normal"/>
    <w:next w:val="Normal"/>
    <w:rsid w:val="00532FF9"/>
    <w:pPr>
      <w:suppressAutoHyphens/>
      <w:overflowPunct w:val="0"/>
      <w:autoSpaceDE w:val="0"/>
      <w:autoSpaceDN w:val="0"/>
      <w:adjustRightInd w:val="0"/>
      <w:spacing w:after="240"/>
      <w:jc w:val="center"/>
      <w:textAlignment w:val="baseline"/>
    </w:pPr>
    <w:rPr>
      <w:rFonts w:cs="Times New Roman" w:eastAsia="Times New Roman"/>
      <w:i/>
      <w:szCs w:val="20"/>
    </w:rPr>
  </w:style>
  <w:style w:styleId="BodyText" w:type="paragraph">
    <w:name w:val="Body Text"/>
    <w:basedOn w:val="Normal"/>
    <w:link w:val="BodyTextChar"/>
    <w:autoRedefine/>
    <w:semiHidden/>
    <w:rsid w:val="00532FF9"/>
    <w:pPr>
      <w:spacing w:after="120"/>
    </w:pPr>
    <w:rPr>
      <w:rFonts w:cs="Times New Roman" w:eastAsia="Times New Roman"/>
      <w:szCs w:val="18"/>
    </w:rPr>
  </w:style>
  <w:style w:customStyle="1" w:styleId="BodyTextChar" w:type="character">
    <w:name w:val="Body Text Char"/>
    <w:basedOn w:val="DefaultParagraphFont"/>
    <w:link w:val="BodyText"/>
    <w:semiHidden/>
    <w:rsid w:val="00532FF9"/>
    <w:rPr>
      <w:rFonts w:ascii="Times New Roman" w:cs="Times New Roman" w:eastAsia="Times New Roman" w:hAnsi="Times New Roman"/>
      <w:sz w:val="20"/>
      <w:szCs w:val="18"/>
    </w:rPr>
  </w:style>
  <w:style w:styleId="Hyperlink" w:type="character">
    <w:name w:val="Hyperlink"/>
    <w:semiHidden/>
    <w:rsid w:val="00532FF9"/>
    <w:rPr>
      <w:color w:val="0000FF"/>
      <w:u w:val="single"/>
    </w:rPr>
  </w:style>
  <w:style w:styleId="Header" w:type="paragraph">
    <w:name w:val="header"/>
    <w:aliases w:val="phm_header"/>
    <w:basedOn w:val="phmnormal"/>
    <w:link w:val="HeaderChar"/>
    <w:unhideWhenUsed/>
    <w:qFormat/>
    <w:rsid w:val="008144CC"/>
    <w:pPr>
      <w:tabs>
        <w:tab w:pos="4320" w:val="center"/>
        <w:tab w:pos="8640" w:val="right"/>
      </w:tabs>
    </w:pPr>
  </w:style>
  <w:style w:customStyle="1" w:styleId="HeaderChar" w:type="character">
    <w:name w:val="Header Char"/>
    <w:aliases w:val="phm_header Char"/>
    <w:basedOn w:val="DefaultParagraphFont"/>
    <w:link w:val="Header"/>
    <w:rsid w:val="008144CC"/>
    <w:rPr>
      <w:rFonts w:ascii="Times New Roman" w:hAnsi="Times New Roman"/>
      <w:sz w:val="20"/>
    </w:rPr>
  </w:style>
  <w:style w:styleId="Caption" w:type="paragraph">
    <w:name w:val="caption"/>
    <w:basedOn w:val="Normal"/>
    <w:next w:val="Normal"/>
    <w:uiPriority w:val="35"/>
    <w:unhideWhenUsed/>
    <w:qFormat/>
    <w:rsid w:val="00D02547"/>
    <w:pPr>
      <w:jc w:val="left"/>
    </w:pPr>
    <w:rPr>
      <w:rFonts w:cs="Times New Roman" w:eastAsia="SimSun"/>
      <w:b/>
      <w:bCs/>
      <w:szCs w:val="20"/>
    </w:rPr>
  </w:style>
  <w:style w:customStyle="1" w:styleId="ijPHMReferences" w:type="paragraph">
    <w:name w:val="ijPHM References"/>
    <w:basedOn w:val="BodyText"/>
    <w:link w:val="ijPHMReferencesChar"/>
    <w:qFormat/>
    <w:rsid w:val="0000321C"/>
    <w:pPr>
      <w:spacing w:after="0"/>
      <w:ind w:hanging="360" w:left="360"/>
    </w:pPr>
  </w:style>
  <w:style w:customStyle="1" w:styleId="ijPHMReferencesChar" w:type="character">
    <w:name w:val="ijPHM References Char"/>
    <w:basedOn w:val="BodyTextChar"/>
    <w:link w:val="ijPHMReferences"/>
    <w:rsid w:val="0000321C"/>
    <w:rPr>
      <w:rFonts w:ascii="Times New Roman" w:cs="Times New Roman" w:eastAsia="Times New Roman" w:hAnsi="Times New Roman"/>
      <w:sz w:val="20"/>
      <w:szCs w:val="18"/>
    </w:rPr>
  </w:style>
  <w:style w:customStyle="1" w:styleId="Nomenclature" w:type="paragraph">
    <w:name w:val="Nomenclature"/>
    <w:basedOn w:val="Normal"/>
    <w:rsid w:val="0000321C"/>
    <w:pPr>
      <w:widowControl w:val="0"/>
      <w:tabs>
        <w:tab w:pos="864" w:val="left"/>
        <w:tab w:pos="1152" w:val="left"/>
      </w:tabs>
    </w:pPr>
    <w:rPr>
      <w:rFonts w:cs="Times New Roman" w:eastAsia="Times New Roman"/>
      <w:szCs w:val="20"/>
    </w:rPr>
  </w:style>
  <w:style w:customStyle="1" w:styleId="phmbulletlist" w:type="paragraph">
    <w:name w:val="phm_bullet_list"/>
    <w:basedOn w:val="phmnormal"/>
    <w:next w:val="phmbodytext"/>
    <w:qFormat/>
    <w:rsid w:val="00F140D3"/>
    <w:pPr>
      <w:numPr>
        <w:numId w:val="15"/>
      </w:numPr>
      <w:spacing w:after="60"/>
    </w:pPr>
  </w:style>
  <w:style w:customStyle="1" w:styleId="phmnumberlist" w:type="paragraph">
    <w:name w:val="phm_number_list"/>
    <w:basedOn w:val="phmnormal"/>
    <w:next w:val="phmbodytext"/>
    <w:qFormat/>
    <w:rsid w:val="00954231"/>
    <w:pPr>
      <w:numPr>
        <w:numId w:val="21"/>
      </w:numPr>
      <w:spacing w:after="60"/>
    </w:pPr>
  </w:style>
  <w:style w:customStyle="1" w:styleId="phmheading4" w:type="paragraph">
    <w:name w:val="phm_heading4"/>
    <w:basedOn w:val="phmnormal"/>
    <w:next w:val="phmbodytext"/>
    <w:qFormat/>
    <w:rsid w:val="001261A8"/>
    <w:pPr>
      <w:keepNext/>
      <w:spacing w:after="60" w:before="240"/>
      <w:jc w:val="left"/>
      <w:outlineLvl w:val="3"/>
    </w:pPr>
    <w:rPr>
      <w:b/>
    </w:rPr>
  </w:style>
  <w:style w:customStyle="1" w:styleId="phmreference" w:type="paragraph">
    <w:name w:val="phm_reference"/>
    <w:basedOn w:val="phmnormal"/>
    <w:qFormat/>
    <w:rsid w:val="00B3685C"/>
    <w:pPr>
      <w:ind w:hanging="360" w:left="360"/>
    </w:pPr>
  </w:style>
  <w:style w:styleId="PageNumber" w:type="character">
    <w:name w:val="page number"/>
    <w:basedOn w:val="DefaultParagraphFont"/>
    <w:uiPriority w:val="99"/>
    <w:semiHidden/>
    <w:unhideWhenUsed/>
    <w:rsid w:val="00DF5A57"/>
  </w:style>
  <w:style w:styleId="FootnoteText" w:type="paragraph">
    <w:name w:val="footnote text"/>
    <w:basedOn w:val="Normal"/>
    <w:link w:val="FootnoteTextChar"/>
    <w:uiPriority w:val="99"/>
    <w:unhideWhenUsed/>
    <w:rsid w:val="00BE2579"/>
    <w:rPr>
      <w:sz w:val="24"/>
    </w:rPr>
  </w:style>
  <w:style w:customStyle="1" w:styleId="FootnoteTextChar" w:type="character">
    <w:name w:val="Footnote Text Char"/>
    <w:basedOn w:val="DefaultParagraphFont"/>
    <w:link w:val="FootnoteText"/>
    <w:uiPriority w:val="99"/>
    <w:rsid w:val="00BE2579"/>
    <w:rPr>
      <w:rFonts w:ascii="Times New Roman" w:hAnsi="Times New Roman"/>
    </w:rPr>
  </w:style>
  <w:style w:styleId="FootnoteReference" w:type="character">
    <w:name w:val="footnote reference"/>
    <w:basedOn w:val="DefaultParagraphFont"/>
    <w:uiPriority w:val="99"/>
    <w:unhideWhenUsed/>
    <w:rsid w:val="00BE2579"/>
    <w:rPr>
      <w:vertAlign w:val="superscript"/>
    </w:rPr>
  </w:style>
  <w:style w:styleId="Footer" w:type="paragraph">
    <w:name w:val="footer"/>
    <w:basedOn w:val="Normal"/>
    <w:link w:val="FooterChar"/>
    <w:uiPriority w:val="99"/>
    <w:unhideWhenUsed/>
    <w:rsid w:val="003D0FC8"/>
    <w:pPr>
      <w:tabs>
        <w:tab w:pos="4680" w:val="center"/>
        <w:tab w:pos="9360" w:val="right"/>
      </w:tabs>
    </w:pPr>
  </w:style>
  <w:style w:customStyle="1" w:styleId="FooterChar" w:type="character">
    <w:name w:val="Footer Char"/>
    <w:basedOn w:val="DefaultParagraphFont"/>
    <w:link w:val="Footer"/>
    <w:uiPriority w:val="99"/>
    <w:semiHidden/>
    <w:rsid w:val="003D0FC8"/>
    <w:rPr>
      <w:rFonts w:ascii="Times New Roman" w:hAnsi="Times New Roman"/>
      <w:sz w:val="20"/>
    </w:rPr>
  </w:style>
  <w:style w:styleId="DocumentMap" w:type="paragraph">
    <w:name w:val="Document Map"/>
    <w:basedOn w:val="Normal"/>
    <w:link w:val="DocumentMapChar"/>
    <w:uiPriority w:val="99"/>
    <w:semiHidden/>
    <w:unhideWhenUsed/>
    <w:rsid w:val="00A60983"/>
    <w:rPr>
      <w:rFonts w:ascii="Tahoma" w:cs="Tahoma" w:hAnsi="Tahoma"/>
      <w:sz w:val="16"/>
      <w:szCs w:val="16"/>
    </w:rPr>
  </w:style>
  <w:style w:customStyle="1" w:styleId="DocumentMapChar" w:type="character">
    <w:name w:val="Document Map Char"/>
    <w:basedOn w:val="DefaultParagraphFont"/>
    <w:link w:val="DocumentMap"/>
    <w:uiPriority w:val="99"/>
    <w:semiHidden/>
    <w:rsid w:val="00A60983"/>
    <w:rPr>
      <w:rFonts w:ascii="Tahoma" w:cs="Tahoma" w:hAnsi="Tahoma"/>
      <w:sz w:val="16"/>
      <w:szCs w:val="16"/>
    </w:rPr>
  </w:style>
  <w:style w:styleId="PlaceholderText" w:type="character">
    <w:name w:val="Placeholder Text"/>
    <w:basedOn w:val="DefaultParagraphFont"/>
    <w:uiPriority w:val="99"/>
    <w:semiHidden/>
    <w:rsid w:val="00F00281"/>
    <w:rPr>
      <w:color w:val="808080"/>
    </w:rPr>
  </w:style>
  <w:style w:styleId="TableGrid" w:type="table">
    <w:name w:val="Table Grid"/>
    <w:basedOn w:val="TableNormal"/>
    <w:uiPriority w:val="59"/>
    <w:rsid w:val="00EF4CBC"/>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phmcaption" w:type="paragraph">
    <w:name w:val="phm_caption"/>
    <w:basedOn w:val="Caption"/>
    <w:qFormat/>
    <w:rsid w:val="002B719F"/>
    <w:pPr>
      <w:spacing w:after="120" w:before="120"/>
      <w:jc w:val="center"/>
    </w:pPr>
    <w:rPr>
      <w:b w:val="0"/>
    </w:rPr>
  </w:style>
  <w:style w:customStyle="1" w:styleId="phmfigures" w:type="paragraph">
    <w:name w:val="phm_figures"/>
    <w:basedOn w:val="phmbodytext"/>
    <w:qFormat/>
    <w:rsid w:val="009F3D79"/>
    <w:pPr>
      <w:spacing w:before="240"/>
      <w:jc w:val="center"/>
    </w:pPr>
    <w:rPr>
      <w:noProo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divs>
    <w:div w:id="17092569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media/image2.emf" Type="http://schemas.openxmlformats.org/officeDocument/2006/relationships/image" /><Relationship Id="rId11" Target="media/image1.emf" Type="http://schemas.openxmlformats.org/officeDocument/2006/relationships/image" /><Relationship Id="rId10" Target="footer2.xml" Type="http://schemas.openxmlformats.org/officeDocument/2006/relationships/footer" /><Relationship Id="rId9" Target="footer1.xml" Type="http://schemas.openxmlformats.org/officeDocument/2006/relationships/footer" /><Relationship Type="http://schemas.openxmlformats.org/officeDocument/2006/relationships/image" Id="rId78" Target="media/rId78.png" /><Relationship Type="http://schemas.openxmlformats.org/officeDocument/2006/relationships/image" Id="rId91" Target="media/rId91.png" /><Relationship Type="http://schemas.openxmlformats.org/officeDocument/2006/relationships/image" Id="rId96" Target="media/rId96.png" /><Relationship Type="http://schemas.openxmlformats.org/officeDocument/2006/relationships/image" Id="rId85" Target="media/rId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3157</Words>
  <Characters>17995</Characters>
  <Application>Microsoft Office Word</Application>
  <DocSecurity>0</DocSecurity>
  <Lines>149</Lines>
  <Paragraphs>42</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Electronic Submission</vt:lpstr>
      <vt:lpstr>General Guidelines</vt:lpstr>
      <vt:lpstr>    Publication by the Prognostics and Health Management Society</vt:lpstr>
      <vt:lpstr>    Copyright</vt:lpstr>
      <vt:lpstr>Paper Format</vt:lpstr>
      <vt:lpstr>    Title and Author Information</vt:lpstr>
      <vt:lpstr>    Section and Subsection Headings</vt:lpstr>
      <vt:lpstr>    Tables and Figures</vt:lpstr>
      <vt:lpstr>        Figures Styles</vt:lpstr>
      <vt:lpstr>    Equations, Numbers, Symbols, and Abbreviations</vt:lpstr>
      <vt:lpstr>    PDF Conversion</vt:lpstr>
      <vt:lpstr>    Citing Literature</vt:lpstr>
      <vt:lpstr>        References in Text</vt:lpstr>
      <vt:lpstr>        Formatting the “References” Section</vt:lpstr>
      <vt:lpstr>Conclusion</vt:lpstr>
    </vt:vector>
  </TitlesOfParts>
  <Company/>
  <LinksUpToDate>false</LinksUpToDate>
  <CharactersWithSpaces>21110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Sensitivity in Unsupervised Industrial Anomaly Detection: Threshold Transfer, Retraining Risk, and Inference Cost</dc:title>
  <dc:creator>AUTHORS</dc:creator>
  <cp:keywords/>
  <dcterms:created xsi:type="dcterms:W3CDTF">2026-10-29T20:10:54Z</dcterms:created>
  <dcterms:modified xsi:type="dcterms:W3CDTF">2026-10-29T20:10:54Z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Comparisons of unsupervised anomaly detectors for industrial sensor data often report a winning method, but the winner can depend on evaluation choices that are rarely varied. This paper shows how three such choices change the conclusions: which data define the normal training period (a widely shared re-upload of SWaT places the attack period’s normal rows in the file named for normal operation), how detection thresholds are calibrated, and whether retraining data are selected with labels. Nine lightweight detectors and a small LSTM autoencoder are evaluated under standard protocols with threshold-free metrics (AUROC, AUPRC), threshold-dependent metrics under two calibration rules, event recall and block-bootstrap confidence intervals on four benchmarks: SKAB (pump and valve testbed), SWaT and WADI (water treatment and distribution, official iTrust releases) and HAI (turbine, boiler and water-treatment hardware-in-the-loop testbed). On SWaT, all ten detectors rank attacks equally well (AUROC 0.81–0.86, overlapping intervals); on SKAB with pooled training none is reliably better than chance, while SKAB’s per-run protocol yields run-level AUROC up to 0.79 and an inverted ranking; on HAI, PCA reconstruction and LOF lead (0.93, 0.92) and Elliptic Envelope trails (0.66). Protocol choices moved MCC by up to 0.8 for the same detector. Thresholds set only from normal data failed wherever chemical analysers drifted between the normal and the attack recordings: on SWaT and WADI, distance- and reconstruction-based detectors raised alarms on 42–75% of normal readings, while detectors that score each sensor’s rarity separately stayed below 12%. Adding one drifting analyser (AIT201, missing from a public re-upload of SWaT) raised the z-score’s false-alarm rate from 1.4% to 42%; removing three drifting analysers from WADI cut false alarms from 56% to about 1%. In a streaming simulation, SWaT’s normal operation drifted enough to raise a static Isolation Forest’s false-alarm rate from 12% to 76%; retraining restored detection only when retraining data were known to be normal; a drift trigger saved some refits relative to a schedule but its checks cost more than refitting every hour; and label-free retraining failed. Single-reading cost in a one-CPU, 1 GB container ranged from microseconds to about 700 ms. The results argue for choosing detectors by threshold stability and retraining needs and for reporting protocols in enough detail to tell which of these a benchmark number measures.</vt:lpwstr>
  </property>
  <property fmtid="{D5CDD505-2E9C-101B-9397-08002B2CF9AE}" pid="3" name="date">
    <vt:lpwstr/>
  </property>
</Properties>
</file>