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D07F" w14:textId="0647A63B" w:rsidR="00741A7C" w:rsidRPr="00741A7C" w:rsidRDefault="00741A7C" w:rsidP="00741A7C">
      <w:r w:rsidRPr="00741A7C">
        <w:t>between:</w:t>
      </w:r>
    </w:p>
    <w:p w14:paraId="5C3A707A" w14:textId="77777777" w:rsidR="00741A7C" w:rsidRPr="00741A7C" w:rsidRDefault="00741A7C" w:rsidP="00741A7C">
      <w:r w:rsidRPr="00741A7C">
        <w:rPr>
          <w:b/>
          <w:bCs/>
        </w:rPr>
        <w:t>Sunrise Properties LLC</w:t>
      </w:r>
      <w:r w:rsidRPr="00741A7C">
        <w:t>, a California limited liability company (“Landlord”), and</w:t>
      </w:r>
      <w:r w:rsidRPr="00741A7C">
        <w:br/>
      </w:r>
      <w:proofErr w:type="spellStart"/>
      <w:r w:rsidRPr="00741A7C">
        <w:rPr>
          <w:b/>
          <w:bCs/>
        </w:rPr>
        <w:t>GreenLeaf</w:t>
      </w:r>
      <w:proofErr w:type="spellEnd"/>
      <w:r w:rsidRPr="00741A7C">
        <w:rPr>
          <w:b/>
          <w:bCs/>
        </w:rPr>
        <w:t xml:space="preserve"> Café, Inc.</w:t>
      </w:r>
      <w:r w:rsidRPr="00741A7C">
        <w:t>, a California corporation (“Tenant”).</w:t>
      </w:r>
    </w:p>
    <w:p w14:paraId="48F9D814" w14:textId="77777777" w:rsidR="00741A7C" w:rsidRPr="00741A7C" w:rsidRDefault="00741A7C" w:rsidP="00741A7C">
      <w:r w:rsidRPr="00741A7C">
        <w:rPr>
          <w:b/>
          <w:bCs/>
        </w:rPr>
        <w:t>1. Demised Premises</w:t>
      </w:r>
      <w:r w:rsidRPr="00741A7C">
        <w:br/>
        <w:t>1.1 Landlord leases to Tenant the premises located at 101 Main Street, Suite 200, Palo Alto, CA, approximately 2,500 square feet (the “Premises”).</w:t>
      </w:r>
    </w:p>
    <w:p w14:paraId="33E3565A" w14:textId="77777777" w:rsidR="00741A7C" w:rsidRPr="00741A7C" w:rsidRDefault="00741A7C" w:rsidP="00741A7C">
      <w:r w:rsidRPr="00741A7C">
        <w:rPr>
          <w:b/>
          <w:bCs/>
        </w:rPr>
        <w:t>2. Lease Term</w:t>
      </w:r>
      <w:r w:rsidRPr="00741A7C">
        <w:br/>
        <w:t>2.1 Term: December 1, 2025 through November 30, 2028, with one five-year renewal option.</w:t>
      </w:r>
    </w:p>
    <w:p w14:paraId="3374816E" w14:textId="77777777" w:rsidR="00741A7C" w:rsidRPr="00741A7C" w:rsidRDefault="00741A7C" w:rsidP="00741A7C">
      <w:r w:rsidRPr="00741A7C">
        <w:rPr>
          <w:b/>
          <w:bCs/>
        </w:rPr>
        <w:t>3. Rent and Additional Charges</w:t>
      </w:r>
      <w:r w:rsidRPr="00741A7C">
        <w:br/>
        <w:t>3.1 Base Rent: $10,000 per month, payable on the first day of each month.</w:t>
      </w:r>
      <w:r w:rsidRPr="00741A7C">
        <w:br/>
        <w:t>3.2 Operating Expenses: Tenant shall pay Tenant’s Pro Rata Share (30%) of all Common Area Maintenance, property taxes, and insurance.</w:t>
      </w:r>
    </w:p>
    <w:p w14:paraId="17961E6C" w14:textId="77777777" w:rsidR="00741A7C" w:rsidRPr="00741A7C" w:rsidRDefault="00741A7C" w:rsidP="00741A7C">
      <w:r w:rsidRPr="00741A7C">
        <w:rPr>
          <w:b/>
          <w:bCs/>
        </w:rPr>
        <w:t>4. Use of Premises</w:t>
      </w:r>
      <w:r w:rsidRPr="00741A7C">
        <w:br/>
        <w:t>4.1 Permitted Use: Operation of a café and related retail business.</w:t>
      </w:r>
      <w:r w:rsidRPr="00741A7C">
        <w:br/>
        <w:t>4.2 Tenant shall comply with all laws, maintain premises in good order, and make no structural alterations without Landlord’s prior written consent.</w:t>
      </w:r>
    </w:p>
    <w:p w14:paraId="7519D751" w14:textId="77777777" w:rsidR="00741A7C" w:rsidRPr="00741A7C" w:rsidRDefault="00741A7C" w:rsidP="00741A7C">
      <w:r w:rsidRPr="00741A7C">
        <w:rPr>
          <w:b/>
          <w:bCs/>
        </w:rPr>
        <w:t>5. Security Deposit</w:t>
      </w:r>
      <w:r w:rsidRPr="00741A7C">
        <w:br/>
        <w:t>5.1 Tenant shall deposit $20,000 upon execution, refundable at lease end, less any deductions for damage or unpaid charges.</w:t>
      </w:r>
    </w:p>
    <w:p w14:paraId="7B664691" w14:textId="77777777" w:rsidR="00741A7C" w:rsidRPr="00741A7C" w:rsidRDefault="00741A7C" w:rsidP="00741A7C">
      <w:r w:rsidRPr="00741A7C">
        <w:rPr>
          <w:b/>
          <w:bCs/>
        </w:rPr>
        <w:t>6. Insurance and Indemnity</w:t>
      </w:r>
      <w:r w:rsidRPr="00741A7C">
        <w:br/>
        <w:t>6.1 Tenant shall maintain commercial general liability insurance with minimum limits of $1,000,000 per occurrence.</w:t>
      </w:r>
      <w:r w:rsidRPr="00741A7C">
        <w:br/>
        <w:t>6.2 Tenant shall indemnify Landlord against all claims arising from Tenant’s use of the Premises.</w:t>
      </w:r>
    </w:p>
    <w:p w14:paraId="1DAE2A87" w14:textId="77777777" w:rsidR="00741A7C" w:rsidRPr="00741A7C" w:rsidRDefault="00741A7C" w:rsidP="00741A7C">
      <w:r w:rsidRPr="00741A7C">
        <w:rPr>
          <w:b/>
          <w:bCs/>
        </w:rPr>
        <w:t>7. Default and Remedies</w:t>
      </w:r>
      <w:r w:rsidRPr="00741A7C">
        <w:br/>
        <w:t>7.1 Events of Default: Non-payment of rent, breach of covenants, abandonment.</w:t>
      </w:r>
      <w:r w:rsidRPr="00741A7C">
        <w:br/>
        <w:t>7.2 Remedies: Landlord may terminate lease or pursue any remedy available at law or equity after ten (10) days’ written notice.</w:t>
      </w:r>
    </w:p>
    <w:p w14:paraId="3DA24EA4" w14:textId="77777777" w:rsidR="00741A7C" w:rsidRPr="00741A7C" w:rsidRDefault="00741A7C" w:rsidP="00741A7C">
      <w:r w:rsidRPr="00741A7C">
        <w:rPr>
          <w:b/>
          <w:bCs/>
        </w:rPr>
        <w:t>8. Governing Law</w:t>
      </w:r>
      <w:r w:rsidRPr="00741A7C">
        <w:br/>
        <w:t>8.1 California law governs this Lease.</w:t>
      </w:r>
    </w:p>
    <w:p w14:paraId="16AFBC01" w14:textId="77777777" w:rsidR="00741A7C" w:rsidRPr="00741A7C" w:rsidRDefault="00741A7C" w:rsidP="00741A7C">
      <w:r w:rsidRPr="00741A7C">
        <w:rPr>
          <w:b/>
          <w:bCs/>
        </w:rPr>
        <w:t>IN WITNESS WHEREOF</w:t>
      </w:r>
      <w:r w:rsidRPr="00741A7C">
        <w:t>, the parties execute this Lease as of the date first above written.</w:t>
      </w:r>
    </w:p>
    <w:p w14:paraId="35014DA2" w14:textId="77777777" w:rsidR="00EE103F" w:rsidRDefault="00EE103F"/>
    <w:sectPr w:rsidR="00EE1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C0"/>
    <w:rsid w:val="000C01C0"/>
    <w:rsid w:val="00397F9E"/>
    <w:rsid w:val="00741A7C"/>
    <w:rsid w:val="00774132"/>
    <w:rsid w:val="009B005A"/>
    <w:rsid w:val="00B64D1A"/>
    <w:rsid w:val="00EB1299"/>
    <w:rsid w:val="00ED4336"/>
    <w:rsid w:val="00EE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11BF"/>
  <w15:chartTrackingRefBased/>
  <w15:docId w15:val="{918E0677-79F0-4D45-8ABC-DA48E4AD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Sarjeet Shekhawat</dc:creator>
  <cp:keywords/>
  <dc:description/>
  <cp:lastModifiedBy>Sarjeet Shekhawat</cp:lastModifiedBy>
  <cp:revision>3</cp:revision>
  <dcterms:created xsi:type="dcterms:W3CDTF">2025-10-06T16:09:00Z</dcterms:created>
  <dcterms:modified xsi:type="dcterms:W3CDTF">2025-10-06T16:19:00Z</dcterms:modified>
</cp:coreProperties>
</file>