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sz w:val="20"/>
        </w:rPr>
        <w:t>Bu tədqiqat işində Azərbaycan dilinin xüsusi qrafemlərini (ə, ı, ö, ğ, ü, ş, ç) ehtiva edən çap sənədlərinin rəqəmsallaşdırılması üçün Konvolusion və İkiistiqamətli Təkrarlanan Neyron Şəbəkələrinə (CRNN) və Bağlantıçı Zaman Təsnifatına (CTC) əsaslanan dərin öyrənmə sistemi layihələndirilmiş, təlim edilmiş və empirik audit olunmuşdur. Kamera təhrifləri ilə zənginləşdirilmiş V2 modeli simulyasiya şəraitində ilkin V1 modelini kəskin üstələyir (V2 &gt;&gt; V1). Bununla belə, klaster-bootstrap təhlili (95% CI) göstərir ki, V2 modeli yalnız təlim şrift ailələri üzrə Tesseract 5 ilə bərabər səviyyədədir; tamamilə yeni şrift ailələrində isə Tesseract-dan statistik dürüstlüklə geri qalır (Qrup C L4 söz CER: V2 minus Tesseract = +1.55% [+0.59%, +2.94%]). Real mobil telefon çəkilişlərində Tesseract 5 sətir səviyyəsində aydın şəkildə öndədir: Foto 1-də Tesseract CER 21.92% vs V2 28.87%; Foto 2-də Tesseract CER 0.24% (19/21 sətir tam qüsursuz) vs V2 5.02%. Real sınaq eyni bir fiziki sənədin iki fərqli fotosundan ibarət olduğundan nəticələr ilkin (preliminary) xarakter daşıyır. Sintetik qarışıq testlərdə CER-in 0.50%-dən 0.11%-ə və 1.64%-dən 0.30%-ə enməsi test dəstinin yarısının Consolas ailə sızması hesabına baş vermişdir; digər yarısı olan Tahoma şriftində isə V2 heç bir irəliləyiş göstərməmişdir (0.08% vs 0.09% söz; 0.24% vs 0.26% sətir).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Times New Roman" w:hAnsi="Times New Roman"/>
          <w:sz w:val="24"/>
        </w:rPr>
        <w:t>Azərbaycan Dili üçün İxtisaslaşmış CRNN Modeli: 87 simvollu lüğət (32 kiçik, 32 böyük hərf, rəqəmlər, durğu işarələri və blank) üçün sıfırdan layihələndirilmiş, həm söz (32x128), həm sətir (32x512) səviyyəli yüngülçəkili end-to-end model.</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Times New Roman" w:hAnsi="Times New Roman"/>
          <w:sz w:val="24"/>
        </w:rPr>
        <w:t>Modelin təlimində Azərbaycan dilli Vikipediya məqalələrindən və rəsmi xəbər portallarından toplanmış zəngin korpusdan istifadə edilmişdir. Tədqiqatın etibarlılığı üçün mətnlər təsvir şəklinə çevrilməzdən əvvəl cümlə və söz səviyyəsində qəti şəkildə 80% Train, 10% Validation və 10% Test hissələrinə bölünmüşdür (Dataset = D_train ∪ D_val ∪ D_test). Bununla test dəstindəki hər hansı söz və ya cümlənin model tərəfindən əzbərlənməsinin (text leakage) qarşısı tam alınmışdır.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Times New Roman" w:hAnsi="Times New Roman"/>
          <w:b/>
          <w:color w:val="1F4E79"/>
          <w:sz w:val="26"/>
        </w:rPr>
        <w:t>2.3. Bounding-Box Həndəsəsi və Audit 3 Düzəlişi</w:t>
      </w:r>
    </w:p>
    <w:p>
      <w:pPr>
        <w:spacing w:after="80" w:line="276" w:lineRule="auto"/>
      </w:pPr>
      <w:r>
        <w:rPr>
          <w:rFonts w:ascii="Times New Roman" w:hAnsi="Times New Roman"/>
          <w:sz w:val="24"/>
        </w:rPr>
        <w:t>Audit 3 zamanı aşkar edilmişdir ki, make_sim_ladder.py skriptində söz kəsimləri şaquli font metrikası (ascent + descent = 80px) ilə hesablandıqda qonşu sözlərin hərfləri kəsimin içinə düşür və ya söz kəsilirdi. Bu həndəsi xəta düzəldilərək birbaşa simvolların pikselləri üzrə sıx mürəkkəb qutusu (tight ink bounding box) tətbiq olunmuş və SansSerifCollection üzrə xəta dərəcəsi 84.32%-dən 0.76%-ə enmişdir.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V1 Modeli (train.py:21-40)</w:t>
            </w:r>
          </w:p>
        </w:tc>
        <w:tc>
          <w:tcPr>
            <w:tcW w:type="dxa" w:w="3312"/>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V2 Modeli (train_v2.py:26-47)</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fırlanma (p=0.5) [train.py:25]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fırlanma (p=0.5) [train_v2.py:27-28]</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 [train.py:35-39]</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 [train_v2.py:29]</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 [train.py:28-29]</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 [train_v2.py:30-31]</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0.5% piksel (p=0.3) [train.py:30-34]</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p=0.2 [train_v2.py:36]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 [YENİ]</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 [train_v2.py:32-33]</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 [YENİ]</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 [train_v2.py:34-35]</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 [YENİ]</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 [train_v2.py:37-38]</w:t>
            </w:r>
          </w:p>
        </w:tc>
      </w:tr>
      <w:tr>
        <w:tc>
          <w:tcPr>
            <w:tcW w:type="dxa" w:w="3120"/>
          </w:tcPr>
          <w:p>
            <w:pPr>
              <w:spacing w:before="40" w:after="40" w:line="252" w:lineRule="auto"/>
            </w:pPr>
            <w:r>
              <w:rPr>
                <w:rFonts w:ascii="Calibri" w:hAnsi="Calibri"/>
                <w:b w:val="0"/>
                <w:i w:val="0"/>
                <w:sz w:val="17"/>
              </w:rPr>
              <w:t>JPEG Sıxılma Artefaktı [YENİ]</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 [train_v2.py:39-40]</w:t>
            </w:r>
          </w:p>
        </w:tc>
      </w:tr>
      <w:tr>
        <w:tc>
          <w:tcPr>
            <w:tcW w:type="dxa" w:w="3120"/>
          </w:tcPr>
          <w:p>
            <w:pPr>
              <w:spacing w:before="40" w:after="40" w:line="252" w:lineRule="auto"/>
            </w:pPr>
            <w:r>
              <w:rPr>
                <w:rFonts w:ascii="Calibri" w:hAnsi="Calibri"/>
                <w:b w:val="0"/>
                <w:i w:val="0"/>
                <w:sz w:val="17"/>
              </w:rPr>
              <w:t>Parlaqlıq və Kontrast [YENİ]</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 [train_v2.py:41-43]</w:t>
            </w:r>
          </w:p>
        </w:tc>
      </w:tr>
      <w:tr>
        <w:tc>
          <w:tcPr>
            <w:tcW w:type="dxa" w:w="3120"/>
          </w:tcPr>
          <w:p>
            <w:pPr>
              <w:spacing w:before="40" w:after="40" w:line="252" w:lineRule="auto"/>
            </w:pPr>
            <w:r>
              <w:rPr>
                <w:rFonts w:ascii="Calibri" w:hAnsi="Calibri"/>
                <w:b w:val="0"/>
                <w:i w:val="0"/>
                <w:sz w:val="17"/>
              </w:rPr>
              <w:t>İşıq Qradiyenti və Kölgə Zolaqları [YENİ]</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0.7 – 1.0 (p=0.5) [train_v2.py:44-45]</w:t>
            </w:r>
          </w:p>
        </w:tc>
      </w:tr>
      <w:tr>
        <w:tc>
          <w:tcPr>
            <w:tcW w:type="dxa" w:w="3120"/>
          </w:tcPr>
          <w:p>
            <w:pPr>
              <w:spacing w:before="40" w:after="40" w:line="252" w:lineRule="auto"/>
            </w:pPr>
            <w:r>
              <w:rPr>
                <w:rFonts w:ascii="Calibri" w:hAnsi="Calibri"/>
                <w:b w:val="0"/>
                <w:i w:val="0"/>
                <w:sz w:val="17"/>
              </w:rPr>
              <w:t>Kontrast Dartılması [YENİ]</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p=0.5 [train_v2.py:46]</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 [history.csv:14]</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 [history.csv:11]</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isə Tesseract V2-dən irəlidədir (0.22% vs 0.26%).</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tcPr>
          <w:p>
            <w:pPr>
              <w:spacing w:before="40" w:after="40" w:line="252" w:lineRule="auto"/>
            </w:pPr>
            <w:r>
              <w:rPr>
                <w:rFonts w:ascii="Calibri" w:hAnsi="Calibri"/>
                <w:b/>
                <w:i w:val="0"/>
                <w:sz w:val="16"/>
              </w:rPr>
              <w:t>Pillə</w:t>
            </w:r>
          </w:p>
        </w:tc>
        <w:tc>
          <w:tcPr>
            <w:tcW w:type="dxa" w:w="1170"/>
            <w:shd w:fill="EAECEF"/>
          </w:tcPr>
          <w:p>
            <w:pPr>
              <w:spacing w:before="40" w:after="40" w:line="252" w:lineRule="auto"/>
            </w:pPr>
            <w:r>
              <w:rPr>
                <w:rFonts w:ascii="Calibri" w:hAnsi="Calibri"/>
                <w:b/>
                <w:i w:val="0"/>
                <w:sz w:val="16"/>
              </w:rPr>
              <w:t>Təhrif Növü</w:t>
            </w:r>
          </w:p>
        </w:tc>
        <w:tc>
          <w:tcPr>
            <w:tcW w:type="dxa" w:w="1170"/>
            <w:shd w:fill="EAECEF"/>
          </w:tcPr>
          <w:p>
            <w:pPr>
              <w:spacing w:before="40" w:after="40" w:line="252" w:lineRule="auto"/>
            </w:pPr>
            <w:r>
              <w:rPr>
                <w:rFonts w:ascii="Calibri" w:hAnsi="Calibri"/>
                <w:b/>
                <w:i w:val="0"/>
                <w:sz w:val="16"/>
              </w:rPr>
              <w:t>V1 Word CER</w:t>
            </w:r>
          </w:p>
        </w:tc>
        <w:tc>
          <w:tcPr>
            <w:tcW w:type="dxa" w:w="1170"/>
            <w:shd w:fill="EAECEF"/>
          </w:tcPr>
          <w:p>
            <w:pPr>
              <w:spacing w:before="40" w:after="40" w:line="252" w:lineRule="auto"/>
            </w:pPr>
            <w:r>
              <w:rPr>
                <w:rFonts w:ascii="Calibri" w:hAnsi="Calibri"/>
                <w:b/>
                <w:i w:val="0"/>
                <w:sz w:val="16"/>
              </w:rPr>
              <w:t>V2 Word CER</w:t>
            </w:r>
          </w:p>
        </w:tc>
        <w:tc>
          <w:tcPr>
            <w:tcW w:type="dxa" w:w="1170"/>
            <w:shd w:fill="EAECEF"/>
          </w:tcPr>
          <w:p>
            <w:pPr>
              <w:spacing w:before="40" w:after="40" w:line="252" w:lineRule="auto"/>
            </w:pPr>
            <w:r>
              <w:rPr>
                <w:rFonts w:ascii="Calibri" w:hAnsi="Calibri"/>
                <w:b/>
                <w:i w:val="0"/>
                <w:sz w:val="16"/>
              </w:rPr>
              <w:t>Tess Word CER</w:t>
            </w:r>
          </w:p>
        </w:tc>
        <w:tc>
          <w:tcPr>
            <w:tcW w:type="dxa" w:w="1170"/>
            <w:shd w:fill="EAECEF"/>
          </w:tcPr>
          <w:p>
            <w:pPr>
              <w:spacing w:before="40" w:after="40" w:line="252" w:lineRule="auto"/>
            </w:pPr>
            <w:r>
              <w:rPr>
                <w:rFonts w:ascii="Calibri" w:hAnsi="Calibri"/>
                <w:b/>
                <w:i w:val="0"/>
                <w:sz w:val="16"/>
              </w:rPr>
              <w:t>V1 Line CER</w:t>
            </w:r>
          </w:p>
        </w:tc>
        <w:tc>
          <w:tcPr>
            <w:tcW w:type="dxa" w:w="1170"/>
            <w:shd w:fill="EAECEF"/>
          </w:tcPr>
          <w:p>
            <w:pPr>
              <w:spacing w:before="40" w:after="40" w:line="252" w:lineRule="auto"/>
            </w:pPr>
            <w:r>
              <w:rPr>
                <w:rFonts w:ascii="Calibri" w:hAnsi="Calibri"/>
                <w:b/>
                <w:i w:val="0"/>
                <w:sz w:val="16"/>
              </w:rPr>
              <w:t>V2 Line CER</w:t>
            </w:r>
          </w:p>
        </w:tc>
        <w:tc>
          <w:tcPr>
            <w:tcW w:type="dxa" w:w="1170"/>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 [results/v2_audit/summary.md:66]</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 [summary.md:68]</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 [summary.md:69]</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 [summary.md:70]</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 [summary.md:71]</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 [summary.md:72]</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Times New Roman" w:hAnsi="Times New Roman"/>
          <w:sz w:val="24"/>
        </w:rPr>
        <w:t>Nəticə göstərir ki, V1 modeli real kamera şəraitində (L4) 35.77% CER ilə yararsız vəziyyətə düşdüyü halda, V2 modeli 1.35% CER ilə son dərəcə etibarlı qalır.</w:t>
      </w:r>
    </w:p>
    <w:p>
      <w:pPr>
        <w:keepNext/>
        <w:spacing w:before="320" w:after="120"/>
      </w:pPr>
      <w:r>
        <w:rPr>
          <w:rFonts w:ascii="Times New Roman" w:hAnsi="Times New Roman"/>
          <w:b/>
          <w:color w:val="002060"/>
          <w:sz w:val="30"/>
        </w:rPr>
        <w:t>5. Real Dünya Sənəd Fotoları üzrə Sınaqlar (Empirical Validation)</w:t>
      </w:r>
    </w:p>
    <w:p>
      <w:pPr>
        <w:spacing w:after="80" w:line="276" w:lineRule="auto"/>
      </w:pPr>
      <w:r>
        <w:rPr>
          <w:rFonts w:ascii="Times New Roman" w:hAnsi="Times New Roman"/>
          <w:sz w:val="24"/>
        </w:rPr>
        <w:t>Laboratoriya sınaqlarından əlavə, Naxçıvan Dövlət Universitetinin rəsmi təqdimat sənədi üzərində iki fərqli şəraitdə çəkilmiş real mobil fotoşəkillər test edilmişdir.</w:t>
      </w:r>
    </w:p>
    <w:p>
      <w:pPr>
        <w:keepNext/>
        <w:spacing w:before="240" w:after="80"/>
      </w:pPr>
      <w:r>
        <w:rPr>
          <w:rFonts w:ascii="Times New Roman" w:hAnsi="Times New Roman"/>
          <w:b/>
          <w:color w:val="1F4E79"/>
          <w:sz w:val="26"/>
        </w:rPr>
        <w:t>5.1. Real Sənəd Sınağı 1: Bucaqlı və Kölgəli Çəkiliş (media_1793193977057.jpg)</w:t>
      </w:r>
    </w:p>
    <w:p>
      <w:pPr>
        <w:spacing w:after="80" w:line="276" w:lineRule="auto"/>
      </w:pPr>
      <w:r>
        <w:rPr>
          <w:rFonts w:ascii="Calibri" w:hAnsi="Calibri"/>
          <w:b w:val="0"/>
          <w:i w:val="0"/>
          <w:sz w:val="20"/>
        </w:rPr>
        <w:t>Birinci sınaqda kamera bucaq altında yerləşmiş və təbii kölgələr mövcud olmuşdur. Sətir səviyyəsində (15 sətir, 762 simvol) V1 CER 73.49%-dən V2-də 28.87%-ə enmişdir (Tesseract: 21.92%). Kəsilmiş 30 söz kəsimində isə koordinatların qeyri-dəqiq olması və qonşu simvolların kəsimə düşməsi səbəbindən söz səviyyəli nəticələr etibarsız sayılır.</w:t>
      </w:r>
    </w:p>
    <w:p>
      <w:pPr>
        <w:keepNext/>
        <w:spacing w:before="240" w:after="80"/>
      </w:pPr>
      <w:r>
        <w:rPr>
          <w:rFonts w:ascii="Times New Roman" w:hAnsi="Times New Roman"/>
          <w:b/>
          <w:color w:val="1F4E79"/>
          <w:sz w:val="26"/>
        </w:rPr>
        <w:t>5.2. Real Sənəd Sınağı 2: Düz Bucaq və Təmiz İşıq (media_1793194879421.jpg)</w:t>
      </w:r>
    </w:p>
    <w:p>
      <w:pPr>
        <w:spacing w:after="80" w:line="276" w:lineRule="auto"/>
      </w:pPr>
      <w:r>
        <w:rPr>
          <w:rFonts w:ascii="Calibri" w:hAnsi="Calibri"/>
          <w:b w:val="0"/>
          <w:i w:val="0"/>
          <w:sz w:val="20"/>
        </w:rPr>
        <w:t>İkinci foto (media_1793194879421.jpg) perpendikulyar və təmiz işıq altında çəkilmişdir. Düzəldilmiş TƏQDİMAT kəsimi ilə (x=300..485) Tesseract 5 sətir səviyyəsində demək olar ki, qüsursuz nəticə nümayiş etdirmişdir: Sətir CER 0.24% (cəmi 2 / 837 hərf xətası: 'Vöb-saytın' və 'lurnal'), Sətir WER 2.25% (21 sətirdən 19-u 100% tam dəqiq). V2 modeli sətir səviyyəsində 5.02% CER və 22.47% standart WER əldə etmişdir (7 sətir tam raw bərabər, 9 sətir kənar boşluqsuz bərabər). Söz səviyyəsində V2 CER 46.71% vs Tesseract 50.99% təşkil edir. Kənar mürəkkəb analizi göstərmişdir ki, 30 söz kəsiminin 18-də (60.0%) qonşu sözlərin mürəkkəb müdaxiləsi (neighbour intrusion &gt;15px) mövcuddur; bu səbəbdən söz səviyyəsində V2-nin Tesseract-dan irəlidə olması ilkin (preliminary) xarakter daşıyır.</w:t>
      </w:r>
    </w:p>
    <w:p>
      <w:pPr>
        <w:keepNext/>
        <w:spacing w:before="200" w:after="60"/>
      </w:pPr>
      <w:r>
        <w:rPr>
          <w:rFonts w:ascii="Times New Roman" w:hAnsi="Times New Roman"/>
          <w:b/>
          <w:i/>
          <w:color w:val="3C3C3C"/>
          <w:sz w:val="21"/>
        </w:rPr>
        <w:t>Cədvəl 5. Real Sənəd Sınağı 2-nin müqayisəli xülasəsi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Kateqoriya</w:t>
            </w:r>
          </w:p>
        </w:tc>
        <w:tc>
          <w:tcPr>
            <w:tcW w:type="dxa" w:w="1728"/>
            <w:shd w:fill="F0F2F5"/>
            <w:tcMar>
              <w:top w:w="120" w:type="dxa"/>
              <w:bottom w:w="120" w:type="dxa"/>
              <w:left w:w="150" w:type="dxa"/>
              <w:right w:w="150" w:type="dxa"/>
            </w:tcMar>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WER (%) [Standart]</w:t>
            </w:r>
          </w:p>
        </w:tc>
        <w:tc>
          <w:tcPr>
            <w:tcW w:type="dxa" w:w="2880"/>
            <w:shd w:fill="F0F2F5"/>
            <w:tcMar>
              <w:top w:w="120" w:type="dxa"/>
              <w:bottom w:w="120" w:type="dxa"/>
              <w:left w:w="150" w:type="dxa"/>
              <w:right w:w="150" w:type="dxa"/>
            </w:tcMar>
            <w:shd w:fill="EAECEF"/>
          </w:tcPr>
          <w:p>
            <w:pPr>
              <w:spacing w:before="40" w:after="40" w:line="252" w:lineRule="auto"/>
            </w:pPr>
            <w:r>
              <w:rPr>
                <w:rFonts w:ascii="Calibri" w:hAnsi="Calibri"/>
                <w:b/>
                <w:i w:val="0"/>
                <w:sz w:val="17"/>
              </w:rPr>
              <w:t>100% Dəqiq Tanınan Sayı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Sətirlər (21 sətir, 837 simvol)</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Line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48.51%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98.88% (88/89)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0 / 21 (0.0%)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5.02%</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22.47% (20/89)</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7 / 21 tam raw (9/21 strip)</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2.25% (2/89)</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19 / 21 tam qüsursuz (90.5%)</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Sözlər (30 söz, 304 simvol)** [ETİBARSIZ]</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90.13%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100.00% (30/30)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0 / 30 (0.0%) [Neighbour intrusion: 18/30]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46.71%</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90.00% (27/30)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3 / 30 (10.0%) [Neighbour intrusion: 18/30]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50.99%</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146.67% (44/30)†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4 / 30 (13.3%) [Neighbour intrusion: 18/30]</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V1 Line Modeli</w:t>
            </w:r>
          </w:p>
        </w:tc>
        <w:tc>
          <w:tcPr>
            <w:tcW w:type="dxa" w:w="2592"/>
            <w:shd w:fill="F0F2F5"/>
            <w:tcMar>
              <w:top w:w="120" w:type="dxa"/>
              <w:bottom w:w="120" w:type="dxa"/>
              <w:left w:w="150" w:type="dxa"/>
              <w:right w:w="150" w:type="dxa"/>
            </w:tcMar>
            <w:shd w:fill="EAECEF"/>
          </w:tcPr>
          <w:p>
            <w:pPr>
              <w:spacing w:before="40" w:after="40" w:line="252" w:lineRule="auto"/>
            </w:pPr>
            <w:r>
              <w:rPr>
                <w:rFonts w:ascii="Calibri" w:hAnsi="Calibri"/>
                <w:b/>
                <w:i w:val="0"/>
                <w:sz w:val="17"/>
              </w:rPr>
              <w:t>V2 Line Modeli</w:t>
            </w:r>
          </w:p>
        </w:tc>
        <w:tc>
          <w:tcPr>
            <w:tcW w:type="dxa" w:w="2304"/>
            <w:shd w:fill="F0F2F5"/>
            <w:tcMar>
              <w:top w:w="120" w:type="dxa"/>
              <w:bottom w:w="120" w:type="dxa"/>
              <w:left w:w="150" w:type="dxa"/>
              <w:right w:w="150" w:type="dxa"/>
            </w:tcMar>
            <w:shd w:fill="EAECEF"/>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TƏQDİMAT (Başlıq, x=300..485)</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jirəggitifTijj</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 xml:space="preserve"> TəqDiMAT ı</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TƏQDİMAT (100% Dəqiq)</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ihagiianmasiji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 (Nöqtə təkrarlanması)</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hazırlanması.</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RiBlaktonijürmaiidaraatmaisistamin...</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Elektron jurnal idarəetmə sisteminin təkmilləşdirilməsi (100%)</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Elektron lurnal idarəetmə sisteminin...</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 ayrıca təqdim edilməsi.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iHaşrijaixidməthağlaribarəğamalüin...</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Nəşr və xldmət haqları barədə məlumatların... ('i'-&gt;'l')</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Nəşr və xidmət haqları barədə məlumatların...</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Veb-saytın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y6bsaytinidizaynininipaistifadəği...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y6b-saytın dizaynının və İstifadəçi interfeysinin yenilənməsi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Vöb-saytın dizaynının və istifadəçi interfeysinin yenilənməsi</w:t>
            </w:r>
          </w:p>
        </w:tc>
      </w:tr>
    </w:tbl>
    <w:p>
      <w:pPr>
        <w:spacing w:after="120"/>
      </w:pPr>
    </w:p>
    <w:p>
      <w:pPr>
        <w:spacing w:after="80" w:line="276" w:lineRule="auto"/>
      </w:pPr>
      <w:r>
        <w:rPr>
          <w:rFonts w:ascii="Calibri" w:hAnsi="Calibri"/>
          <w:b w:val="0"/>
          <w:i w:val="0"/>
          <w:sz w:val="20"/>
        </w:rPr>
        <w:t>Müşahidə: V2 modeli sənədin rəsmi künc ştampını ('Naxçıvan Dövlət Universiteti') dəqiq tanımışdır (kənardakı tək boşluq xaric). Tesseract isə 'jurnal' sözünü 'lurnal', 'Veb-saytın' sözünü 'Vöb-saytın' kimi tanımış, lakin bütövlükdə sənəd sətirlərində 0.24% CER ilə V2-dən (5.02%) qat-qat yüksək ümumi sabitlik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3 qrupa ayrılaraq tam klaster-bootstrap metodologiyası (95% CI) ilə qiymətləndirilmişdir:</w:t>
        <w:br/>
        <w:t>• Qrup A (Seen, 4 şrift: arial, calibri, segoeui, times): Təlimdə tam iştirak edən baza ailələr.</w:t>
        <w:br/>
        <w:t>• Qrup B (Near-Relative, 5 şrift: pala, CascadiaMono, verdanab, seguisb, calibrib): Təlim şriftləri ilə ailə qohumluğu olan (leakage) şriftlər.</w:t>
        <w:br/>
        <w:t>• Qrup C (New Families, 7 şrift: cambria, micross, tahomabd, Moba_Fanta, Moba_Font, Moba_Fira, SansSerifCollection): Təlimdə heç bir forması iştirak etməyən tamamilə yeni şrift ailələri.</w:t>
        <w:br/>
        <w:br/>
        <w:t>Aşağıdakı Cədvəl 7-də bütün qruplar üzrə L0 və L4 səviyyələrində V1, V2 və Tesseract 5 göstəriciləri, o cümlədən model fərqinin (V2 - Tess) klaster-bootstrap 95% etibarlılıq intervalları təqdim olunur: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tcPr>
          <w:p>
            <w:pPr>
              <w:spacing w:before="40" w:after="40" w:line="252" w:lineRule="auto"/>
            </w:pPr>
            <w:r>
              <w:rPr>
                <w:rFonts w:ascii="Calibri" w:hAnsi="Calibri"/>
                <w:b/>
                <w:i w:val="0"/>
                <w:sz w:val="15"/>
              </w:rPr>
              <w:t>Qrup</w:t>
            </w:r>
          </w:p>
        </w:tc>
        <w:tc>
          <w:tcPr>
            <w:tcW w:type="dxa" w:w="1040"/>
            <w:shd w:fill="EAECEF"/>
          </w:tcPr>
          <w:p>
            <w:pPr>
              <w:spacing w:before="40" w:after="40" w:line="252" w:lineRule="auto"/>
            </w:pPr>
            <w:r>
              <w:rPr>
                <w:rFonts w:ascii="Calibri" w:hAnsi="Calibri"/>
                <w:b/>
                <w:i w:val="0"/>
                <w:sz w:val="15"/>
              </w:rPr>
              <w:t>Rejim və Səviyyə</w:t>
            </w:r>
          </w:p>
        </w:tc>
        <w:tc>
          <w:tcPr>
            <w:tcW w:type="dxa" w:w="1040"/>
            <w:shd w:fill="EAECEF"/>
          </w:tcPr>
          <w:p>
            <w:pPr>
              <w:spacing w:before="40" w:after="40" w:line="252" w:lineRule="auto"/>
            </w:pPr>
            <w:r>
              <w:rPr>
                <w:rFonts w:ascii="Calibri" w:hAnsi="Calibri"/>
                <w:b/>
                <w:i w:val="0"/>
                <w:sz w:val="15"/>
              </w:rPr>
              <w:t>Nümunə (n)</w:t>
            </w:r>
          </w:p>
        </w:tc>
        <w:tc>
          <w:tcPr>
            <w:tcW w:type="dxa" w:w="1040"/>
            <w:shd w:fill="EAECEF"/>
          </w:tcPr>
          <w:p>
            <w:pPr>
              <w:spacing w:before="40" w:after="40" w:line="252" w:lineRule="auto"/>
            </w:pPr>
            <w:r>
              <w:rPr>
                <w:rFonts w:ascii="Calibri" w:hAnsi="Calibri"/>
                <w:b/>
                <w:i w:val="0"/>
                <w:sz w:val="15"/>
              </w:rPr>
              <w:t>Simvol</w:t>
            </w:r>
          </w:p>
        </w:tc>
        <w:tc>
          <w:tcPr>
            <w:tcW w:type="dxa" w:w="1040"/>
            <w:shd w:fill="EAECEF"/>
          </w:tcPr>
          <w:p>
            <w:pPr>
              <w:spacing w:before="40" w:after="40" w:line="252" w:lineRule="auto"/>
            </w:pPr>
            <w:r>
              <w:rPr>
                <w:rFonts w:ascii="Calibri" w:hAnsi="Calibri"/>
                <w:b/>
                <w:i w:val="0"/>
                <w:sz w:val="15"/>
              </w:rPr>
              <w:t>V1 CER (%)</w:t>
            </w:r>
          </w:p>
        </w:tc>
        <w:tc>
          <w:tcPr>
            <w:tcW w:type="dxa" w:w="1040"/>
            <w:shd w:fill="EAECEF"/>
          </w:tcPr>
          <w:p>
            <w:pPr>
              <w:spacing w:before="40" w:after="40" w:line="252" w:lineRule="auto"/>
            </w:pPr>
            <w:r>
              <w:rPr>
                <w:rFonts w:ascii="Calibri" w:hAnsi="Calibri"/>
                <w:b/>
                <w:i w:val="0"/>
                <w:sz w:val="15"/>
              </w:rPr>
              <w:t>V2 CER [Cluster 95% CI]</w:t>
            </w:r>
          </w:p>
        </w:tc>
        <w:tc>
          <w:tcPr>
            <w:tcW w:type="dxa" w:w="1040"/>
            <w:shd w:fill="EAECEF"/>
          </w:tcPr>
          <w:p>
            <w:pPr>
              <w:spacing w:before="40" w:after="40" w:line="252" w:lineRule="auto"/>
            </w:pPr>
            <w:r>
              <w:rPr>
                <w:rFonts w:ascii="Calibri" w:hAnsi="Calibri"/>
                <w:b/>
                <w:i w:val="0"/>
                <w:sz w:val="15"/>
              </w:rPr>
              <w:t>Tess CER [Cluster 95% CI]</w:t>
            </w:r>
          </w:p>
        </w:tc>
        <w:tc>
          <w:tcPr>
            <w:tcW w:type="dxa" w:w="1040"/>
            <w:shd w:fill="EAECEF"/>
          </w:tcPr>
          <w:p>
            <w:pPr>
              <w:spacing w:before="40" w:after="40" w:line="252" w:lineRule="auto"/>
            </w:pPr>
            <w:r>
              <w:rPr>
                <w:rFonts w:ascii="Calibri" w:hAnsi="Calibri"/>
                <w:b/>
                <w:i w:val="0"/>
                <w:sz w:val="15"/>
              </w:rPr>
              <w:t>Δ (V2 - Tess) [Cluster 95% CI]</w:t>
            </w:r>
          </w:p>
        </w:tc>
        <w:tc>
          <w:tcPr>
            <w:tcW w:type="dxa" w:w="1040"/>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 [results/v2_audit4/summary.md:120]</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 [summary.md:121]</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 [summary.md:122]</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 [summary.md:123]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 [summary.md:124]</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 [summary.md:125]</w:t>
            </w:r>
          </w:p>
        </w:tc>
        <w:tc>
          <w:tcPr>
            <w:tcW w:type="dxa" w:w="1040"/>
          </w:tcPr>
          <w:p>
            <w:pPr>
              <w:spacing w:before="40" w:after="40" w:line="252" w:lineRule="auto"/>
            </w:pPr>
            <w:r>
              <w:rPr>
                <w:rFonts w:ascii="Calibri" w:hAnsi="Calibri"/>
                <w:b w:val="0"/>
                <w:i w:val="0"/>
                <w:sz w:val="15"/>
              </w:rPr>
              <w:t xml:space="preserve">0.30% [0.00%, 0.92%] </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 [summary.md:126]</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 [summary.md:127]</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 [summary.md:128]</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 [summary.md:129]</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 [summary.md:130]</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 [summary.md:131]</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sz w:val="18"/>
          <w:i/>
        </w:rPr>
        <w:t xml:space="preserve">Cədvəl 7 üzrə Mühüm Elmi Qeydlər: 1. Qrup A Word L0 üzrə V2 CER (0.81%, 20/2472 hərf) ilə Qrup C Word L4 üzrə Tesseract CER (0.81%, 34/4194 hərf) göstəricilərinin eyni olması sırf rəqəmsal təsadüfdür; hər iki göstərici yoxlanmış birbaşa saylardan qaynaqlanır. 2. Qrup C üzrə 4 müqayisədən yalnız 1-də (Word L4) fərq intervalı sıfırı əhatə etmir (+1.55% [+0.59%, +2.94%]); bu pillədə Tesseract V2 modelini birmənalı üstələyir. Digər 3 halda modellər statistik bərabərdir. 3.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Dotless-i (ı/i/İ) üzrə V2 modelində qeydə alınan cəmi 106 xətanın analizi (results/v2_audit4/summary.md:141-174):</w:t>
        <w:br/>
        <w:t>• Birbaşa 'ı' &lt;-&gt; 'i' əvəzləməsi cəmi 5 halda baş vermişdir (4 ədəd 'i-&gt;ı', 1 ədəd 'ı-&gt;i').</w:t>
        <w:br/>
        <w:t>• Əsas xətalar 'i' -&gt; 'ü' (58 hal) və 'ı' -&gt; 'u' (20 hal) qarışıqlığından ibarətdir.</w:t>
        <w:br/>
        <w:t>• Bu xətaların 91.5%-i (97 / 106) cəmi 3 şriftdə cəmlənmişdir: Moba_Fanta (53 hal / 50.0%), Moba_Font (30 hal / 28.3%) və SansSerifCollection (14 hal / 13.2%). Əvvəlki layihə qaralamasında qeyd olunan 'ı-&gt;i 14.2% -&gt; 0.8%' və 'ə-&gt;e 8.7% -&gt; 0.4%' iddiaları təsdiqlənməmişdir (mənbəsizdir).</w:t>
      </w:r>
    </w:p>
    <w:p>
      <w:pPr>
        <w:pStyle w:val="ListBullet"/>
        <w:spacing w:after="60" w:line="276" w:lineRule="auto"/>
      </w:pPr>
      <w:r>
        <w:rPr>
          <w:rFonts w:ascii="Calibri" w:hAnsi="Calibri"/>
          <w:b w:val="0"/>
          <w:i w:val="0"/>
          <w:sz w:val="20"/>
        </w:rPr>
        <w:t>Nadir Diakritik Xətalar (results/v2_audit4/summary.md:175-195):</w:t>
        <w:br/>
        <w:t>• ö -&gt; o (2 hal): ref 'Köpək' -&gt; hyp 'Kopək' (SansSerifCollection.ttf, Word L4); ref 'köynək-baju' -&gt; hyp 'koynək.baju' (SansSerifCollection.ttf, Word L4).</w:t>
        <w:br/>
        <w:t>• o -&gt; ə (1 hal): ref 'Goranboy,' -&gt; hyp 'Gəranboy,' (cambria.ttc, Word L4).</w:t>
        <w:br/>
        <w:t>• c -&gt; e (2 hal): ref 'dcmokratik' -&gt; hyp 'demokratik' (cambria.ttc, Word L4 və Line L4).</w:t>
        <w:br/>
        <w:t>• ç -&gt; s (1 hal): ref 'qaçan' -&gt; hyp 'qasan' (verdanab.ttf, Word L4).</w:t>
        <w:br/>
        <w:t>• G -&gt; C (2 hal): ref 'Gürcüstan' -&gt; hyp 'Cürcüstan' (pala.ttf, Line L0 və Line L4).</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t>Sətir WER Boşluq Təhlili (Groups B &amp; C, eyni 1076 söz üzrə xəta növləri dekompozisiyası, results/v2_audit4/summary.md:205-212):</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tcPr>
          <w:p>
            <w:pPr>
              <w:spacing w:before="40" w:after="40" w:line="252" w:lineRule="auto"/>
            </w:pPr>
            <w:r>
              <w:rPr>
                <w:rFonts w:ascii="Calibri" w:hAnsi="Calibri"/>
                <w:b/>
                <w:i w:val="0"/>
                <w:sz w:val="16"/>
              </w:rPr>
              <w:t>Səviyyə və Model</w:t>
            </w:r>
          </w:p>
        </w:tc>
        <w:tc>
          <w:tcPr>
            <w:tcW w:type="dxa" w:w="1170"/>
            <w:shd w:fill="EAECEF"/>
          </w:tcPr>
          <w:p>
            <w:pPr>
              <w:spacing w:before="40" w:after="40" w:line="252" w:lineRule="auto"/>
            </w:pPr>
            <w:r>
              <w:rPr>
                <w:rFonts w:ascii="Calibri" w:hAnsi="Calibri"/>
                <w:b/>
                <w:i w:val="0"/>
                <w:sz w:val="16"/>
              </w:rPr>
              <w:t>Ümumi Söz (n)</w:t>
            </w:r>
          </w:p>
        </w:tc>
        <w:tc>
          <w:tcPr>
            <w:tcW w:type="dxa" w:w="1170"/>
            <w:shd w:fill="EAECEF"/>
          </w:tcPr>
          <w:p>
            <w:pPr>
              <w:spacing w:before="40" w:after="40" w:line="252" w:lineRule="auto"/>
            </w:pPr>
            <w:r>
              <w:rPr>
                <w:rFonts w:ascii="Calibri" w:hAnsi="Calibri"/>
                <w:b/>
                <w:i w:val="0"/>
                <w:sz w:val="16"/>
              </w:rPr>
              <w:t>Xalis Boşluq Xətası</w:t>
            </w:r>
          </w:p>
        </w:tc>
        <w:tc>
          <w:tcPr>
            <w:tcW w:type="dxa" w:w="1170"/>
            <w:shd w:fill="EAECEF"/>
          </w:tcPr>
          <w:p>
            <w:pPr>
              <w:spacing w:before="40" w:after="40" w:line="252" w:lineRule="auto"/>
            </w:pPr>
            <w:r>
              <w:rPr>
                <w:rFonts w:ascii="Calibri" w:hAnsi="Calibri"/>
                <w:b/>
                <w:i w:val="0"/>
                <w:sz w:val="16"/>
              </w:rPr>
              <w:t>Tək Hərf Xətası</w:t>
            </w:r>
          </w:p>
        </w:tc>
        <w:tc>
          <w:tcPr>
            <w:tcW w:type="dxa" w:w="1170"/>
            <w:shd w:fill="EAECEF"/>
          </w:tcPr>
          <w:p>
            <w:pPr>
              <w:spacing w:before="40" w:after="40" w:line="252" w:lineRule="auto"/>
            </w:pPr>
            <w:r>
              <w:rPr>
                <w:rFonts w:ascii="Calibri" w:hAnsi="Calibri"/>
                <w:b/>
                <w:i w:val="0"/>
                <w:sz w:val="16"/>
              </w:rPr>
              <w:t>Çoxhərfli Xəta</w:t>
            </w:r>
          </w:p>
        </w:tc>
        <w:tc>
          <w:tcPr>
            <w:tcW w:type="dxa" w:w="1170"/>
            <w:shd w:fill="EAECEF"/>
          </w:tcPr>
          <w:p>
            <w:pPr>
              <w:spacing w:before="40" w:after="40" w:line="252" w:lineRule="auto"/>
            </w:pPr>
            <w:r>
              <w:rPr>
                <w:rFonts w:ascii="Calibri" w:hAnsi="Calibri"/>
                <w:b/>
                <w:i w:val="0"/>
                <w:sz w:val="16"/>
              </w:rPr>
              <w:t>Qeyri-Boşluq Xətası</w:t>
            </w:r>
          </w:p>
        </w:tc>
        <w:tc>
          <w:tcPr>
            <w:tcW w:type="dxa" w:w="1170"/>
            <w:shd w:fill="EAECEF"/>
          </w:tcPr>
          <w:p>
            <w:pPr>
              <w:spacing w:before="40" w:after="40" w:line="252" w:lineRule="auto"/>
            </w:pPr>
            <w:r>
              <w:rPr>
                <w:rFonts w:ascii="Calibri" w:hAnsi="Calibri"/>
                <w:b/>
                <w:i w:val="0"/>
                <w:sz w:val="16"/>
              </w:rPr>
              <w:t>Raw WER (%)</w:t>
            </w:r>
          </w:p>
        </w:tc>
        <w:tc>
          <w:tcPr>
            <w:tcW w:type="dxa" w:w="1170"/>
            <w:shd w:fill="EAECEF"/>
          </w:tcPr>
          <w:p>
            <w:pPr>
              <w:spacing w:before="40" w:after="40" w:line="252" w:lineRule="auto"/>
            </w:pPr>
            <w:r>
              <w:rPr>
                <w:rFonts w:ascii="Calibri" w:hAnsi="Calibri"/>
                <w:b/>
                <w:i w:val="0"/>
                <w:sz w:val="16"/>
              </w:rPr>
              <w:t>Boşluq Xətasının Payı (%)</w:t>
            </w:r>
          </w:p>
        </w:tc>
      </w:tr>
      <w:tr>
        <w:tc>
          <w:tcPr>
            <w:tcW w:type="dxa" w:w="1170"/>
          </w:tcPr>
          <w:p>
            <w:pPr>
              <w:spacing w:before="40" w:after="40" w:line="252" w:lineRule="auto"/>
            </w:pPr>
            <w:r>
              <w:rPr>
                <w:rFonts w:ascii="Calibri" w:hAnsi="Calibri"/>
                <w:b w:val="0"/>
                <w:i w:val="0"/>
                <w:sz w:val="16"/>
              </w:rPr>
              <w:t>L0 V2 Modeli</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46 (4.3%)</w:t>
            </w:r>
          </w:p>
        </w:tc>
        <w:tc>
          <w:tcPr>
            <w:tcW w:type="dxa" w:w="1170"/>
          </w:tcPr>
          <w:p>
            <w:pPr>
              <w:spacing w:before="40" w:after="40" w:line="252" w:lineRule="auto"/>
            </w:pPr>
            <w:r>
              <w:rPr>
                <w:rFonts w:ascii="Calibri" w:hAnsi="Calibri"/>
                <w:b w:val="0"/>
                <w:i w:val="0"/>
                <w:sz w:val="16"/>
              </w:rPr>
              <w:t>8 (0.7%)</w:t>
            </w:r>
          </w:p>
        </w:tc>
        <w:tc>
          <w:tcPr>
            <w:tcW w:type="dxa" w:w="1170"/>
          </w:tcPr>
          <w:p>
            <w:pPr>
              <w:spacing w:before="40" w:after="40" w:line="252" w:lineRule="auto"/>
            </w:pPr>
            <w:r>
              <w:rPr>
                <w:rFonts w:ascii="Calibri" w:hAnsi="Calibri"/>
                <w:b w:val="0"/>
                <w:i w:val="0"/>
                <w:sz w:val="16"/>
              </w:rPr>
              <w:t>4 (0.4%)</w:t>
            </w:r>
          </w:p>
        </w:tc>
        <w:tc>
          <w:tcPr>
            <w:tcW w:type="dxa" w:w="1170"/>
          </w:tcPr>
          <w:p>
            <w:pPr>
              <w:spacing w:before="40" w:after="40" w:line="252" w:lineRule="auto"/>
            </w:pPr>
            <w:r>
              <w:rPr>
                <w:rFonts w:ascii="Calibri" w:hAnsi="Calibri"/>
                <w:b w:val="0"/>
                <w:i w:val="0"/>
                <w:sz w:val="16"/>
              </w:rPr>
              <w:t>12 (1.1%)</w:t>
            </w:r>
          </w:p>
        </w:tc>
        <w:tc>
          <w:tcPr>
            <w:tcW w:type="dxa" w:w="1170"/>
          </w:tcPr>
          <w:p>
            <w:pPr>
              <w:spacing w:before="40" w:after="40" w:line="252" w:lineRule="auto"/>
            </w:pPr>
            <w:r>
              <w:rPr>
                <w:rFonts w:ascii="Calibri" w:hAnsi="Calibri"/>
                <w:b w:val="0"/>
                <w:i w:val="0"/>
                <w:sz w:val="16"/>
              </w:rPr>
              <w:t>5.39%</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 (0.0%)</w:t>
            </w:r>
          </w:p>
        </w:tc>
        <w:tc>
          <w:tcPr>
            <w:tcW w:type="dxa" w:w="1170"/>
          </w:tcPr>
          <w:p>
            <w:pPr>
              <w:spacing w:before="40" w:after="40" w:line="252" w:lineRule="auto"/>
            </w:pPr>
            <w:r>
              <w:rPr>
                <w:rFonts w:ascii="Calibri" w:hAnsi="Calibri"/>
                <w:b w:val="0"/>
                <w:i w:val="0"/>
                <w:sz w:val="16"/>
              </w:rPr>
              <w:t>22 (2.0%)</w:t>
            </w:r>
          </w:p>
        </w:tc>
        <w:tc>
          <w:tcPr>
            <w:tcW w:type="dxa" w:w="1170"/>
          </w:tcPr>
          <w:p>
            <w:pPr>
              <w:spacing w:before="40" w:after="40" w:line="252" w:lineRule="auto"/>
            </w:pPr>
            <w:r>
              <w:rPr>
                <w:rFonts w:ascii="Calibri" w:hAnsi="Calibri"/>
                <w:b w:val="0"/>
                <w:i w:val="0"/>
                <w:sz w:val="16"/>
              </w:rPr>
              <w:t>7 (0.7%)</w:t>
            </w:r>
          </w:p>
        </w:tc>
        <w:tc>
          <w:tcPr>
            <w:tcW w:type="dxa" w:w="1170"/>
          </w:tcPr>
          <w:p>
            <w:pPr>
              <w:spacing w:before="40" w:after="40" w:line="252" w:lineRule="auto"/>
            </w:pPr>
            <w:r>
              <w:rPr>
                <w:rFonts w:ascii="Calibri" w:hAnsi="Calibri"/>
                <w:b w:val="0"/>
                <w:i w:val="0"/>
                <w:sz w:val="16"/>
              </w:rPr>
              <w:t>29 (2.7%)</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V2 Modeli</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64 (5.9%)</w:t>
            </w:r>
          </w:p>
        </w:tc>
        <w:tc>
          <w:tcPr>
            <w:tcW w:type="dxa" w:w="1170"/>
          </w:tcPr>
          <w:p>
            <w:pPr>
              <w:spacing w:before="40" w:after="40" w:line="252" w:lineRule="auto"/>
            </w:pPr>
            <w:r>
              <w:rPr>
                <w:rFonts w:ascii="Calibri" w:hAnsi="Calibri"/>
                <w:b w:val="0"/>
                <w:i w:val="0"/>
                <w:sz w:val="16"/>
              </w:rPr>
              <w:t>26 (2.4%)</w:t>
            </w:r>
          </w:p>
        </w:tc>
        <w:tc>
          <w:tcPr>
            <w:tcW w:type="dxa" w:w="1170"/>
          </w:tcPr>
          <w:p>
            <w:pPr>
              <w:spacing w:before="40" w:after="40" w:line="252" w:lineRule="auto"/>
            </w:pPr>
            <w:r>
              <w:rPr>
                <w:rFonts w:ascii="Calibri" w:hAnsi="Calibri"/>
                <w:b w:val="0"/>
                <w:i w:val="0"/>
                <w:sz w:val="16"/>
              </w:rPr>
              <w:t>8 (0.7%)</w:t>
            </w:r>
          </w:p>
        </w:tc>
        <w:tc>
          <w:tcPr>
            <w:tcW w:type="dxa" w:w="1170"/>
          </w:tcPr>
          <w:p>
            <w:pPr>
              <w:spacing w:before="40" w:after="40" w:line="252" w:lineRule="auto"/>
            </w:pPr>
            <w:r>
              <w:rPr>
                <w:rFonts w:ascii="Calibri" w:hAnsi="Calibri"/>
                <w:b w:val="0"/>
                <w:i w:val="0"/>
                <w:sz w:val="16"/>
              </w:rPr>
              <w:t>34 (3.2%)</w:t>
            </w:r>
          </w:p>
        </w:tc>
        <w:tc>
          <w:tcPr>
            <w:tcW w:type="dxa" w:w="1170"/>
          </w:tcPr>
          <w:p>
            <w:pPr>
              <w:spacing w:before="40" w:after="40" w:line="252" w:lineRule="auto"/>
            </w:pPr>
            <w:r>
              <w:rPr>
                <w:rFonts w:ascii="Calibri" w:hAnsi="Calibri"/>
                <w:b w:val="0"/>
                <w:i w:val="0"/>
                <w:sz w:val="16"/>
              </w:rPr>
              <w:t>9.11%</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 (0.2%)</w:t>
            </w:r>
          </w:p>
        </w:tc>
        <w:tc>
          <w:tcPr>
            <w:tcW w:type="dxa" w:w="1170"/>
          </w:tcPr>
          <w:p>
            <w:pPr>
              <w:spacing w:before="40" w:after="40" w:line="252" w:lineRule="auto"/>
            </w:pPr>
            <w:r>
              <w:rPr>
                <w:rFonts w:ascii="Calibri" w:hAnsi="Calibri"/>
                <w:b w:val="0"/>
                <w:i w:val="0"/>
                <w:sz w:val="16"/>
              </w:rPr>
              <w:t>23 (2.1%)</w:t>
            </w:r>
          </w:p>
        </w:tc>
        <w:tc>
          <w:tcPr>
            <w:tcW w:type="dxa" w:w="1170"/>
          </w:tcPr>
          <w:p>
            <w:pPr>
              <w:spacing w:before="40" w:after="40" w:line="252" w:lineRule="auto"/>
            </w:pPr>
            <w:r>
              <w:rPr>
                <w:rFonts w:ascii="Calibri" w:hAnsi="Calibri"/>
                <w:b w:val="0"/>
                <w:i w:val="0"/>
                <w:sz w:val="16"/>
              </w:rPr>
              <w:t>9 (0.8%)</w:t>
            </w:r>
          </w:p>
        </w:tc>
        <w:tc>
          <w:tcPr>
            <w:tcW w:type="dxa" w:w="1170"/>
          </w:tcPr>
          <w:p>
            <w:pPr>
              <w:spacing w:before="40" w:after="40" w:line="252" w:lineRule="auto"/>
            </w:pPr>
            <w:r>
              <w:rPr>
                <w:rFonts w:ascii="Calibri" w:hAnsi="Calibri"/>
                <w:b w:val="0"/>
                <w:i w:val="0"/>
                <w:sz w:val="16"/>
              </w:rPr>
              <w:t>32 (3.0%)</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scratch/build_v2_datasets.py:111, 153 skripti ilə generate_data.py:50-54 TRDG generatoru (GeneratorFromStrings, size=64 söz / size=48 sətir, bgs=[0,1], fonts_new) vasitəsilə generasiya edilmişdir.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2 kəsimləri və etalon mənşəyi: Sənəd 2 kəsim qutuları Tesseract image_to_data çıxarışının təhlilindən sonra test_real_doc2.py:46-135 faylına əllə daxil edilmişdir (müstəqil deyil). Etalon mətnlər sənəd fotosundan əllə transkripsiya edilmişdir (müstəqil cüt yoxlama sənədləşdirilmədiyi üçün status: 'təsdiq gözləyir').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Tahoma sətirlərində (0.22% vs 0.26%), həm də qəliz əl/dekorativ şriftlərdə (Inkfree L0 söz: Tesseract 14.20% vs V2 30.69%) layihə modelindən üstündür.</w:t>
        <w:br/>
        <w:t>8. Test kəsimlərində generator xətası: Sintetik test kəsimlərinin bir hissəsində (24/1049 kəsim, məs. 'və' sözündə 11.8% mürəkkəb itkisi) TRDG generatorunun kənarları kəsmə xətası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Times New Roman" w:hAnsi="Times New Roman"/>
          <w:sz w:val="24"/>
        </w:rPr>
        <w:t>3. Smith, R. (2007). An overview of the Tesseract OCR engine. Ninth International Conference on Document Analysis and Recognition (ICDAR 2007), 2, 629-633.</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