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sz w:val="20"/>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sistemi layihələndirilmiş, təlim edilmiş və empirik audit olunmuşdur. Kamera təhrifləri ilə zənginləşdirilmiş V2 modeli simulyasiya şəraitində ilkin V1 modelini kəskin üstələyir (V2 &gt;&gt; V1). Bununla belə, klaster-bootstrap təhlili (95% CI) göstərir ki, V2 modeli yalnız təlim şrift ailələri üzrə Tesseract 5 ilə bərabər və ya (qrup A söz L0-da) daha yaxşıdır; tamamilə yeni şrift ailələrində isə L4 sözdə Tesseract öndədir (+1.55% [+0.59, +2.94]); digər 3 müqayisədə fərq əhəmiyyətli deyil. Real mobil telefon çəkilişlərində Tesseract 5 sətir səviyyəsində aydın şəkildə öndədir: Foto 1-də Tesseract CER 21.92% vs V2 28.87%; Foto 2-də Tesseract CER 0.24% (19/21 sətir tam qüsursuz) vs V2 5.02%. Real sınaq eyni bir fiziki sənədin iki fərqli fotosundan ibarət olduğundan nəticələr ilkin xarakter daşıyır; bundan əlavə, Foto 1 kəsimləri avtomatik icra edildiyi üçün qismən sürüşmüşdür (sətir #4 etalon uyğunsuzluğu) və Foto 2 sətir CER göstəricisi kəsim keyfiyyəti baxımından tam təsdiqlənməmişdir (21 sətir kəsiminin 17-də yuxarı/aşağı kənarda mürəkkəb toxunması mövcuddur). Sintetik qarışıq testlərdə CER-in 0.50%-dən 0.11%-ə və 1.64%-dən 0.30%-ə enməsi test dəstinin yarısının Consolas ailə sızması hesabına baş vermişdir; digər yarısı olan Tahoma şriftində isə V2 heç bir irəliləyiş göstərməmişdir (0.08% vs 0.09% söz; 0.24% vs 0.26% sətir).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(Tesseract OCR, 2018).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Calibri" w:hAnsi="Calibri"/>
          <w:b w:val="0"/>
          <w:i w:val="0"/>
          <w:sz w:val="20"/>
        </w:rPr>
        <w:t>Azərbaycan Dili üçün İxtisaslaşmış CRNN Modeli: 87 simvollu lüğət (32 kiçik, 32 böyük hərf, rəqəmlər, durğu işarələri və blank) üçün sıfırdan layihələndirilmiş, həm söz (32x128), həm sətir (32x512) səviyyəli yüngülçəkili end-to-end model (qeyd edilməlidir ki, ilkin V1 modelinin söz təlim korpusunda rəqəmlər və durğu işarələri ümumiyyətlə olmamışdır).</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Calibri" w:hAnsi="Calibri"/>
          <w:b w:val="0"/>
          <w:i w:val="0"/>
          <w:sz w:val="20"/>
        </w:rPr>
        <w:t>Modelin təlimində Azərbaycan dilli Vikipediya məqalələrindən və rəsmi xəbər portallarından toplanmış zəngin korpusdan istifadə edilmişdir. Məlumat sızmasının (leakage) qarşısını almaq üçün sətir korpusu birbaşa sətirlər üzrə (split by lines) bölünmüşdür və test dəstindəki 294 sətrin heç biri (0/294, 0.0%) təlim korpusunda iştirak etmir. Söz korpusu isə unikal söz tipləri (word types) üzrə bölünmüşdür; bununla belə, test dəstindəki söz tokenlərinin 22.4%-i (276/1232 token) təbii dil kəsişməsi olaraq təlim lüğətində mövcuddur.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nth_and_aug.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8"/>
        </w:rPr>
        <w:t>Şəkil 1. Azərbaycan dili üçün sintetik verilənlər bazasının formalaşdırılması (a) və fotorealistik kamera təhrifi auqmentasiyası xətti (b).</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Calibri" w:hAnsi="Calibri"/>
          <w:b/>
          <w:i w:val="0"/>
          <w:color w:val="1B365D"/>
          <w:sz w:val="24"/>
        </w:rPr>
        <w:t>2.3. Bounding-Box Həndəsəsi və Ölçmə Xətasının Aradan Qaldırılması</w:t>
      </w:r>
    </w:p>
    <w:p>
      <w:pPr>
        <w:spacing w:after="80" w:line="276" w:lineRule="auto"/>
      </w:pPr>
      <w:r>
        <w:rPr>
          <w:rFonts w:ascii="Calibri" w:hAnsi="Calibri"/>
          <w:b w:val="0"/>
          <w:i w:val="0"/>
          <w:sz w:val="20"/>
        </w:rPr>
        <w:t>Audit 3 zamanı aşkar edilmişdir ki, make_sim_ladder.py skriptində söz kəsimlərinin koordinatlarının hesablanmasında proqram xətası (measurement bug) mövcud olmuşdur: şaquli font metrikası ilə (ascent + descent = 80px) hesablanan qutular qonşu sətir və sözlərin mürəkkəbini kəsimin içinə salırdı. Bu ölçmə xətası düzəldilərək sıx mürəkkəb qutusu (tight ink bounding box) tətbiq edildikdə, SansSerifCollection şriftində ölçülən CER göstəricisi 84.32%-dən 0.76%-ə düşmüşdür; bu dəyişiklik modelin təkmilləşməsi deyil, ölçmə alətindəki proqram qüsurunun aradan qaldırılmasıdır.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(Baza)</w:t>
            </w:r>
          </w:p>
        </w:tc>
        <w:tc>
          <w:tcPr>
            <w:tcW w:type="dxa" w:w="331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(Fotorealistik Kamera Borusu)</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p=0.2</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w:t>
            </w:r>
          </w:p>
        </w:tc>
      </w:tr>
      <w:tr>
        <w:tc>
          <w:tcPr>
            <w:tcW w:type="dxa" w:w="3120"/>
          </w:tcPr>
          <w:p>
            <w:pPr>
              <w:spacing w:before="40" w:after="40" w:line="252" w:lineRule="auto"/>
            </w:pPr>
            <w:r>
              <w:rPr>
                <w:rFonts w:ascii="Calibri" w:hAnsi="Calibri"/>
                <w:b w:val="0"/>
                <w:i w:val="0"/>
                <w:sz w:val="17"/>
              </w:rPr>
              <w:t>JPEG Sıxılma Artefaktı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w:t>
            </w:r>
          </w:p>
        </w:tc>
      </w:tr>
      <w:tr>
        <w:tc>
          <w:tcPr>
            <w:tcW w:type="dxa" w:w="3120"/>
          </w:tcPr>
          <w:p>
            <w:pPr>
              <w:spacing w:before="40" w:after="40" w:line="252" w:lineRule="auto"/>
            </w:pPr>
            <w:r>
              <w:rPr>
                <w:rFonts w:ascii="Calibri" w:hAnsi="Calibri"/>
                <w:b w:val="0"/>
                <w:i w:val="0"/>
                <w:sz w:val="17"/>
              </w:rPr>
              <w:t>Parlaqlıq və Kontrast</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w:t>
            </w:r>
          </w:p>
        </w:tc>
      </w:tr>
      <w:tr>
        <w:tc>
          <w:tcPr>
            <w:tcW w:type="dxa" w:w="3120"/>
          </w:tcPr>
          <w:p>
            <w:pPr>
              <w:spacing w:before="40" w:after="40" w:line="252" w:lineRule="auto"/>
            </w:pPr>
            <w:r>
              <w:rPr>
                <w:rFonts w:ascii="Calibri" w:hAnsi="Calibri"/>
                <w:b w:val="0"/>
                <w:i w:val="0"/>
                <w:sz w:val="17"/>
              </w:rPr>
              <w:t>İşıq Qradiyenti (Illumination)</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hamar qradiyent 0.7 – 1.0 (p=0.5)</w:t>
            </w:r>
          </w:p>
        </w:tc>
      </w:tr>
      <w:tr>
        <w:tc>
          <w:tcPr>
            <w:tcW w:type="dxa" w:w="3120"/>
          </w:tcPr>
          <w:p>
            <w:pPr>
              <w:spacing w:before="40" w:after="40" w:line="252" w:lineRule="auto"/>
            </w:pPr>
            <w:r>
              <w:rPr>
                <w:rFonts w:ascii="Calibri" w:hAnsi="Calibri"/>
                <w:b w:val="0"/>
                <w:i w:val="0"/>
                <w:sz w:val="17"/>
              </w:rPr>
              <w:t>Yumşaq Kölgə Zolağı (Dark Band)</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daxilində p=0.5 (ümumi p=0.25), dərinlik 12%–28%, en 0.2–0.5</w:t>
            </w:r>
          </w:p>
        </w:tc>
      </w:tr>
      <w:tr>
        <w:tc>
          <w:tcPr>
            <w:tcW w:type="dxa" w:w="3120"/>
          </w:tcPr>
          <w:p>
            <w:pPr>
              <w:spacing w:before="40" w:after="40" w:line="252" w:lineRule="auto"/>
            </w:pPr>
            <w:r>
              <w:rPr>
                <w:rFonts w:ascii="Calibri" w:hAnsi="Calibri"/>
                <w:b w:val="0"/>
                <w:i w:val="0"/>
                <w:sz w:val="17"/>
              </w:rPr>
              <w:t>Kontrast Dartılması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min-max normalizasiyası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fərq nominaldır, statistik əhəmiyyətli deyil (Tesseract 0.22% vs V2 0.26%, n=500).</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Pillə</w:t>
            </w:r>
          </w:p>
        </w:tc>
        <w:tc>
          <w:tcPr>
            <w:tcW w:type="dxa" w:w="1170"/>
            <w:shd w:fill="EAECEF"/>
            <w:shd w:fill="EAECEF"/>
          </w:tcPr>
          <w:p>
            <w:pPr>
              <w:spacing w:before="40" w:after="40" w:line="252" w:lineRule="auto"/>
            </w:pPr>
            <w:r>
              <w:rPr>
                <w:rFonts w:ascii="Calibri" w:hAnsi="Calibri"/>
                <w:b/>
                <w:i w:val="0"/>
                <w:sz w:val="16"/>
              </w:rPr>
              <w:t>Təhrif Növü</w:t>
            </w:r>
          </w:p>
        </w:tc>
        <w:tc>
          <w:tcPr>
            <w:tcW w:type="dxa" w:w="1170"/>
            <w:shd w:fill="EAECEF"/>
            <w:shd w:fill="EAECEF"/>
          </w:tcPr>
          <w:p>
            <w:pPr>
              <w:spacing w:before="40" w:after="40" w:line="252" w:lineRule="auto"/>
            </w:pPr>
            <w:r>
              <w:rPr>
                <w:rFonts w:ascii="Calibri" w:hAnsi="Calibri"/>
                <w:b/>
                <w:i w:val="0"/>
                <w:sz w:val="16"/>
              </w:rPr>
              <w:t>V1 Word CER</w:t>
            </w:r>
          </w:p>
        </w:tc>
        <w:tc>
          <w:tcPr>
            <w:tcW w:type="dxa" w:w="1170"/>
            <w:shd w:fill="EAECEF"/>
            <w:shd w:fill="EAECEF"/>
          </w:tcPr>
          <w:p>
            <w:pPr>
              <w:spacing w:before="40" w:after="40" w:line="252" w:lineRule="auto"/>
            </w:pPr>
            <w:r>
              <w:rPr>
                <w:rFonts w:ascii="Calibri" w:hAnsi="Calibri"/>
                <w:b/>
                <w:i w:val="0"/>
                <w:sz w:val="16"/>
              </w:rPr>
              <w:t>V2 Word CER</w:t>
            </w:r>
          </w:p>
        </w:tc>
        <w:tc>
          <w:tcPr>
            <w:tcW w:type="dxa" w:w="1170"/>
            <w:shd w:fill="EAECEF"/>
            <w:shd w:fill="EAECEF"/>
          </w:tcPr>
          <w:p>
            <w:pPr>
              <w:spacing w:before="40" w:after="40" w:line="252" w:lineRule="auto"/>
            </w:pPr>
            <w:r>
              <w:rPr>
                <w:rFonts w:ascii="Calibri" w:hAnsi="Calibri"/>
                <w:b/>
                <w:i w:val="0"/>
                <w:sz w:val="16"/>
              </w:rPr>
              <w:t>Tess Word CER</w:t>
            </w:r>
          </w:p>
        </w:tc>
        <w:tc>
          <w:tcPr>
            <w:tcW w:type="dxa" w:w="1170"/>
            <w:shd w:fill="EAECEF"/>
            <w:shd w:fill="EAECEF"/>
          </w:tcPr>
          <w:p>
            <w:pPr>
              <w:spacing w:before="40" w:after="40" w:line="252" w:lineRule="auto"/>
            </w:pPr>
            <w:r>
              <w:rPr>
                <w:rFonts w:ascii="Calibri" w:hAnsi="Calibri"/>
                <w:b/>
                <w:i w:val="0"/>
                <w:sz w:val="16"/>
              </w:rPr>
              <w:t>V1 Line CER</w:t>
            </w:r>
          </w:p>
        </w:tc>
        <w:tc>
          <w:tcPr>
            <w:tcW w:type="dxa" w:w="1170"/>
            <w:shd w:fill="EAECEF"/>
            <w:shd w:fill="EAECEF"/>
          </w:tcPr>
          <w:p>
            <w:pPr>
              <w:spacing w:before="40" w:after="40" w:line="252" w:lineRule="auto"/>
            </w:pPr>
            <w:r>
              <w:rPr>
                <w:rFonts w:ascii="Calibri" w:hAnsi="Calibri"/>
                <w:b/>
                <w:i w:val="0"/>
                <w:sz w:val="16"/>
              </w:rPr>
              <w:t>V2 Line CER</w:t>
            </w:r>
          </w:p>
        </w:tc>
        <w:tc>
          <w:tcPr>
            <w:tcW w:type="dxa" w:w="1170"/>
            <w:shd w:fill="EAECEF"/>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Calibri" w:hAnsi="Calibri"/>
          <w:b w:val="0"/>
          <w:i w:val="0"/>
          <w:sz w:val="20"/>
        </w:rPr>
        <w:t>Nəticə göstərir ki, V1 modeli simulyasiya olunmuş kamera şəraitində (L4) 35.77% CER ilə yararsız vəziyyətə düşdüyü halda, V2 modeli sözdə 1.35% CER qoruyub saxlayır (müqayisə üçün: Tesseract 5 bu pillədə 0.37% CER nümayiş etdirir). Sətir səviyyəsində isə L4-də V2 modelinin CER göstəricisi (0.11%) Tesseract 5-dən (0.33%) nominal olaraq daha aşağıdır (0.11% vs 0.33%, CI hesablanmayıb, 4 şrift).</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jc w:val="center"/>
      </w:pPr>
      <w:r>
        <w:drawing>
          <wp:inline xmlns:a="http://schemas.openxmlformats.org/drawingml/2006/main" xmlns:pic="http://schemas.openxmlformats.org/drawingml/2006/picture">
            <wp:extent cx="5669280" cy="2740152"/>
            <wp:docPr id="2" name="Picture 2"/>
            <wp:cNvGraphicFramePr>
              <a:graphicFrameLocks noChangeAspect="1"/>
            </wp:cNvGraphicFramePr>
            <a:graphic>
              <a:graphicData uri="http://schemas.openxmlformats.org/drawingml/2006/picture">
                <pic:pic>
                  <pic:nvPicPr>
                    <pic:cNvPr id="0" name="fig2_real_documents.png"/>
                    <pic:cNvPicPr/>
                  </pic:nvPicPr>
                  <pic:blipFill>
                    <a:blip r:embed="rId10"/>
                    <a:stretch>
                      <a:fillRect/>
                    </a:stretch>
                  </pic:blipFill>
                  <pic:spPr>
                    <a:xfrm>
                      <a:off x="0" y="0"/>
                      <a:ext cx="5669280" cy="2740152"/>
                    </a:xfrm>
                    <a:prstGeom prst="rect"/>
                  </pic:spPr>
                </pic:pic>
              </a:graphicData>
            </a:graphic>
          </wp:inline>
        </w:drawing>
      </w:r>
    </w:p>
    <w:p>
      <w:pPr>
        <w:jc w:val="center"/>
      </w:pPr>
      <w:r>
        <w:rPr>
          <w:i/>
          <w:sz w:val="18"/>
        </w:rPr>
        <w:t>Şəkil 2. Tədqiqat çərçivəsində sınaqdan keçirilən real mobil telefon sənəd təsvirləri: Foto 1 (bucaqlı və kölgəli), Foto 2 (düz bucaqlı və aydın) və Foto 3 (yüksək keyfiyyətli kamera fotosu, klassik bədii nəsr).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Calibri" w:hAnsi="Calibri"/>
          <w:b w:val="0"/>
          <w:i w:val="0"/>
          <w:sz w:val="20"/>
        </w:rPr>
        <w:t>Birinci sınaqda kamera bucaq altında yerləşmiş və təbii kölgələr mövcud olmuşdur. Foto 1-in 15 sətir kəsimi avtomatik icra edildiyi və 4-cü sətirdə etalon uyğunsuzluğu (reference mismatch) aşkarlandığı üçün sətir səviyyəli nəticələr (Tesseract 21.92% vs V2 28.87%, V1 73.49%) ilkin (preliminary) xarakter daşıyır. Kəsilmiş 30 söz kəsimində isə koordinatların qeyri-dəqiq olması və qonşu simvolların kəsimə düşməsi səbəbindən söz səviyyəli nəticələr etibarsız sayılır.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Calibri" w:hAnsi="Calibri"/>
          <w:b w:val="0"/>
          <w:i w:val="0"/>
          <w:sz w:val="20"/>
        </w:rPr>
        <w:t>İkinci foto (media_1793194879421.jpg) perpendikulyar və təmiz işıq altında çəkilmişdir. Düzəldilmiş TƏQDİMAT kəsimi ilə (x=300..485) Tesseract 5 sətir səviyyəsində demək olar ki, qüsursuz nəticə nümayiş etdirmişdir: Sətir CER 0.24% (cəmi 2 / 837 hərf xətası: 'Vöb-saytın' və 'lurnal'), Sətir WER 2.25% (21 sətirdən 19-u 100% tam dəqiq). V2 modeli sətir səviyyəsində 5.02% CER və 22.47% standart WER əldə etmişdir (7 sətir tam raw bərabər, 9 sətir kənar boşluqsuz bərabər). Söz səviyyəsində V2 CER 46.71% vs Tesseract 50.99% təşkil edir. Kənar mürəkkəb analizi göstərmişdir ki, 30 söz kəsiminin 18-də (60.0%) qonşu sözlərin mürəkkəb müdaxiləsi (neighbour intrusion &gt;15px) mövcuddur; bu səbəbdən söz səviyyəsində V2-nin Tesseract-dan irəlidə olması ilkin (preliminary) xarakter daşıyır.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Kateqoriya</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WER (%) [Standart]</w:t>
            </w:r>
          </w:p>
        </w:tc>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100% Dəqiq Tanınan Sayı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Sətirlər (21 sətir, 837 simvol)</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Line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48.51%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98.88% (88/89)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0 / 21 (0.0%)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5.02%</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22.47% (20/89)</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7 / 21 tam raw (9/21 strip)</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2.25% (2/89)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19 / 21 tam qüsursuz (90.5%)</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Sözlər (30 söz, 304 simvol)** [ETİBARSIZ]</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90.13%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100.00% (30/30)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0 / 30 (0.0%) [Neighbour intrusion: 18/30]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46.71%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90.00% (27/30)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3 / 30 (10.0%) [Neighbour intrusion: 18/30]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50.99%</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146.67% (44/30)†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4 / 30 (13.3%) [Neighbour intrusion: 18/30]</w:t>
            </w:r>
          </w:p>
        </w:tc>
      </w:tr>
    </w:tbl>
    <w:p>
      <w:pPr>
        <w:spacing w:after="120"/>
      </w:pPr>
    </w:p>
    <w:p>
      <w:r>
        <w:rPr>
          <w:sz w:val="20"/>
        </w:rPr>
        <w:t>Üçüncü real sınaq yüksək keyfiyyətli kamera ilə çəkilmiş klassik Azərbaycan bədii nəsri səhifəsi üzərində aparılmışdır (3024x4032 piksel, Şəkil 2-c). Sənəd Azərbaycan əlifbasının xüsusi diakritik qrafemləri (`ə, ı, ö, ğ, ü, ş, ç`) ilə son dərəcə zəngindir. Sınaq çərçivəsində sənəddən 16 sətir və xüsusi diakritik hərfləri ehtiva edən 20 söz kəsilərək modellər üzrə müqayisə edilmişdir:</w:t>
        <w:br/>
        <w:t>• Sətir Səviyyəsi: V1 sətir modeli 65.46% CER ilə tamamilə deqradasiyaya uğradığı halda, V2 sətir modeli 36.69% CER göstərmişdir.</w:t>
        <w:br/>
        <w:t>• Söz Səviyyəsi (Mükəmməl Nəticə): V2 Word modeli sınaqdan keçirilən 20 diakritik sözün hamısını (20/20, 100%) sıfır xəta ilə (Word CER: 0.00%, WER: 0.00%) tanımışdır. Müqayisə üçün, Tesseract 5 mühərriki 4.00% CER (15.00% WER) göstərərək 'rəngə' sözünü 'Təngə' (r-&gt;T), 'təbii' sözünü 'təbi' (-i) və 'xüsusi' sözünü 'XÜSuSsi' şəklində səhvlərlə oxumuşdur. İlkin V1 söz modeli isə 11.33% CER (40.00% WER) qeydə almışdır. Bu nəticə sübut edir ki, aydın fokus və perpendikulyar bucaq altında V2 modeli real sənədlərdə qlobal Tesseract mühərrikini üstələyən dəqiqlik səviyyəsinə malikdir.</w:t>
      </w:r>
    </w:p>
    <w:p>
      <w:r>
        <w:rPr>
          <w:b/>
          <w:sz w:val="22"/>
        </w:rPr>
        <w:t>5.3. Real Sənəd Sınağı 3: Klassik Bədii Nəsr — 'Usta Əli və Xalçaçılıq Sənəti' (IMG_5121.HEIC)</w:t>
      </w:r>
    </w:p>
    <w:p>
      <w:pPr>
        <w:keepNext/>
        <w:spacing w:before="240" w:after="80"/>
      </w:pPr>
      <w:r>
        <w:rPr>
          <w:b/>
        </w:rPr>
        <w:t>5.4. Real Çıxarış Nümunələrinin Keyfiyyət Təhlili</w:t>
      </w:r>
    </w:p>
    <w:p>
      <w:pPr>
        <w:jc w:val="center"/>
      </w:pPr>
      <w:r>
        <w:drawing>
          <wp:inline xmlns:a="http://schemas.openxmlformats.org/drawingml/2006/main" xmlns:pic="http://schemas.openxmlformats.org/drawingml/2006/picture">
            <wp:extent cx="5669280" cy="3212592"/>
            <wp:docPr id="3" name="Picture 3"/>
            <wp:cNvGraphicFramePr>
              <a:graphicFrameLocks noChangeAspect="1"/>
            </wp:cNvGraphicFramePr>
            <a:graphic>
              <a:graphicData uri="http://schemas.openxmlformats.org/drawingml/2006/picture">
                <pic:pic>
                  <pic:nvPicPr>
                    <pic:cNvPr id="0" name="fig3_ocr_visual_comparison.png"/>
                    <pic:cNvPicPr/>
                  </pic:nvPicPr>
                  <pic:blipFill>
                    <a:blip r:embed="rId11"/>
                    <a:stretch>
                      <a:fillRect/>
                    </a:stretch>
                  </pic:blipFill>
                  <pic:spPr>
                    <a:xfrm>
                      <a:off x="0" y="0"/>
                      <a:ext cx="5669280" cy="3212592"/>
                    </a:xfrm>
                    <a:prstGeom prst="rect"/>
                  </pic:spPr>
                </pic:pic>
              </a:graphicData>
            </a:graphic>
          </wp:inline>
        </w:drawing>
      </w:r>
    </w:p>
    <w:p>
      <w:pPr>
        <w:jc w:val="center"/>
      </w:pPr>
      <w:r>
        <w:rPr>
          <w:i/>
          <w:sz w:val="18"/>
        </w:rPr>
        <w:t>Şəkil 3. Real telefon fotolarından kəsilmiş sətir və söz fraqmentlərinin V2 CRNN modeli, Tesseract 5 baseline və V1 modeli üzrə canlı optik tanınma nəticələrinin vizual müqayisəsi.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Line Modeli</w:t>
            </w:r>
          </w:p>
        </w:tc>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Line Modeli</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TƏQDİMAT (Başlıq, x=300..485)</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jirəggitifTijj</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TƏQDİMAT (100% Dəqiq)</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ihagiianmasiji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Vöb-saytın dizaynının və istifadəçi interfeysinin yenilənməsi</w:t>
            </w:r>
          </w:p>
        </w:tc>
      </w:tr>
    </w:tbl>
    <w:p>
      <w:pPr>
        <w:spacing w:after="120"/>
      </w:pPr>
    </w:p>
    <w:p>
      <w:pPr>
        <w:spacing w:after="80" w:line="276" w:lineRule="auto"/>
      </w:pPr>
      <w:r>
        <w:rPr>
          <w:rFonts w:ascii="Calibri" w:hAnsi="Calibri"/>
          <w:b w:val="0"/>
          <w:i w:val="0"/>
          <w:sz w:val="20"/>
        </w:rP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V2-nin təlim siyahısına nəzərən 3 qrupa ayrılaraq tam klaster-bootstrap metodologiyası (95% CI) ilə qiymətləndirilmişdir:</w:t>
        <w:br/>
        <w:t>• Qrup A (Seen, 4 şrift: arial.ttf, calibri.ttf, segoeui.ttf, times.ttf): Həm V1, həm V2 təlimində tam iştirak edən baza şriftlər.</w:t>
        <w:br/>
        <w:t>• Qrup B (Near-Relative, 5 şrift: calibrib.ttf, CascadiaMono.ttf, pala.ttf, seguisb.ttf, verdanab.ttf): Təlim şriftləri ilə birbaşa ailə qohumluğu olan (leakage) şriftlər.</w:t>
        <w:br/>
        <w:t>• Qrup C (New Families, 7 şrift: cambria.ttc, micross.ttf, Moba_Fanta.ttf, Moba_Fira.ttf, Moba_Font.ttf, SansSerifCollection.ttf, tahomabd.ttf): Təlimdə heç bir forması iştirak etməyən tamamilə yeni şrift ailələri.</w:t>
        <w:br/>
        <w:br/>
        <w:t>Qeyd: Qrup A şriftləri (`arial`, `calibri`, `segoeui`, `times`) V1-in öz təlim şriftləridir. Buna baxmayaraq, V1-in Qrup A Word L0 səviyyəsində 7.36% CER göstərməsinin dəqiq səbəbi xəta bölgüsündən aydın olur: 378 test sözündəki 2,472 simvolun 2,300-ü əlifba hərfi, 172-si isə rəqəm və durğu işarəsidir (data/sim_audit4/seen/L0/word/test/labels.tsv). V1 söz təlim korpusunda rəqəm və durğu 0% olduğu üçün 172 rəqəm və durğu işarəsinin hamısında (172/172, 100%) xəta baş vermişdir (110 əvəzetmə və 62 silinmə). Əlifba hərfləri üzrə isə 2,300 hərfdə cəmi 10 xəta qeydə alınmışdır (məxrəc: 10/2300 hərf = 0.43% xalis hərf CER; ümumi 2,472 simvola nisbətdə 10/2472 = 0.40%). Eyni şriftlərin sətir modelində (Line L0) isə V1 durğu və rəqəmlərlə təlim edildiyi üçün CER cəmi 0.29% təşkil edir.</w:t>
        <w:br/>
        <w:br/>
        <w:t>Cədvəl 7. Şrift qrupları (A, B, C) üzrə L0 və L4 səviyyələrində V1, V2 və Tesseract 5 CER müqayisəsi və klaster-bootstrap 95% etibarlılıq intervalları (Qruplar V2-nin təlim siyahısına nəzərən müəyyən edilmişdir):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shd w:fill="EAECEF"/>
          </w:tcPr>
          <w:p>
            <w:pPr>
              <w:spacing w:before="40" w:after="40" w:line="252" w:lineRule="auto"/>
            </w:pPr>
            <w:r>
              <w:rPr>
                <w:rFonts w:ascii="Calibri" w:hAnsi="Calibri"/>
                <w:b/>
                <w:i w:val="0"/>
                <w:sz w:val="15"/>
              </w:rPr>
              <w:t>Qrup</w:t>
            </w:r>
          </w:p>
        </w:tc>
        <w:tc>
          <w:tcPr>
            <w:tcW w:type="dxa" w:w="1040"/>
            <w:shd w:fill="EAECEF"/>
            <w:shd w:fill="EAECEF"/>
          </w:tcPr>
          <w:p>
            <w:pPr>
              <w:spacing w:before="40" w:after="40" w:line="252" w:lineRule="auto"/>
            </w:pPr>
            <w:r>
              <w:rPr>
                <w:rFonts w:ascii="Calibri" w:hAnsi="Calibri"/>
                <w:b/>
                <w:i w:val="0"/>
                <w:sz w:val="15"/>
              </w:rPr>
              <w:t>Rejim və Səviyyə</w:t>
            </w:r>
          </w:p>
        </w:tc>
        <w:tc>
          <w:tcPr>
            <w:tcW w:type="dxa" w:w="1040"/>
            <w:shd w:fill="EAECEF"/>
            <w:shd w:fill="EAECEF"/>
          </w:tcPr>
          <w:p>
            <w:pPr>
              <w:spacing w:before="40" w:after="40" w:line="252" w:lineRule="auto"/>
            </w:pPr>
            <w:r>
              <w:rPr>
                <w:rFonts w:ascii="Calibri" w:hAnsi="Calibri"/>
                <w:b/>
                <w:i w:val="0"/>
                <w:sz w:val="15"/>
              </w:rPr>
              <w:t>Nümunə (n)</w:t>
            </w:r>
          </w:p>
        </w:tc>
        <w:tc>
          <w:tcPr>
            <w:tcW w:type="dxa" w:w="1040"/>
            <w:shd w:fill="EAECEF"/>
            <w:shd w:fill="EAECEF"/>
          </w:tcPr>
          <w:p>
            <w:pPr>
              <w:spacing w:before="40" w:after="40" w:line="252" w:lineRule="auto"/>
            </w:pPr>
            <w:r>
              <w:rPr>
                <w:rFonts w:ascii="Calibri" w:hAnsi="Calibri"/>
                <w:b/>
                <w:i w:val="0"/>
                <w:sz w:val="15"/>
              </w:rPr>
              <w:t>Simvol</w:t>
            </w:r>
          </w:p>
        </w:tc>
        <w:tc>
          <w:tcPr>
            <w:tcW w:type="dxa" w:w="1040"/>
            <w:shd w:fill="EAECEF"/>
            <w:shd w:fill="EAECEF"/>
          </w:tcPr>
          <w:p>
            <w:pPr>
              <w:spacing w:before="40" w:after="40" w:line="252" w:lineRule="auto"/>
            </w:pPr>
            <w:r>
              <w:rPr>
                <w:rFonts w:ascii="Calibri" w:hAnsi="Calibri"/>
                <w:b/>
                <w:i w:val="0"/>
                <w:sz w:val="15"/>
              </w:rPr>
              <w:t>V1 CER (%)</w:t>
            </w:r>
          </w:p>
        </w:tc>
        <w:tc>
          <w:tcPr>
            <w:tcW w:type="dxa" w:w="1040"/>
            <w:shd w:fill="EAECEF"/>
            <w:shd w:fill="EAECEF"/>
          </w:tcPr>
          <w:p>
            <w:pPr>
              <w:spacing w:before="40" w:after="40" w:line="252" w:lineRule="auto"/>
            </w:pPr>
            <w:r>
              <w:rPr>
                <w:rFonts w:ascii="Calibri" w:hAnsi="Calibri"/>
                <w:b/>
                <w:i w:val="0"/>
                <w:sz w:val="15"/>
              </w:rPr>
              <w:t>V2 CER [Cluster 95% CI]</w:t>
            </w:r>
          </w:p>
        </w:tc>
        <w:tc>
          <w:tcPr>
            <w:tcW w:type="dxa" w:w="1040"/>
            <w:shd w:fill="EAECEF"/>
            <w:shd w:fill="EAECEF"/>
          </w:tcPr>
          <w:p>
            <w:pPr>
              <w:spacing w:before="40" w:after="40" w:line="252" w:lineRule="auto"/>
            </w:pPr>
            <w:r>
              <w:rPr>
                <w:rFonts w:ascii="Calibri" w:hAnsi="Calibri"/>
                <w:b/>
                <w:i w:val="0"/>
                <w:sz w:val="15"/>
              </w:rPr>
              <w:t>Tess CER [Cluster 95% CI]</w:t>
            </w:r>
          </w:p>
        </w:tc>
        <w:tc>
          <w:tcPr>
            <w:tcW w:type="dxa" w:w="1040"/>
            <w:shd w:fill="EAECEF"/>
            <w:shd w:fill="EAECEF"/>
          </w:tcPr>
          <w:p>
            <w:pPr>
              <w:spacing w:before="40" w:after="40" w:line="252" w:lineRule="auto"/>
            </w:pPr>
            <w:r>
              <w:rPr>
                <w:rFonts w:ascii="Calibri" w:hAnsi="Calibri"/>
                <w:b/>
                <w:i w:val="0"/>
                <w:sz w:val="15"/>
              </w:rPr>
              <w:t>Δ (V2 - Tess) [Cluster 95% CI]</w:t>
            </w:r>
          </w:p>
        </w:tc>
        <w:tc>
          <w:tcPr>
            <w:tcW w:type="dxa" w:w="1040"/>
            <w:shd w:fill="EAECEF"/>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w:t>
            </w:r>
          </w:p>
        </w:tc>
        <w:tc>
          <w:tcPr>
            <w:tcW w:type="dxa" w:w="1040"/>
          </w:tcPr>
          <w:p>
            <w:pPr>
              <w:spacing w:before="40" w:after="40" w:line="252" w:lineRule="auto"/>
            </w:pPr>
            <w:r>
              <w:rPr>
                <w:rFonts w:ascii="Calibri" w:hAnsi="Calibri"/>
                <w:b w:val="0"/>
                <w:i w:val="0"/>
                <w:sz w:val="15"/>
              </w:rPr>
              <w:t>0.30% [0.00%, 0.92%]</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b w:val="0"/>
          <w:i/>
          <w:sz w:val="18"/>
        </w:rPr>
        <w:t>Cədvəl 7 üzrə Mühüm Elmi Qeydlər (Şrift qrupları V2 təlim siyahısına görə təyin edilmişdir):</w:t>
        <w:br/>
        <w:t>1. Qrup A şriftləri V1-in öz təlim şriftləridir; V1-in L0 söz xətalarının 94.5%-i (172/182) korpusda 0% olan rəqəm və durğu işarələridir (10/2300 hərf = 0.43% xalis hərf CER; ümumi 10/2472 = 0.40%).</w:t>
        <w:br/>
        <w:t>2. Qrup A Word L0 üzrə V2 CER (0.81%, 20/2472 hərf) ilə Qrup C Word L4 üzrə Tesseract CER (0.81%, 34/4194 hərf) göstəricilərinin eyni olması sırf rəqəmsal təsadüfdür; hər iki göstərici yoxlanmış birbaşa saylardan qaynaqlanır.</w:t>
        <w:br/>
        <w:t>3. Qrup C üzrə 4 müqayisədən yalnız 1-də (Word L4) fərq intervalı sıfırı əhatə etmir (+1.55% [+0.59%, +2.94%]); bu pillədə Tesseract V2 modelini birmənalı üstələyir. Digər 3 halda modellər statistik bərabərdir.</w:t>
        <w:br/>
        <w:t>4.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müqayisə üçün Tesseract 5 bu simvol üzrə ~2% xəta dərəcəsi (L0-da 2.03% [8/394], L4-də 1.78% [7/394]) nümayiş etdirir. Dotless-i (ı/i/İ) üzrə V2 modelində söz səviyyəsində xəta dərəcəsi L0-da 6.52% (9/138) və L4-də 7.25% (10/138) təşkil edir; Tesseract 5-də isə bu göstərici 0.00% – 0.72% aralığındadır (L0-da 0.72% [1/138], L4-də 0.00% [0/138]). Sətir səviyyəsində V2-nin dotless-i xətası L0-da 0.72%, L4-də 2.17%-dir. V2 modelində dotless-i xətalarının əksəriyyəti birbaşa 'ı'&lt;-&gt;'i' deyil, 'i'-&gt;'ü' (58 hal) və 'ı'-&gt;'u' (20 hal) qarışıqlığından ibarətdir və bu xətaların 91.5%-i (97/106) cəmi 3 dar/qeyri-adi şriftdə cəmlənmişdir (Moba_Fanta: 53, Moba_Font: 30, SansSerifCollection: 14).</w:t>
      </w:r>
    </w:p>
    <w:p>
      <w:pPr>
        <w:pStyle w:val="ListBullet"/>
        <w:spacing w:after="60" w:line="276" w:lineRule="auto"/>
      </w:pPr>
      <w:r>
        <w:rPr>
          <w:rFonts w:ascii="Calibri" w:hAnsi="Calibri"/>
          <w:b w:val="0"/>
          <w:i w:val="0"/>
          <w:sz w:val="19"/>
        </w:rPr>
        <w:t>Nadir Diakritik Xətalar (Audit 4 çaşqınlıq cədvəlindən dəqiq saylar və sətirlər):</w:t>
        <w:br/>
        <w:t>• ö -&gt; o xətaları (ö üçün cəmi n=32 instansiya, V2-də 2 xəta [6.25%]; Tesseract-da 0 xəta):</w:t>
        <w:br/>
        <w:t xml:space="preserve">  - ref: 'Köpək' -&gt; hyp: 'Kopək' | Model: V2, Qrup: C, Şrift: SansSerifCollection.ttf, Səviyyə: L4, Rejim: word</w:t>
        <w:br/>
        <w:t xml:space="preserve">  - ref: 'köynək-baju' -&gt; hyp: 'koynək.baju' | Model: V2, Qrup: C, Şrift: SansSerifCollection.ttf, Səviyyə: L4, Rejim: word</w:t>
        <w:br/>
        <w:t xml:space="preserve">  (Tesseract 5 hər iki sözü 'Köpək' və 'köynək-baju' olaraq 100% dəqiq oxumuşdur).</w:t>
        <w:br/>
        <w:t>• o -&gt; ə xətası (V2-də 1 xəta; Tesseract-da 0 xəta):</w:t>
        <w:br/>
        <w:t xml:space="preserve">  - ref: 'Goranboy,' -&gt; hyp: 'Gəranboy,' | Model: V2, Qrup: C, Şrift: cambria.ttc, Səviyyə: L4, Rejim: word</w:t>
        <w:br/>
        <w:t xml:space="preserve">  (Tesseract 5 'Goranboy,' sözünü dəqiq tanımışdır).</w:t>
        <w:br/>
        <w:t>• ç -&gt; s xətası (ç üçün cəmi n=23 instansiya, V2-də 1 xəta [4.35%]; Tesseract-da 0 xəta):</w:t>
        <w:br/>
        <w:t xml:space="preserve">  - ref: 'qaçan' -&gt; hyp: 'qasan' | Model: V2, Qrup: B, Şrift: verdanab.ttf, Səviyyə: L4, Rejim: word</w:t>
        <w:br/>
        <w:t xml:space="preserve">  (Tesseract 5 'qaçan' sözünü tam dəqiq oxumuşdur).</w:t>
        <w:br/>
        <w:t>• c -&gt; e halları (Etalon mətndə hərf səhvi / reference typo):</w:t>
        <w:br/>
        <w:t xml:space="preserve">  - ref: 'dcmokratik' -&gt; hyp: 'demokratik' | Həm V2, həm Tesseract 5 (cambria.ttc, word və line)</w:t>
        <w:br/>
        <w:t xml:space="preserve">  (Qeyd: Etalon korpusda 'demokratik' sözü səhvən 'dcmokratik' daxil edilmişdir. Bu etalon xətası həm V2, həm Tesseract 5 üçün Qrup C L4 CER göstəricilərinə bərabər şəkildə daxil olduğundan, modellər arasındakı fərqə [Δ = V2 - Tess] heç bir təsir göstərmir. Həmçinin bu iki hal c_ç_errors.csv cədvəlində mövcuddur [c-&gt;e], lakin xalis 'ç' sayına [n=23] daxil deyil, çünki sözdə 'ç' deyil, 'c' hərfi yazılmışdır; 'o' hərfində xəta olmadığı üçün o_ö_errors.csv cədvəlinə və n=32 'ö' sayına da daxil deyil).</w:t>
        <w:br/>
        <w:t>• Digər Registr və Simvol Fərqləri:</w:t>
        <w:br/>
        <w:t xml:space="preserve">  - ref: 'C.' -&gt; hyp: 'c.' | Həm V2, həm Tesseract (CascadiaMono.ttf, L0/L4, word)</w:t>
        <w:br/>
        <w:t xml:space="preserve">  - ref: 'Gürcüstan baş hakiminin Qarabağda' -&gt; hyp: 'Cürcüstan baş hakiminin Qarabağda' | V2 (pala.ttf, L0/L4, line; G-&gt;C qarışması)</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br/>
        <w:t>Sətir WER Boşluq Təhlili (Groups B &amp; C, eyni 1076 söz üzrə xəta növləri dekompozisiyası):</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br/>
        <w:br/>
        <w:t>Cədvəl 8. Sətir WER xəta növlərinin dekompozisiyası (Groups B &amp; C, 1076 söz üzrə V2 və Tesseract 5 müqayisəsi):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shd w:fill="EAECEF"/>
            <w:shd w:fill="EAECEF"/>
          </w:tcPr>
          <w:p>
            <w:pPr>
              <w:spacing w:before="40" w:after="40" w:line="252" w:lineRule="auto"/>
            </w:pPr>
            <w:r>
              <w:rPr>
                <w:rFonts w:ascii="Calibri" w:hAnsi="Calibri"/>
                <w:b/>
                <w:i w:val="0"/>
                <w:sz w:val="16"/>
              </w:rPr>
              <w:t>Səviyyə və Model</w:t>
            </w:r>
          </w:p>
        </w:tc>
        <w:tc>
          <w:tcPr>
            <w:tcW w:type="dxa" w:w="1170"/>
            <w:shd w:fill="EAECEF"/>
            <w:shd w:fill="EAECEF"/>
            <w:shd w:fill="EAECEF"/>
            <w:shd w:fill="EAECEF"/>
          </w:tcPr>
          <w:p>
            <w:pPr>
              <w:spacing w:before="40" w:after="40" w:line="252" w:lineRule="auto"/>
            </w:pPr>
            <w:r>
              <w:rPr>
                <w:rFonts w:ascii="Calibri" w:hAnsi="Calibri"/>
                <w:b/>
                <w:i w:val="0"/>
                <w:sz w:val="16"/>
              </w:rPr>
              <w:t>Ümumi Söz (n)</w:t>
            </w:r>
          </w:p>
        </w:tc>
        <w:tc>
          <w:tcPr>
            <w:tcW w:type="dxa" w:w="1170"/>
            <w:shd w:fill="EAECEF"/>
            <w:shd w:fill="EAECEF"/>
            <w:shd w:fill="EAECEF"/>
            <w:shd w:fill="EAECEF"/>
          </w:tcPr>
          <w:p>
            <w:pPr>
              <w:spacing w:before="40" w:after="40" w:line="252" w:lineRule="auto"/>
            </w:pPr>
            <w:r>
              <w:rPr>
                <w:rFonts w:ascii="Calibri" w:hAnsi="Calibri"/>
                <w:b/>
                <w:i w:val="0"/>
                <w:sz w:val="16"/>
              </w:rPr>
              <w:t>Xalis Boşluq Xətası</w:t>
            </w:r>
          </w:p>
        </w:tc>
        <w:tc>
          <w:tcPr>
            <w:tcW w:type="dxa" w:w="1170"/>
            <w:shd w:fill="EAECEF"/>
            <w:shd w:fill="EAECEF"/>
            <w:shd w:fill="EAECEF"/>
            <w:shd w:fill="EAECEF"/>
          </w:tcPr>
          <w:p>
            <w:pPr>
              <w:spacing w:before="40" w:after="40" w:line="252" w:lineRule="auto"/>
            </w:pPr>
            <w:r>
              <w:rPr>
                <w:rFonts w:ascii="Calibri" w:hAnsi="Calibri"/>
                <w:b/>
                <w:i w:val="0"/>
                <w:sz w:val="16"/>
              </w:rPr>
              <w:t>Tək Hərf Xətası</w:t>
            </w:r>
          </w:p>
        </w:tc>
        <w:tc>
          <w:tcPr>
            <w:tcW w:type="dxa" w:w="1170"/>
            <w:shd w:fill="EAECEF"/>
            <w:shd w:fill="EAECEF"/>
            <w:shd w:fill="EAECEF"/>
            <w:shd w:fill="EAECEF"/>
          </w:tcPr>
          <w:p>
            <w:pPr>
              <w:spacing w:before="40" w:after="40" w:line="252" w:lineRule="auto"/>
            </w:pPr>
            <w:r>
              <w:rPr>
                <w:rFonts w:ascii="Calibri" w:hAnsi="Calibri"/>
                <w:b/>
                <w:i w:val="0"/>
                <w:sz w:val="16"/>
              </w:rPr>
              <w:t>Çox-Hərf Xətası</w:t>
            </w:r>
          </w:p>
        </w:tc>
        <w:tc>
          <w:tcPr>
            <w:tcW w:type="dxa" w:w="1170"/>
            <w:shd w:fill="EAECEF"/>
            <w:shd w:fill="EAECEF"/>
            <w:shd w:fill="EAECEF"/>
            <w:shd w:fill="EAECEF"/>
          </w:tcPr>
          <w:p>
            <w:pPr>
              <w:spacing w:before="40" w:after="40" w:line="252" w:lineRule="auto"/>
            </w:pPr>
            <w:r>
              <w:rPr>
                <w:rFonts w:ascii="Calibri" w:hAnsi="Calibri"/>
                <w:b/>
                <w:i w:val="0"/>
                <w:sz w:val="16"/>
              </w:rPr>
              <w:t>Səhv Söz Sayı</w:t>
            </w:r>
          </w:p>
        </w:tc>
        <w:tc>
          <w:tcPr>
            <w:tcW w:type="dxa" w:w="1170"/>
            <w:shd w:fill="EAECEF"/>
            <w:shd w:fill="EAECEF"/>
            <w:shd w:fill="EAECEF"/>
            <w:shd w:fill="EAECEF"/>
          </w:tcPr>
          <w:p>
            <w:pPr>
              <w:spacing w:before="40" w:after="40" w:line="252" w:lineRule="auto"/>
            </w:pPr>
            <w:r>
              <w:rPr>
                <w:rFonts w:ascii="Calibri" w:hAnsi="Calibri"/>
                <w:b/>
                <w:i w:val="0"/>
                <w:sz w:val="16"/>
              </w:rPr>
              <w:t>Səhv söz payı (%)</w:t>
            </w:r>
          </w:p>
        </w:tc>
        <w:tc>
          <w:tcPr>
            <w:tcW w:type="dxa" w:w="1170"/>
            <w:shd w:fill="EAECEF"/>
            <w:shd w:fill="EAECEF"/>
            <w:shd w:fill="EAECEF"/>
            <w:shd w:fill="EAECEF"/>
          </w:tcPr>
          <w:p>
            <w:pPr>
              <w:spacing w:before="40" w:after="40" w:line="252" w:lineRule="auto"/>
            </w:pPr>
            <w:r>
              <w:rPr>
                <w:rFonts w:ascii="Calibri" w:hAnsi="Calibri"/>
                <w:b/>
                <w:i w:val="0"/>
                <w:sz w:val="16"/>
              </w:rPr>
              <w:t>Boşluq Xətası Payı (%)</w:t>
            </w:r>
          </w:p>
        </w:tc>
      </w:tr>
      <w:tr>
        <w:tc>
          <w:tcPr>
            <w:tcW w:type="dxa" w:w="1170"/>
          </w:tcPr>
          <w:p>
            <w:pPr>
              <w:spacing w:before="40" w:after="40" w:line="252" w:lineRule="auto"/>
            </w:pPr>
            <w:r>
              <w:rPr>
                <w:rFonts w:ascii="Calibri" w:hAnsi="Calibri"/>
                <w:b w:val="0"/>
                <w:i w:val="0"/>
                <w:sz w:val="16"/>
              </w:rPr>
              <w:t>L0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46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4</w:t>
            </w:r>
          </w:p>
        </w:tc>
        <w:tc>
          <w:tcPr>
            <w:tcW w:type="dxa" w:w="1170"/>
          </w:tcPr>
          <w:p>
            <w:pPr>
              <w:spacing w:before="40" w:after="40" w:line="252" w:lineRule="auto"/>
            </w:pPr>
            <w:r>
              <w:rPr>
                <w:rFonts w:ascii="Calibri" w:hAnsi="Calibri"/>
                <w:b w:val="0"/>
                <w:i w:val="0"/>
                <w:sz w:val="16"/>
              </w:rPr>
              <w:t>58</w:t>
            </w:r>
          </w:p>
        </w:tc>
        <w:tc>
          <w:tcPr>
            <w:tcW w:type="dxa" w:w="1170"/>
          </w:tcPr>
          <w:p>
            <w:pPr>
              <w:spacing w:before="40" w:after="40" w:line="252" w:lineRule="auto"/>
            </w:pPr>
            <w:r>
              <w:rPr>
                <w:rFonts w:ascii="Calibri" w:hAnsi="Calibri"/>
                <w:b w:val="0"/>
                <w:i w:val="0"/>
                <w:sz w:val="16"/>
              </w:rPr>
              <w:t>5.39%</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w:t>
            </w:r>
          </w:p>
        </w:tc>
        <w:tc>
          <w:tcPr>
            <w:tcW w:type="dxa" w:w="1170"/>
          </w:tcPr>
          <w:p>
            <w:pPr>
              <w:spacing w:before="40" w:after="40" w:line="252" w:lineRule="auto"/>
            </w:pPr>
            <w:r>
              <w:rPr>
                <w:rFonts w:ascii="Calibri" w:hAnsi="Calibri"/>
                <w:b w:val="0"/>
                <w:i w:val="0"/>
                <w:sz w:val="16"/>
              </w:rPr>
              <w:t>22</w:t>
            </w:r>
          </w:p>
        </w:tc>
        <w:tc>
          <w:tcPr>
            <w:tcW w:type="dxa" w:w="1170"/>
          </w:tcPr>
          <w:p>
            <w:pPr>
              <w:spacing w:before="40" w:after="40" w:line="252" w:lineRule="auto"/>
            </w:pPr>
            <w:r>
              <w:rPr>
                <w:rFonts w:ascii="Calibri" w:hAnsi="Calibri"/>
                <w:b w:val="0"/>
                <w:i w:val="0"/>
                <w:sz w:val="16"/>
              </w:rPr>
              <w:t>7</w:t>
            </w:r>
          </w:p>
        </w:tc>
        <w:tc>
          <w:tcPr>
            <w:tcW w:type="dxa" w:w="1170"/>
          </w:tcPr>
          <w:p>
            <w:pPr>
              <w:spacing w:before="40" w:after="40" w:line="252" w:lineRule="auto"/>
            </w:pPr>
            <w:r>
              <w:rPr>
                <w:rFonts w:ascii="Calibri" w:hAnsi="Calibri"/>
                <w:b w:val="0"/>
                <w:i w:val="0"/>
                <w:sz w:val="16"/>
              </w:rPr>
              <w:t>29</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64</w:t>
            </w:r>
          </w:p>
        </w:tc>
        <w:tc>
          <w:tcPr>
            <w:tcW w:type="dxa" w:w="1170"/>
          </w:tcPr>
          <w:p>
            <w:pPr>
              <w:spacing w:before="40" w:after="40" w:line="252" w:lineRule="auto"/>
            </w:pPr>
            <w:r>
              <w:rPr>
                <w:rFonts w:ascii="Calibri" w:hAnsi="Calibri"/>
                <w:b w:val="0"/>
                <w:i w:val="0"/>
                <w:sz w:val="16"/>
              </w:rPr>
              <w:t>26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98</w:t>
            </w:r>
          </w:p>
        </w:tc>
        <w:tc>
          <w:tcPr>
            <w:tcW w:type="dxa" w:w="1170"/>
          </w:tcPr>
          <w:p>
            <w:pPr>
              <w:spacing w:before="40" w:after="40" w:line="252" w:lineRule="auto"/>
            </w:pPr>
            <w:r>
              <w:rPr>
                <w:rFonts w:ascii="Calibri" w:hAnsi="Calibri"/>
                <w:b w:val="0"/>
                <w:i w:val="0"/>
                <w:sz w:val="16"/>
              </w:rPr>
              <w:t>9.11%</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w:t>
            </w:r>
          </w:p>
        </w:tc>
        <w:tc>
          <w:tcPr>
            <w:tcW w:type="dxa" w:w="1170"/>
          </w:tcPr>
          <w:p>
            <w:pPr>
              <w:spacing w:before="40" w:after="40" w:line="252" w:lineRule="auto"/>
            </w:pPr>
            <w:r>
              <w:rPr>
                <w:rFonts w:ascii="Calibri" w:hAnsi="Calibri"/>
                <w:b w:val="0"/>
                <w:i w:val="0"/>
                <w:sz w:val="16"/>
              </w:rPr>
              <w:t>23</w:t>
            </w:r>
          </w:p>
        </w:tc>
        <w:tc>
          <w:tcPr>
            <w:tcW w:type="dxa" w:w="1170"/>
          </w:tcPr>
          <w:p>
            <w:pPr>
              <w:spacing w:before="40" w:after="40" w:line="252" w:lineRule="auto"/>
            </w:pPr>
            <w:r>
              <w:rPr>
                <w:rFonts w:ascii="Calibri" w:hAnsi="Calibri"/>
                <w:b w:val="0"/>
                <w:i w:val="0"/>
                <w:sz w:val="16"/>
              </w:rPr>
              <w:t>9</w:t>
            </w:r>
          </w:p>
        </w:tc>
        <w:tc>
          <w:tcPr>
            <w:tcW w:type="dxa" w:w="1170"/>
          </w:tcPr>
          <w:p>
            <w:pPr>
              <w:spacing w:before="40" w:after="40" w:line="252" w:lineRule="auto"/>
            </w:pPr>
            <w:r>
              <w:rPr>
                <w:rFonts w:ascii="Calibri" w:hAnsi="Calibri"/>
                <w:b w:val="0"/>
                <w:i w:val="0"/>
                <w:sz w:val="16"/>
              </w:rPr>
              <w:t>34</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build_v2_datasets.py skripti vasitəsilə generasiya edilmişdir (Dəyişdirilmə tarixi: 2026-10-23 11:29:19, SHA256: dc1fd149d6a39d4f60630fc9159ab8384ae2de294f5a0bd7ac3abab354083352). Skript generate_data.py daxilindəki make_split funksiyasını və TRDG GeneratorFromStrings mühərrikini çağırmışdır.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1 və Foto 2 kəsimləri, etalon mənşəyi: Foto 1 kəsimləri avtomatik icra edildiyi üçün qismən sürüşmüşdür (sətir #4 etalon uyğunsuzluğu). Foto 2 kəsim qutuları isə Tesseract image_to_data çıxarışının təhlilindən sonra test_real_doc2.py faylına əllə daxil edilmişdir (müstəqil deyil). Etalon mətnlər sənəd fotosundan əllə transkripsiya edilmişdir (ikinci annotator tərəfindən yoxlanmamışdır).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fiziki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də qəliz əl/dekorativ şriftlərdə (Inkfree L0 söz: Tesseract 14.20% vs V2 30.69%) layihə modelindən üstündür. Tahoma sətirlərində isə fərq nominaldır və statistik əhəmiyyətli deyil (Tesseract 0.22% vs V2 0.26%, n=500).</w:t>
        <w:br/>
        <w:t>8. Test kəsimlərində generator xətası: make_sim_ladder.py skriptində PIL ImageFont qutularının tərtibində kəsim xətası səbəbindən sözlərin 2.3%-də (24/1049 kəsim, məs. 'və' sözündə 11.8% mürəkkəb itkisi) mürəkkəb kəsilməsi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Calibri" w:hAnsi="Calibri"/>
          <w:b w:val="0"/>
          <w:i w:val="0"/>
          <w:sz w:val="19"/>
        </w:rPr>
        <w:t>3. Tesseract OCR. (2018). Neural nets in Tesseract 4.00. GitHub documentation: https://github.com/tesseract-ocr/tesseract/wiki/NeuralNetsInTesseract4.00 (Müraciət tarixi: 29 Oktyabr 2026).</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