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82B49"/>
          <w:sz w:val="40"/>
        </w:rPr>
        <w:t>Session 14 - Task 5: DAX Data Types &amp; Real-World Mapping</w:t>
      </w:r>
    </w:p>
    <w:p>
      <w:pPr>
        <w:spacing w:after="280"/>
      </w:pPr>
      <w:r>
        <w:rPr>
          <w:rFonts w:ascii="Calibri" w:hAnsi="Calibri"/>
          <w:i/>
          <w:color w:val="2980B9"/>
          <w:sz w:val="22"/>
        </w:rPr>
        <w:t>Topic: DAX Basics - Evaluation of Data Types Across Tasks 1 to 4 with Industry App Examples</w:t>
      </w:r>
    </w:p>
    <w:tbl>
      <w:tblPr>
        <w:tblW w:type="auto" w:w="0"/>
        <w:jc w:val="center"/>
        <w:tblLayout w:type="fixed"/>
        <w:tblLook w:firstColumn="1" w:firstRow="1" w:lastColumn="0" w:lastRow="0" w:noHBand="0" w:noVBand="1" w:val="04A0"/>
      </w:tblPr>
      <w:tblGrid>
        <w:gridCol w:w="9936"/>
      </w:tblGrid>
      <w:tr>
        <w:tc>
          <w:tcPr>
            <w:tcW w:type="dxa" w:w="9936"/>
            <w:shd w:fill="F0F4F8"/>
            <w:tcMar>
              <w:top w:w="120" w:type="dxa"/>
              <w:bottom w:w="120" w:type="dxa"/>
              <w:left w:w="160" w:type="dxa"/>
              <w:right w:w="160" w:type="dxa"/>
            </w:tcMar>
          </w:tcPr>
          <w:p>
            <w:r>
              <w:rPr>
                <w:b/>
                <w:color w:val="182B49"/>
                <w:sz w:val="21"/>
              </w:rPr>
              <w:t>Task 5 Objective &amp; Scope:</w:t>
              <w:br/>
            </w:r>
            <w:r>
              <w:rPr>
                <w:color w:val="282828"/>
                <w:sz w:val="19"/>
              </w:rPr>
              <w:t>List all DAX data types utilized across Session 14 Tasks 1 through 4 (Currency, Whole Number, Decimal Number, Text, etc.), explain their technical behavior in DAX engine storage, and map each type to a concrete, real-world application field from popular digital platforms such as Zomato, Paytm, Flipkart, and BookMyShow.</w:t>
            </w:r>
          </w:p>
        </w:tc>
      </w:tr>
    </w:tbl>
    <w:p>
      <w:pPr>
        <w:spacing w:after="160"/>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82B49"/>
            <w:tcMar>
              <w:top w:w="90" w:type="dxa"/>
              <w:bottom w:w="90" w:type="dxa"/>
              <w:left w:w="120" w:type="dxa"/>
              <w:right w:w="120" w:type="dxa"/>
            </w:tcMar>
          </w:tcPr>
          <w:p>
            <w:r>
              <w:rPr>
                <w:b/>
                <w:color w:val="FFFFFF"/>
                <w:sz w:val="19"/>
              </w:rPr>
              <w:t>DAX Data Type</w:t>
            </w:r>
          </w:p>
        </w:tc>
        <w:tc>
          <w:tcPr>
            <w:tcW w:type="dxa" w:w="2592"/>
            <w:shd w:fill="182B49"/>
            <w:tcMar>
              <w:top w:w="90" w:type="dxa"/>
              <w:bottom w:w="90" w:type="dxa"/>
              <w:left w:w="120" w:type="dxa"/>
              <w:right w:w="120" w:type="dxa"/>
            </w:tcMar>
          </w:tcPr>
          <w:p>
            <w:r>
              <w:rPr>
                <w:b/>
                <w:color w:val="FFFFFF"/>
                <w:sz w:val="19"/>
              </w:rPr>
              <w:t>Session 14 Usage (Tasks 1-4)</w:t>
            </w:r>
          </w:p>
        </w:tc>
        <w:tc>
          <w:tcPr>
            <w:tcW w:type="dxa" w:w="1728"/>
            <w:shd w:fill="182B49"/>
            <w:tcMar>
              <w:top w:w="90" w:type="dxa"/>
              <w:bottom w:w="90" w:type="dxa"/>
              <w:left w:w="120" w:type="dxa"/>
              <w:right w:w="120" w:type="dxa"/>
            </w:tcMar>
          </w:tcPr>
          <w:p>
            <w:r>
              <w:rPr>
                <w:b/>
                <w:color w:val="FFFFFF"/>
                <w:sz w:val="19"/>
              </w:rPr>
              <w:t>Real-World App</w:t>
            </w:r>
          </w:p>
        </w:tc>
        <w:tc>
          <w:tcPr>
            <w:tcW w:type="dxa" w:w="3600"/>
            <w:shd w:fill="182B49"/>
            <w:tcMar>
              <w:top w:w="90" w:type="dxa"/>
              <w:bottom w:w="90" w:type="dxa"/>
              <w:left w:w="120" w:type="dxa"/>
              <w:right w:w="120" w:type="dxa"/>
            </w:tcMar>
          </w:tcPr>
          <w:p>
            <w:r>
              <w:rPr>
                <w:b/>
                <w:color w:val="FFFFFF"/>
                <w:sz w:val="19"/>
              </w:rPr>
              <w:t>App Field Example &amp; Purpose</w:t>
            </w:r>
          </w:p>
        </w:tc>
      </w:tr>
      <w:tr>
        <w:tc>
          <w:tcPr>
            <w:tcW w:type="dxa" w:w="2016"/>
            <w:shd w:fill="FFFFFF"/>
            <w:tcMar>
              <w:top w:w="80" w:type="dxa"/>
              <w:bottom w:w="80" w:type="dxa"/>
              <w:left w:w="110" w:type="dxa"/>
              <w:right w:w="110" w:type="dxa"/>
            </w:tcMar>
          </w:tcPr>
          <w:p>
            <w:r>
              <w:rPr>
                <w:color w:val="282828"/>
                <w:sz w:val="18"/>
              </w:rPr>
              <w:t>Decimal Number</w:t>
              <w:br/>
              <w:t>(Double / Float)</w:t>
            </w:r>
          </w:p>
        </w:tc>
        <w:tc>
          <w:tcPr>
            <w:tcW w:type="dxa" w:w="2592"/>
            <w:shd w:fill="FFFFFF"/>
            <w:tcMar>
              <w:top w:w="80" w:type="dxa"/>
              <w:bottom w:w="80" w:type="dxa"/>
              <w:left w:w="110" w:type="dxa"/>
              <w:right w:w="110" w:type="dxa"/>
            </w:tcMar>
          </w:tcPr>
          <w:p>
            <w:r>
              <w:rPr>
                <w:color w:val="282828"/>
                <w:sz w:val="18"/>
              </w:rPr>
              <w:t>Task 1: OrderAmountINR (OrderAmount * 83)</w:t>
              <w:br/>
              <w:t>Task 4: DiscountedPrice &amp; TotalDiscountedSales</w:t>
            </w:r>
          </w:p>
        </w:tc>
        <w:tc>
          <w:tcPr>
            <w:tcW w:type="dxa" w:w="1728"/>
            <w:shd w:fill="FFFFFF"/>
            <w:tcMar>
              <w:top w:w="80" w:type="dxa"/>
              <w:bottom w:w="80" w:type="dxa"/>
              <w:left w:w="110" w:type="dxa"/>
              <w:right w:w="110" w:type="dxa"/>
            </w:tcMar>
          </w:tcPr>
          <w:p>
            <w:r>
              <w:rPr>
                <w:color w:val="282828"/>
                <w:sz w:val="18"/>
              </w:rPr>
              <w:t>Paytm / PhonePe</w:t>
            </w:r>
          </w:p>
        </w:tc>
        <w:tc>
          <w:tcPr>
            <w:tcW w:type="dxa" w:w="3600"/>
            <w:shd w:fill="FFFFFF"/>
            <w:tcMar>
              <w:top w:w="80" w:type="dxa"/>
              <w:bottom w:w="80" w:type="dxa"/>
              <w:left w:w="110" w:type="dxa"/>
              <w:right w:w="110" w:type="dxa"/>
            </w:tcMar>
          </w:tcPr>
          <w:p>
            <w:r>
              <w:rPr>
                <w:color w:val="282828"/>
                <w:sz w:val="18"/>
              </w:rPr>
              <w:t>Transaction Amount (e.g., Wallet balance, UPI bill split: ₹1,450.75). Allows high-precision fractional currency calculations without rounding loss.</w:t>
            </w:r>
          </w:p>
        </w:tc>
      </w:tr>
      <w:tr>
        <w:tc>
          <w:tcPr>
            <w:tcW w:type="dxa" w:w="2016"/>
            <w:shd w:fill="F8FAFC"/>
            <w:tcMar>
              <w:top w:w="80" w:type="dxa"/>
              <w:bottom w:w="80" w:type="dxa"/>
              <w:left w:w="110" w:type="dxa"/>
              <w:right w:w="110" w:type="dxa"/>
            </w:tcMar>
          </w:tcPr>
          <w:p>
            <w:r>
              <w:rPr>
                <w:color w:val="282828"/>
                <w:sz w:val="18"/>
              </w:rPr>
              <w:t>Whole Number</w:t>
              <w:br/>
              <w:t>(Integer / Int64)</w:t>
            </w:r>
          </w:p>
        </w:tc>
        <w:tc>
          <w:tcPr>
            <w:tcW w:type="dxa" w:w="2592"/>
            <w:shd w:fill="F8FAFC"/>
            <w:tcMar>
              <w:top w:w="80" w:type="dxa"/>
              <w:bottom w:w="80" w:type="dxa"/>
              <w:left w:w="110" w:type="dxa"/>
              <w:right w:w="110" w:type="dxa"/>
            </w:tcMar>
          </w:tcPr>
          <w:p>
            <w:r>
              <w:rPr>
                <w:color w:val="282828"/>
                <w:sz w:val="18"/>
              </w:rPr>
              <w:t>Task 2: TotalLikes (SUM of Likes in SocialPosts)</w:t>
            </w:r>
          </w:p>
        </w:tc>
        <w:tc>
          <w:tcPr>
            <w:tcW w:type="dxa" w:w="1728"/>
            <w:shd w:fill="F8FAFC"/>
            <w:tcMar>
              <w:top w:w="80" w:type="dxa"/>
              <w:bottom w:w="80" w:type="dxa"/>
              <w:left w:w="110" w:type="dxa"/>
              <w:right w:w="110" w:type="dxa"/>
            </w:tcMar>
          </w:tcPr>
          <w:p>
            <w:r>
              <w:rPr>
                <w:color w:val="282828"/>
                <w:sz w:val="18"/>
              </w:rPr>
              <w:t>Instagram / YouTube</w:t>
            </w:r>
          </w:p>
        </w:tc>
        <w:tc>
          <w:tcPr>
            <w:tcW w:type="dxa" w:w="3600"/>
            <w:shd w:fill="F8FAFC"/>
            <w:tcMar>
              <w:top w:w="80" w:type="dxa"/>
              <w:bottom w:w="80" w:type="dxa"/>
              <w:left w:w="110" w:type="dxa"/>
              <w:right w:w="110" w:type="dxa"/>
            </w:tcMar>
          </w:tcPr>
          <w:p>
            <w:r>
              <w:rPr>
                <w:color w:val="282828"/>
                <w:sz w:val="18"/>
              </w:rPr>
              <w:t>Total Like / View Count (e.g., 25,430 likes). Discrete numerical counts representing non-fractional transactional entities.</w:t>
            </w:r>
          </w:p>
        </w:tc>
      </w:tr>
      <w:tr>
        <w:tc>
          <w:tcPr>
            <w:tcW w:type="dxa" w:w="2016"/>
            <w:shd w:fill="FFFFFF"/>
            <w:tcMar>
              <w:top w:w="80" w:type="dxa"/>
              <w:bottom w:w="80" w:type="dxa"/>
              <w:left w:w="110" w:type="dxa"/>
              <w:right w:w="110" w:type="dxa"/>
            </w:tcMar>
          </w:tcPr>
          <w:p>
            <w:r>
              <w:rPr>
                <w:color w:val="282828"/>
                <w:sz w:val="18"/>
              </w:rPr>
              <w:t>Decimal Number</w:t>
              <w:br/>
              <w:t>(Floating Point)</w:t>
            </w:r>
          </w:p>
        </w:tc>
        <w:tc>
          <w:tcPr>
            <w:tcW w:type="dxa" w:w="2592"/>
            <w:shd w:fill="FFFFFF"/>
            <w:tcMar>
              <w:top w:w="80" w:type="dxa"/>
              <w:bottom w:w="80" w:type="dxa"/>
              <w:left w:w="110" w:type="dxa"/>
              <w:right w:w="110" w:type="dxa"/>
            </w:tcMar>
          </w:tcPr>
          <w:p>
            <w:r>
              <w:rPr>
                <w:color w:val="282828"/>
                <w:sz w:val="18"/>
              </w:rPr>
              <w:t>Task 3: Average UserRating (AVERAGE of UserRating)</w:t>
            </w:r>
          </w:p>
        </w:tc>
        <w:tc>
          <w:tcPr>
            <w:tcW w:type="dxa" w:w="1728"/>
            <w:shd w:fill="FFFFFF"/>
            <w:tcMar>
              <w:top w:w="80" w:type="dxa"/>
              <w:bottom w:w="80" w:type="dxa"/>
              <w:left w:w="110" w:type="dxa"/>
              <w:right w:w="110" w:type="dxa"/>
            </w:tcMar>
          </w:tcPr>
          <w:p>
            <w:r>
              <w:rPr>
                <w:color w:val="282828"/>
                <w:sz w:val="18"/>
              </w:rPr>
              <w:t>Zomato / Swiggy</w:t>
            </w:r>
          </w:p>
        </w:tc>
        <w:tc>
          <w:tcPr>
            <w:tcW w:type="dxa" w:w="3600"/>
            <w:shd w:fill="FFFFFF"/>
            <w:tcMar>
              <w:top w:w="80" w:type="dxa"/>
              <w:bottom w:w="80" w:type="dxa"/>
              <w:left w:w="110" w:type="dxa"/>
              <w:right w:w="110" w:type="dxa"/>
            </w:tcMar>
          </w:tcPr>
          <w:p>
            <w:r>
              <w:rPr>
                <w:color w:val="282828"/>
                <w:sz w:val="18"/>
              </w:rPr>
              <w:t>Restaurant Rating (e.g., 4.3 out of 5.0 stars). Captures fractional averages derived from multiple user reviews.</w:t>
            </w:r>
          </w:p>
        </w:tc>
      </w:tr>
      <w:tr>
        <w:tc>
          <w:tcPr>
            <w:tcW w:type="dxa" w:w="2016"/>
            <w:shd w:fill="F8FAFC"/>
            <w:tcMar>
              <w:top w:w="80" w:type="dxa"/>
              <w:bottom w:w="80" w:type="dxa"/>
              <w:left w:w="110" w:type="dxa"/>
              <w:right w:w="110" w:type="dxa"/>
            </w:tcMar>
          </w:tcPr>
          <w:p>
            <w:r>
              <w:rPr>
                <w:color w:val="282828"/>
                <w:sz w:val="18"/>
              </w:rPr>
              <w:t>Text / String</w:t>
            </w:r>
          </w:p>
        </w:tc>
        <w:tc>
          <w:tcPr>
            <w:tcW w:type="dxa" w:w="2592"/>
            <w:shd w:fill="F8FAFC"/>
            <w:tcMar>
              <w:top w:w="80" w:type="dxa"/>
              <w:bottom w:w="80" w:type="dxa"/>
              <w:left w:w="110" w:type="dxa"/>
              <w:right w:w="110" w:type="dxa"/>
            </w:tcMar>
          </w:tcPr>
          <w:p>
            <w:r>
              <w:rPr>
                <w:color w:val="282828"/>
                <w:sz w:val="18"/>
              </w:rPr>
              <w:t>Task 3: Genre (Slicer field in Movies table)</w:t>
            </w:r>
          </w:p>
        </w:tc>
        <w:tc>
          <w:tcPr>
            <w:tcW w:type="dxa" w:w="1728"/>
            <w:shd w:fill="F8FAFC"/>
            <w:tcMar>
              <w:top w:w="80" w:type="dxa"/>
              <w:bottom w:w="80" w:type="dxa"/>
              <w:left w:w="110" w:type="dxa"/>
              <w:right w:w="110" w:type="dxa"/>
            </w:tcMar>
          </w:tcPr>
          <w:p>
            <w:r>
              <w:rPr>
                <w:color w:val="282828"/>
                <w:sz w:val="18"/>
              </w:rPr>
              <w:t>BookMyShow / Netflix</w:t>
            </w:r>
          </w:p>
        </w:tc>
        <w:tc>
          <w:tcPr>
            <w:tcW w:type="dxa" w:w="3600"/>
            <w:shd w:fill="F8FAFC"/>
            <w:tcMar>
              <w:top w:w="80" w:type="dxa"/>
              <w:bottom w:w="80" w:type="dxa"/>
              <w:left w:w="110" w:type="dxa"/>
              <w:right w:w="110" w:type="dxa"/>
            </w:tcMar>
          </w:tcPr>
          <w:p>
            <w:r>
              <w:rPr>
                <w:color w:val="282828"/>
                <w:sz w:val="18"/>
              </w:rPr>
              <w:t>Category / Genre Tag (e.g., 'Action', 'Comedy', 'Thriller'). Used for categorical classification, filtering, and slicers.</w:t>
            </w:r>
          </w:p>
        </w:tc>
      </w:tr>
      <w:tr>
        <w:tc>
          <w:tcPr>
            <w:tcW w:type="dxa" w:w="2016"/>
            <w:shd w:fill="FFFFFF"/>
            <w:tcMar>
              <w:top w:w="80" w:type="dxa"/>
              <w:bottom w:w="80" w:type="dxa"/>
              <w:left w:w="110" w:type="dxa"/>
              <w:right w:w="110" w:type="dxa"/>
            </w:tcMar>
          </w:tcPr>
          <w:p>
            <w:r>
              <w:rPr>
                <w:color w:val="282828"/>
                <w:sz w:val="18"/>
              </w:rPr>
              <w:t>Currency</w:t>
              <w:br/>
              <w:t>(Fixed Decimal Number)</w:t>
            </w:r>
          </w:p>
        </w:tc>
        <w:tc>
          <w:tcPr>
            <w:tcW w:type="dxa" w:w="2592"/>
            <w:shd w:fill="FFFFFF"/>
            <w:tcMar>
              <w:top w:w="80" w:type="dxa"/>
              <w:bottom w:w="80" w:type="dxa"/>
              <w:left w:w="110" w:type="dxa"/>
              <w:right w:w="110" w:type="dxa"/>
            </w:tcMar>
          </w:tcPr>
          <w:p>
            <w:r>
              <w:rPr>
                <w:color w:val="282828"/>
                <w:sz w:val="18"/>
              </w:rPr>
              <w:t>Task 4: Price &amp; Discount (Flipkart Products)</w:t>
            </w:r>
          </w:p>
        </w:tc>
        <w:tc>
          <w:tcPr>
            <w:tcW w:type="dxa" w:w="1728"/>
            <w:shd w:fill="FFFFFF"/>
            <w:tcMar>
              <w:top w:w="80" w:type="dxa"/>
              <w:bottom w:w="80" w:type="dxa"/>
              <w:left w:w="110" w:type="dxa"/>
              <w:right w:w="110" w:type="dxa"/>
            </w:tcMar>
          </w:tcPr>
          <w:p>
            <w:r>
              <w:rPr>
                <w:color w:val="282828"/>
                <w:sz w:val="18"/>
              </w:rPr>
              <w:t>Flipkart / Amazon</w:t>
            </w:r>
          </w:p>
        </w:tc>
        <w:tc>
          <w:tcPr>
            <w:tcW w:type="dxa" w:w="3600"/>
            <w:shd w:fill="FFFFFF"/>
            <w:tcMar>
              <w:top w:w="80" w:type="dxa"/>
              <w:bottom w:w="80" w:type="dxa"/>
              <w:left w:w="110" w:type="dxa"/>
              <w:right w:w="110" w:type="dxa"/>
            </w:tcMar>
          </w:tcPr>
          <w:p>
            <w:r>
              <w:rPr>
                <w:color w:val="282828"/>
                <w:sz w:val="18"/>
              </w:rPr>
              <w:t>Product Listed Price &amp; Discount (e.g., ₹1,999.00). Stores up to 4 decimal places with exact fixed precision to eliminate floating-point rounding errors.</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F5F8FA"/>
            <w:tcMar>
              <w:top w:w="120" w:type="dxa"/>
              <w:bottom w:w="120" w:type="dxa"/>
              <w:left w:w="160" w:type="dxa"/>
              <w:right w:w="160" w:type="dxa"/>
            </w:tcMar>
          </w:tcPr>
          <w:p>
            <w:r>
              <w:rPr>
                <w:b/>
                <w:color w:val="182B49"/>
                <w:sz w:val="21"/>
              </w:rPr>
              <w:t>Technical Summary &amp; Best Practices for DAX Data Types:</w:t>
              <w:br/>
            </w:r>
            <w:r>
              <w:rPr>
                <w:color w:val="282828"/>
                <w:sz w:val="19"/>
              </w:rPr>
              <w:t>1. Decimal Number vs. Fixed Decimal Number (Currency): Standard Decimal Numbers use 64-bit floating-point representation, which can occasionally introduce minuscule rounding artifacts. For financial systems (like Paytm or Flipkart checkout), the Fixed Decimal Number (Currency) type is preferred because it strictly pins calculations to four decimal points.</w:t>
              <w:br/>
              <w:br/>
              <w:t>2. Whole Number: Crucial for integer aggregates and foreign key relationship keys (e.g., MatchID, UserID, Likes count). VertiPaq optimizes integer compression significantly better than strings.</w:t>
              <w:br/>
              <w:br/>
              <w:t>3. Text: Non-numeric dimension attributes. Essential for categorical grouping (Genre, City), but should never be used on numeric ID columns when high query performance is required.</w:t>
              <w:br/>
              <w:br/>
              <w:t>4. Type Coercion: DAX automatically performs implicit type conversion (e.g., converting text numbers to numeric when mathematical operators are applied), but defining explicit data types in Power Query prevents unexpected runtime errors.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