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4"/>
        </w:rPr>
        <w:t>POWER BI ASSESSMENT — MODULE 5</w:t>
      </w:r>
    </w:p>
    <w:p>
      <w:pPr>
        <w:spacing w:after="280"/>
      </w:pPr>
      <w:r>
        <w:rPr>
          <w:rFonts w:ascii="Calibri" w:hAnsi="Calibri"/>
          <w:b/>
          <w:color w:val="355F8E"/>
          <w:sz w:val="26"/>
        </w:rPr>
        <w:t>SECTION D: AI-AUGMENTED LEARNING &amp; DAX DEBUGGING</w:t>
        <w:br/>
        <w:t>MoM Revenue Growth % Analysis &amp;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Task:</w:t>
            </w:r>
            <w:r>
              <w:rPr>
                <w:color w:val="475569"/>
                <w:sz w:val="20"/>
              </w:rPr>
              <w:t xml:space="preserve"> Section D — AI-Augmented Learning</w:t>
            </w:r>
          </w:p>
        </w:tc>
        <w:tc>
          <w:tcPr>
            <w:tcW w:type="dxa" w:w="49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Module:</w:t>
            </w:r>
            <w:r>
              <w:rPr>
                <w:color w:val="475569"/>
                <w:sz w:val="20"/>
              </w:rPr>
              <w:t xml:space="preserve"> Module 5 — Comprehensive Capstone</w:t>
            </w:r>
          </w:p>
        </w:tc>
      </w:tr>
      <w:tr>
        <w:tc>
          <w:tcPr>
            <w:tcW w:type="dxa" w:w="49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Component:</w:t>
            </w:r>
            <w:r>
              <w:rPr>
                <w:color w:val="475569"/>
                <w:sz w:val="20"/>
              </w:rPr>
              <w:t xml:space="preserve"> DAX Debugging &amp; Validation</w:t>
            </w:r>
          </w:p>
        </w:tc>
        <w:tc>
          <w:tcPr>
            <w:tcW w:type="dxa" w:w="49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Deliverables:</w:t>
            </w:r>
            <w:r>
              <w:rPr>
                <w:color w:val="475569"/>
                <w:sz w:val="20"/>
              </w:rPr>
              <w:t xml:space="preserve"> Prompt, Code Comparison, Technical Note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8"/>
        </w:rPr>
        <w:t>1. The Exact Prompt Given to AI</w:t>
      </w:r>
    </w:p>
    <w:p>
      <w:pPr>
        <w:spacing w:after="80"/>
      </w:pPr>
      <w:r>
        <w:rPr>
          <w:sz w:val="20"/>
        </w:rPr>
        <w:t>The following structured prompt was supplied to the AI code-assistant to generate an advanced time-intelligence DAX calculation: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>"Write a production-ready DAX measure for Power BI to calculate Month-over-Month (MoM) Revenue Growth Percentage for the FoodRush delivery dataset. The data model contains an 'Orders' fact table (with TotalRevenue and OrderDate) and a 'Date_Dimension' calendar table. The measure must safely handle divide-by-zero scenarios and blank values during the initial historical month, returning a clean percentage formatted output."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8"/>
        </w:rPr>
        <w:t>2. AI's Original DAX Code vs. Corrected Production Version</w:t>
      </w:r>
    </w:p>
    <w:p>
      <w:pPr>
        <w:keepNext/>
        <w:spacing w:before="200" w:after="60"/>
      </w:pPr>
      <w:r>
        <w:rPr>
          <w:rFonts w:ascii="Calibri" w:hAnsi="Calibri"/>
          <w:b/>
          <w:color w:val="1E4678"/>
          <w:sz w:val="23"/>
        </w:rPr>
        <w:t>AI's Original Generated Code (Flawed Implementation)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1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MoM Revenue Growth % = </w:t>
              <w:br/>
              <w:t>VAR CurrentMonthRevenue = SUM(Orders[TotalRevenue])</w:t>
              <w:br/>
              <w:t xml:space="preserve">VAR PreviousMonthRevenue = </w:t>
              <w:br/>
              <w:t xml:space="preserve">    CALCULATE(</w:t>
              <w:br/>
              <w:t xml:space="preserve">        SUM(Orders[TotalRevenue]), </w:t>
              <w:br/>
              <w:t xml:space="preserve">        PREVIOUSMONTH(Orders[OrderDate])</w:t>
              <w:br/>
              <w:t xml:space="preserve">    )</w:t>
              <w:br/>
              <w:t>RETURN</w:t>
              <w:br/>
              <w:t xml:space="preserve">    (CurrentMonthRevenue - PreviousMonthRevenue) / PreviousMonthRevenue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1E4678"/>
          <w:sz w:val="23"/>
        </w:rPr>
        <w:t>Corrected &amp; Validated DAX Code (Production-Ready)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F172A"/>
                <w:sz w:val="19"/>
              </w:rPr>
              <w:t xml:space="preserve">MoM Revenue Growth % = </w:t>
              <w:br/>
              <w:t>VAR CurrentRevenue = [Total Revenue]</w:t>
              <w:br/>
              <w:t xml:space="preserve">VAR PreviousRevenue = </w:t>
              <w:br/>
              <w:t xml:space="preserve">    CALCULATE(</w:t>
              <w:br/>
              <w:t xml:space="preserve">        [Total Revenue], </w:t>
              <w:br/>
              <w:t xml:space="preserve">        DATEADD(Date_Dimension[Date], -1, MONTH)</w:t>
              <w:br/>
              <w:t xml:space="preserve">    )</w:t>
              <w:br/>
              <w:t>RETURN</w:t>
              <w:br/>
              <w:t xml:space="preserve">    IF(</w:t>
              <w:br/>
              <w:t xml:space="preserve">        ISBLANK(PreviousRevenue) || PreviousRevenue = 0,</w:t>
              <w:br/>
              <w:t xml:space="preserve">        BLANK(),</w:t>
              <w:br/>
              <w:t xml:space="preserve">        DIVIDE(CurrentRevenue - PreviousRevenue, PreviousRevenue, BLANK())</w:t>
              <w:br/>
              <w:t xml:space="preserve">    )</w:t>
              <w:br/>
              <w:t>// Formatting: Percentage (%), 2 decimal places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8"/>
        </w:rPr>
        <w:t>3. Technical Debugging &amp; Architectural Review (3–4 Line Note)</w:t>
      </w:r>
    </w:p>
    <w:p>
      <w:pPr>
        <w:spacing w:after="80"/>
      </w:pPr>
      <w:r>
        <w:rPr>
          <w:sz w:val="20"/>
        </w:rPr>
        <w:t>1. Architectural Star Schema Flaw: AI referenced Orders[OrderDate] inside PREVIOUSMONTH(). Time-intelligence functions require a contiguous date range from a dedicated calendar dimension (Date_Dimension[Date]) marked as a Date Table; evaluating directly on a Fact column fails when daily transactional gaps occur.</w:t>
        <w:br/>
        <w:t>2. Division-by-Zero &amp; Blank Propagation: AI used standard division (/) rather than DIVIDE(). For January 2023 (the dataset inception), PreviousMonthRevenue evaluates to BLANK(), causing mathematical division errors or irregular visual artifacts in card and table visuals.</w:t>
        <w:br/>
        <w:t>3. DAX Governance &amp; Measure Reuse: AI hardcoded SUM(Orders[TotalRevenue]) twice instead of referencing the central [Total Revenue] base measure, violating DAX modularity best practices.</w:t>
      </w:r>
    </w:p>
    <w:p>
      <w:pPr>
        <w:keepNext/>
        <w:spacing w:before="280" w:after="80"/>
      </w:pPr>
      <w:r>
        <w:rPr>
          <w:rFonts w:ascii="Calibri" w:hAnsi="Calibri"/>
          <w:b/>
          <w:color w:val="102C57"/>
          <w:sz w:val="28"/>
        </w:rPr>
        <w:t>4. Empirical Validation Across Sample Months</w:t>
      </w:r>
    </w:p>
    <w:p>
      <w:pPr>
        <w:spacing w:after="80"/>
      </w:pPr>
      <w:r>
        <w:rPr>
          <w:sz w:val="20"/>
        </w:rPr>
        <w:t>The corrected DAX measure was verified against the FoodRush operations data yielding exact monthly trajectory figures: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Month</w:t>
            </w:r>
          </w:p>
        </w:tc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Current Revenue (₹)</w:t>
            </w:r>
          </w:p>
        </w:tc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Previous Month Revenue (₹)</w:t>
            </w:r>
          </w:p>
        </w:tc>
        <w:tc>
          <w:tcPr>
            <w:tcW w:type="dxa" w:w="24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MoM Revenue Growth (%)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Jan 2023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₹1,91,896.26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— (Baseline Month)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BLANK (Handled cleanly)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Feb 2023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₹1,82,859.04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₹1,91,896.26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-4.71%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Mar 2023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₹1,94,724.14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₹1,82,859.04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+6.49%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Apr 2023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₹1,95,241.72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₹1,94,724.14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+0.27%</w:t>
            </w:r>
          </w:p>
        </w:tc>
      </w:tr>
      <w:tr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May 2023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₹1,94,013.66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₹1,95,241.72</w:t>
            </w:r>
          </w:p>
        </w:tc>
        <w:tc>
          <w:tcPr>
            <w:tcW w:type="dxa" w:w="24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-0.63%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