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pacing w:before="0" w:beforeAutospacing="0" w:after="300" w:afterAutospacing="0"/>
        <w:ind w:left="0" w:right="0"/>
      </w:pPr>
      <w:r>
        <w:rPr>
          <w:rFonts w:ascii="sans-serif" w:hAnsi="sans-serif" w:eastAsia="sans-serif" w:cs="sans-serif"/>
          <w:i w:val="0"/>
          <w:caps w:val="0"/>
          <w:color w:val="36363E"/>
          <w:spacing w:val="0"/>
          <w:sz w:val="25"/>
          <w:szCs w:val="25"/>
          <w:shd w:val="clear" w:fill="FFFFFF"/>
        </w:rPr>
        <w:t>Mastering when to use a calculated column versus when to use a measure – a concept that is often misunderstood when working with Data Analysis Expressions (DAX) in Power BI – is key to reporting success. Choosing the wrong one can result in anything from poor report performance to incorrect results.</w:t>
      </w:r>
    </w:p>
    <w:p>
      <w:pPr>
        <w:pStyle w:val="4"/>
        <w:keepNext w:val="0"/>
        <w:keepLines w:val="0"/>
        <w:widowControl/>
        <w:suppressLineNumbers w:val="0"/>
        <w:spacing w:before="0" w:beforeAutospacing="0" w:after="300" w:afterAutospacing="0"/>
        <w:ind w:left="0" w:right="0"/>
        <w:jc w:val="center"/>
      </w:pPr>
      <w:bookmarkStart w:id="0" w:name="_GoBack"/>
      <w:bookmarkEnd w:id="0"/>
    </w:p>
    <w:p>
      <w:pPr>
        <w:pStyle w:val="4"/>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6363E"/>
          <w:spacing w:val="0"/>
          <w:sz w:val="25"/>
          <w:szCs w:val="25"/>
          <w:shd w:val="clear" w:fill="FFFFFF"/>
        </w:rPr>
        <w:t>By understanding how both calculated columns and measures are evaluated, the instances in which we would use one or the other, and by structuring your code to take advantage of the strengths of the DAX language, you will be able achieve faster reporting and (if your code is appropriate for the scenario) more accurate results.</w:t>
      </w:r>
    </w:p>
    <w:p>
      <w:pPr>
        <w:pStyle w:val="4"/>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6363E"/>
          <w:spacing w:val="0"/>
          <w:sz w:val="25"/>
          <w:szCs w:val="25"/>
          <w:bdr w:val="none" w:color="auto" w:sz="0" w:space="0"/>
          <w:shd w:val="clear" w:fill="FFFFFF"/>
        </w:rPr>
        <w:drawing>
          <wp:inline distT="0" distB="0" distL="114300" distR="114300">
            <wp:extent cx="1123950" cy="990600"/>
            <wp:effectExtent l="0" t="0" r="0" b="0"/>
            <wp:docPr id="4"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7"/>
                    <pic:cNvPicPr>
                      <a:picLocks noChangeAspect="1"/>
                    </pic:cNvPicPr>
                  </pic:nvPicPr>
                  <pic:blipFill>
                    <a:blip r:embed="rId4"/>
                    <a:stretch>
                      <a:fillRect/>
                    </a:stretch>
                  </pic:blipFill>
                  <pic:spPr>
                    <a:xfrm>
                      <a:off x="0" y="0"/>
                      <a:ext cx="1123950" cy="990600"/>
                    </a:xfrm>
                    <a:prstGeom prst="rect">
                      <a:avLst/>
                    </a:prstGeom>
                    <a:noFill/>
                    <a:ln w="9525">
                      <a:noFill/>
                    </a:ln>
                  </pic:spPr>
                </pic:pic>
              </a:graphicData>
            </a:graphic>
          </wp:inline>
        </w:drawing>
      </w:r>
    </w:p>
    <w:p>
      <w:pPr>
        <w:pStyle w:val="4"/>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6363E"/>
          <w:spacing w:val="0"/>
          <w:sz w:val="25"/>
          <w:szCs w:val="25"/>
          <w:shd w:val="clear" w:fill="FFFFFF"/>
        </w:rPr>
        <w:t>In general, we use calculated columns and measures to perform arithmetic operations on top of the data that we already have in our model. A simple example could be having a sales table with a Unit Price column and an Order Quantity column, and the desire to know the Order Total for each line, or in aggregate. Let’s work through some common business scenarios with the following Power BI file, </w:t>
      </w:r>
      <w:r>
        <w:rPr>
          <w:rFonts w:hint="default" w:ascii="sans-serif" w:hAnsi="sans-serif" w:eastAsia="sans-serif" w:cs="sans-serif"/>
          <w:i w:val="0"/>
          <w:caps w:val="0"/>
          <w:color w:val="007DC3"/>
          <w:spacing w:val="0"/>
          <w:sz w:val="25"/>
          <w:szCs w:val="25"/>
          <w:shd w:val="clear" w:fill="FFFFFF"/>
        </w:rPr>
        <w:fldChar w:fldCharType="begin"/>
      </w:r>
      <w:r>
        <w:rPr>
          <w:rFonts w:hint="default" w:ascii="sans-serif" w:hAnsi="sans-serif" w:eastAsia="sans-serif" w:cs="sans-serif"/>
          <w:i w:val="0"/>
          <w:caps w:val="0"/>
          <w:color w:val="007DC3"/>
          <w:spacing w:val="0"/>
          <w:sz w:val="25"/>
          <w:szCs w:val="25"/>
          <w:shd w:val="clear" w:fill="FFFFFF"/>
        </w:rPr>
        <w:instrText xml:space="preserve"> HYPERLINK "https://cdn2.hubspot.net/hubfs/257922/BlueGranite_Columns Measures Example.pbix" \t "https://www.blue-granite.com/blog/_blank" </w:instrText>
      </w:r>
      <w:r>
        <w:rPr>
          <w:rFonts w:hint="default" w:ascii="sans-serif" w:hAnsi="sans-serif" w:eastAsia="sans-serif" w:cs="sans-serif"/>
          <w:i w:val="0"/>
          <w:caps w:val="0"/>
          <w:color w:val="007DC3"/>
          <w:spacing w:val="0"/>
          <w:sz w:val="25"/>
          <w:szCs w:val="25"/>
          <w:shd w:val="clear" w:fill="FFFFFF"/>
        </w:rPr>
        <w:fldChar w:fldCharType="separate"/>
      </w:r>
      <w:r>
        <w:rPr>
          <w:rStyle w:val="7"/>
          <w:rFonts w:hint="default" w:ascii="sans-serif" w:hAnsi="sans-serif" w:eastAsia="sans-serif" w:cs="sans-serif"/>
          <w:i w:val="0"/>
          <w:caps w:val="0"/>
          <w:color w:val="007DC3"/>
          <w:spacing w:val="0"/>
          <w:sz w:val="25"/>
          <w:szCs w:val="25"/>
          <w:shd w:val="clear" w:fill="FFFFFF"/>
        </w:rPr>
        <w:t>available </w:t>
      </w:r>
      <w:r>
        <w:rPr>
          <w:rStyle w:val="7"/>
          <w:rFonts w:hint="default" w:ascii="sans-serif" w:hAnsi="sans-serif" w:eastAsia="sans-serif" w:cs="sans-serif"/>
          <w:i w:val="0"/>
          <w:caps w:val="0"/>
          <w:color w:val="007DC3"/>
          <w:spacing w:val="0"/>
          <w:sz w:val="25"/>
          <w:szCs w:val="25"/>
          <w:u w:val="single"/>
          <w:shd w:val="clear" w:fill="FFFFFF"/>
        </w:rPr>
        <w:t>here</w:t>
      </w:r>
      <w:r>
        <w:rPr>
          <w:rFonts w:hint="default" w:ascii="sans-serif" w:hAnsi="sans-serif" w:eastAsia="sans-serif" w:cs="sans-serif"/>
          <w:i w:val="0"/>
          <w:caps w:val="0"/>
          <w:color w:val="007DC3"/>
          <w:spacing w:val="0"/>
          <w:sz w:val="25"/>
          <w:szCs w:val="25"/>
          <w:shd w:val="clear" w:fill="FFFFFF"/>
        </w:rPr>
        <w:fldChar w:fldCharType="end"/>
      </w:r>
      <w:r>
        <w:rPr>
          <w:rFonts w:hint="default" w:ascii="sans-serif" w:hAnsi="sans-serif" w:eastAsia="sans-serif" w:cs="sans-serif"/>
          <w:i w:val="0"/>
          <w:caps w:val="0"/>
          <w:color w:val="36363E"/>
          <w:spacing w:val="0"/>
          <w:sz w:val="25"/>
          <w:szCs w:val="25"/>
          <w:shd w:val="clear" w:fill="FFFFFF"/>
        </w:rPr>
        <w:t>.</w:t>
      </w:r>
    </w:p>
    <w:p>
      <w:pPr>
        <w:pStyle w:val="2"/>
        <w:keepNext w:val="0"/>
        <w:keepLines w:val="0"/>
        <w:widowControl/>
        <w:suppressLineNumbers w:val="0"/>
        <w:spacing w:before="0" w:beforeAutospacing="0" w:after="150" w:afterAutospacing="0" w:line="256" w:lineRule="atLeast"/>
        <w:ind w:left="0" w:right="0"/>
        <w:rPr>
          <w:sz w:val="40"/>
          <w:szCs w:val="40"/>
        </w:rPr>
      </w:pPr>
      <w:r>
        <w:rPr>
          <w:i w:val="0"/>
          <w:caps w:val="0"/>
          <w:color w:val="36363E"/>
          <w:spacing w:val="0"/>
          <w:sz w:val="40"/>
          <w:szCs w:val="40"/>
          <w:shd w:val="clear" w:fill="FFFFFF"/>
        </w:rPr>
        <w:t>Understanding Calculated Columns</w:t>
      </w:r>
    </w:p>
    <w:p>
      <w:pPr>
        <w:pStyle w:val="4"/>
        <w:keepNext w:val="0"/>
        <w:keepLines w:val="0"/>
        <w:widowControl/>
        <w:suppressLineNumbers w:val="0"/>
        <w:spacing w:before="0" w:beforeAutospacing="0" w:after="300" w:afterAutospacing="0"/>
        <w:ind w:left="0" w:right="0"/>
        <w:jc w:val="center"/>
      </w:pPr>
      <w:r>
        <w:rPr>
          <w:rFonts w:hint="default" w:ascii="sans-serif" w:hAnsi="sans-serif" w:eastAsia="sans-serif" w:cs="sans-serif"/>
          <w:i w:val="0"/>
          <w:caps w:val="0"/>
          <w:color w:val="36363E"/>
          <w:spacing w:val="0"/>
          <w:sz w:val="25"/>
          <w:szCs w:val="25"/>
          <w:bdr w:val="none" w:color="auto" w:sz="0" w:space="0"/>
          <w:shd w:val="clear" w:fill="FFFFFF"/>
        </w:rPr>
        <w:drawing>
          <wp:inline distT="0" distB="0" distL="114300" distR="114300">
            <wp:extent cx="2914650" cy="2905125"/>
            <wp:effectExtent l="0" t="0" r="0" b="9525"/>
            <wp:docPr id="6"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8"/>
                    <pic:cNvPicPr>
                      <a:picLocks noChangeAspect="1"/>
                    </pic:cNvPicPr>
                  </pic:nvPicPr>
                  <pic:blipFill>
                    <a:blip r:embed="rId5"/>
                    <a:stretch>
                      <a:fillRect/>
                    </a:stretch>
                  </pic:blipFill>
                  <pic:spPr>
                    <a:xfrm>
                      <a:off x="0" y="0"/>
                      <a:ext cx="2914650" cy="2905125"/>
                    </a:xfrm>
                    <a:prstGeom prst="rect">
                      <a:avLst/>
                    </a:prstGeom>
                    <a:noFill/>
                    <a:ln w="9525">
                      <a:noFill/>
                    </a:ln>
                  </pic:spPr>
                </pic:pic>
              </a:graphicData>
            </a:graphic>
          </wp:inline>
        </w:drawing>
      </w:r>
      <w:r>
        <w:rPr>
          <w:rStyle w:val="6"/>
          <w:rFonts w:hint="default" w:ascii="sans-serif" w:hAnsi="sans-serif" w:eastAsia="sans-serif" w:cs="sans-serif"/>
          <w:i w:val="0"/>
          <w:caps w:val="0"/>
          <w:color w:val="36363E"/>
          <w:spacing w:val="0"/>
          <w:sz w:val="25"/>
          <w:szCs w:val="25"/>
          <w:shd w:val="clear" w:fill="FFFFFF"/>
        </w:rPr>
        <w:t>Figure 1</w:t>
      </w:r>
    </w:p>
    <w:p>
      <w:pPr>
        <w:pStyle w:val="4"/>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6363E"/>
          <w:spacing w:val="0"/>
          <w:sz w:val="25"/>
          <w:szCs w:val="25"/>
          <w:shd w:val="clear" w:fill="FFFFFF"/>
        </w:rPr>
        <w:t>When trying to get a grasp on calculated columns, it is essential to know why </w:t>
      </w:r>
      <w:r>
        <w:rPr>
          <w:rStyle w:val="6"/>
          <w:rFonts w:hint="default" w:ascii="sans-serif" w:hAnsi="sans-serif" w:eastAsia="sans-serif" w:cs="sans-serif"/>
          <w:i w:val="0"/>
          <w:caps w:val="0"/>
          <w:color w:val="36363E"/>
          <w:spacing w:val="0"/>
          <w:sz w:val="25"/>
          <w:szCs w:val="25"/>
          <w:shd w:val="clear" w:fill="FFFFFF"/>
        </w:rPr>
        <w:t>evaluation context</w:t>
      </w:r>
      <w:r>
        <w:rPr>
          <w:rFonts w:hint="default" w:ascii="sans-serif" w:hAnsi="sans-serif" w:eastAsia="sans-serif" w:cs="sans-serif"/>
          <w:i w:val="0"/>
          <w:caps w:val="0"/>
          <w:color w:val="36363E"/>
          <w:spacing w:val="0"/>
          <w:sz w:val="25"/>
          <w:szCs w:val="25"/>
          <w:shd w:val="clear" w:fill="FFFFFF"/>
        </w:rPr>
        <w:t> is significant. </w:t>
      </w:r>
      <w:r>
        <w:rPr>
          <w:rFonts w:hint="default" w:ascii="sans-serif" w:hAnsi="sans-serif" w:eastAsia="sans-serif" w:cs="sans-serif"/>
          <w:i w:val="0"/>
          <w:caps w:val="0"/>
          <w:color w:val="007DC3"/>
          <w:spacing w:val="0"/>
          <w:sz w:val="25"/>
          <w:szCs w:val="25"/>
          <w:shd w:val="clear" w:fill="FFFFFF"/>
        </w:rPr>
        <w:fldChar w:fldCharType="begin"/>
      </w:r>
      <w:r>
        <w:rPr>
          <w:rFonts w:hint="default" w:ascii="sans-serif" w:hAnsi="sans-serif" w:eastAsia="sans-serif" w:cs="sans-serif"/>
          <w:i w:val="0"/>
          <w:caps w:val="0"/>
          <w:color w:val="007DC3"/>
          <w:spacing w:val="0"/>
          <w:sz w:val="25"/>
          <w:szCs w:val="25"/>
          <w:shd w:val="clear" w:fill="FFFFFF"/>
        </w:rPr>
        <w:instrText xml:space="preserve"> HYPERLINK "https://www.microsoftpressstore.com/articles/article.aspx?p=2449191" </w:instrText>
      </w:r>
      <w:r>
        <w:rPr>
          <w:rFonts w:hint="default" w:ascii="sans-serif" w:hAnsi="sans-serif" w:eastAsia="sans-serif" w:cs="sans-serif"/>
          <w:i w:val="0"/>
          <w:caps w:val="0"/>
          <w:color w:val="007DC3"/>
          <w:spacing w:val="0"/>
          <w:sz w:val="25"/>
          <w:szCs w:val="25"/>
          <w:shd w:val="clear" w:fill="FFFFFF"/>
        </w:rPr>
        <w:fldChar w:fldCharType="separate"/>
      </w:r>
      <w:r>
        <w:rPr>
          <w:rStyle w:val="7"/>
          <w:rFonts w:hint="default" w:ascii="sans-serif" w:hAnsi="sans-serif" w:eastAsia="sans-serif" w:cs="sans-serif"/>
          <w:i w:val="0"/>
          <w:caps w:val="0"/>
          <w:color w:val="007DC3"/>
          <w:spacing w:val="0"/>
          <w:sz w:val="25"/>
          <w:szCs w:val="25"/>
          <w:shd w:val="clear" w:fill="FFFFFF"/>
        </w:rPr>
        <w:t>Evaluation context</w:t>
      </w:r>
      <w:r>
        <w:rPr>
          <w:rFonts w:hint="default" w:ascii="sans-serif" w:hAnsi="sans-serif" w:eastAsia="sans-serif" w:cs="sans-serif"/>
          <w:i w:val="0"/>
          <w:caps w:val="0"/>
          <w:color w:val="007DC3"/>
          <w:spacing w:val="0"/>
          <w:sz w:val="25"/>
          <w:szCs w:val="25"/>
          <w:shd w:val="clear" w:fill="FFFFFF"/>
        </w:rPr>
        <w:fldChar w:fldCharType="end"/>
      </w:r>
      <w:r>
        <w:rPr>
          <w:rFonts w:hint="default" w:ascii="sans-serif" w:hAnsi="sans-serif" w:eastAsia="sans-serif" w:cs="sans-serif"/>
          <w:i w:val="0"/>
          <w:caps w:val="0"/>
          <w:color w:val="36363E"/>
          <w:spacing w:val="0"/>
          <w:sz w:val="25"/>
          <w:szCs w:val="25"/>
          <w:shd w:val="clear" w:fill="FFFFFF"/>
        </w:rPr>
        <w:t> is the “environment” under which the formula is evaluated. Although calculated columns can compute aggregate values, the evaluation context is performed by default for each row, which suits calculated columns for some computations, but not others. In the example above </w:t>
      </w:r>
      <w:r>
        <w:rPr>
          <w:rStyle w:val="6"/>
          <w:rFonts w:hint="default" w:ascii="sans-serif" w:hAnsi="sans-serif" w:eastAsia="sans-serif" w:cs="sans-serif"/>
          <w:i w:val="0"/>
          <w:caps w:val="0"/>
          <w:color w:val="36363E"/>
          <w:spacing w:val="0"/>
          <w:sz w:val="25"/>
          <w:szCs w:val="25"/>
          <w:shd w:val="clear" w:fill="FFFFFF"/>
        </w:rPr>
        <w:t>(Figure 1)</w:t>
      </w:r>
      <w:r>
        <w:rPr>
          <w:rFonts w:hint="default" w:ascii="sans-serif" w:hAnsi="sans-serif" w:eastAsia="sans-serif" w:cs="sans-serif"/>
          <w:i w:val="0"/>
          <w:caps w:val="0"/>
          <w:color w:val="36363E"/>
          <w:spacing w:val="0"/>
          <w:sz w:val="25"/>
          <w:szCs w:val="25"/>
          <w:shd w:val="clear" w:fill="FFFFFF"/>
        </w:rPr>
        <w:t>, if we would like to know the Order Total for each line, which could represent an individual order from a customer, it would be appropriate to use a row-by-row calculation, which would make a calculated column a good choice. The DAX expression for the calculated column would look like this:</w:t>
      </w:r>
    </w:p>
    <w:p>
      <w:pPr>
        <w:pStyle w:val="3"/>
        <w:keepNext w:val="0"/>
        <w:keepLines w:val="0"/>
        <w:widowControl/>
        <w:suppressLineNumbers w:val="0"/>
        <w:pBdr>
          <w:left w:val="none" w:color="auto" w:sz="0" w:space="0"/>
        </w:pBdr>
        <w:spacing w:before="210" w:beforeAutospacing="0" w:after="105" w:afterAutospacing="0"/>
      </w:pPr>
      <w:r>
        <w:rPr>
          <w:i w:val="0"/>
          <w:caps w:val="0"/>
          <w:color w:val="36363E"/>
          <w:spacing w:val="0"/>
          <w:shd w:val="clear" w:fill="F6F5F4"/>
        </w:rPr>
        <w:t>Order Total =</w:t>
      </w:r>
      <w:r>
        <w:rPr>
          <w:i w:val="0"/>
          <w:caps w:val="0"/>
          <w:color w:val="36363E"/>
          <w:spacing w:val="0"/>
          <w:shd w:val="clear" w:fill="F6F5F4"/>
        </w:rPr>
        <w:br w:type="textWrapping"/>
      </w:r>
      <w:r>
        <w:rPr>
          <w:i w:val="0"/>
          <w:caps w:val="0"/>
          <w:color w:val="36363E"/>
          <w:spacing w:val="0"/>
          <w:shd w:val="clear" w:fill="F6F5F4"/>
        </w:rPr>
        <w:t>'Sales'[Unit Price] * 'Sales'[Order Qty]</w:t>
      </w:r>
      <w:r>
        <w:rPr>
          <w:i w:val="0"/>
          <w:caps w:val="0"/>
          <w:color w:val="36363E"/>
          <w:spacing w:val="0"/>
          <w:bdr w:val="none" w:color="auto" w:sz="0" w:space="0"/>
          <w:shd w:val="clear" w:fill="F6F5F4"/>
        </w:rPr>
        <w:t>      </w:t>
      </w:r>
    </w:p>
    <w:p>
      <w:pPr>
        <w:pStyle w:val="4"/>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6363E"/>
          <w:spacing w:val="0"/>
          <w:sz w:val="25"/>
          <w:szCs w:val="25"/>
          <w:shd w:val="clear" w:fill="FFFFFF"/>
        </w:rPr>
        <w:t>With calculated columns, data in the column is stored in the </w:t>
      </w:r>
      <w:r>
        <w:rPr>
          <w:rFonts w:hint="default" w:ascii="sans-serif" w:hAnsi="sans-serif" w:eastAsia="sans-serif" w:cs="sans-serif"/>
          <w:i w:val="0"/>
          <w:caps w:val="0"/>
          <w:color w:val="007DC3"/>
          <w:spacing w:val="0"/>
          <w:sz w:val="25"/>
          <w:szCs w:val="25"/>
          <w:shd w:val="clear" w:fill="FFFFFF"/>
        </w:rPr>
        <w:fldChar w:fldCharType="begin"/>
      </w:r>
      <w:r>
        <w:rPr>
          <w:rFonts w:hint="default" w:ascii="sans-serif" w:hAnsi="sans-serif" w:eastAsia="sans-serif" w:cs="sans-serif"/>
          <w:i w:val="0"/>
          <w:caps w:val="0"/>
          <w:color w:val="007DC3"/>
          <w:spacing w:val="0"/>
          <w:sz w:val="25"/>
          <w:szCs w:val="25"/>
          <w:shd w:val="clear" w:fill="FFFFFF"/>
        </w:rPr>
        <w:instrText xml:space="preserve"> HYPERLINK "https://blogs.technet.microsoft.com/dataplatforminsider/2012/03/08/introducing-xvelocity-in-memory-technologies-in-sql-server-2012-for-10-100x-performance/" </w:instrText>
      </w:r>
      <w:r>
        <w:rPr>
          <w:rFonts w:hint="default" w:ascii="sans-serif" w:hAnsi="sans-serif" w:eastAsia="sans-serif" w:cs="sans-serif"/>
          <w:i w:val="0"/>
          <w:caps w:val="0"/>
          <w:color w:val="007DC3"/>
          <w:spacing w:val="0"/>
          <w:sz w:val="25"/>
          <w:szCs w:val="25"/>
          <w:shd w:val="clear" w:fill="FFFFFF"/>
        </w:rPr>
        <w:fldChar w:fldCharType="separate"/>
      </w:r>
      <w:r>
        <w:rPr>
          <w:rStyle w:val="7"/>
          <w:rFonts w:hint="default" w:ascii="sans-serif" w:hAnsi="sans-serif" w:eastAsia="sans-serif" w:cs="sans-serif"/>
          <w:i w:val="0"/>
          <w:caps w:val="0"/>
          <w:color w:val="007DC3"/>
          <w:spacing w:val="0"/>
          <w:sz w:val="25"/>
          <w:szCs w:val="25"/>
          <w:shd w:val="clear" w:fill="FFFFFF"/>
        </w:rPr>
        <w:t>xVelocity</w:t>
      </w:r>
      <w:r>
        <w:rPr>
          <w:rFonts w:hint="default" w:ascii="sans-serif" w:hAnsi="sans-serif" w:eastAsia="sans-serif" w:cs="sans-serif"/>
          <w:i w:val="0"/>
          <w:caps w:val="0"/>
          <w:color w:val="007DC3"/>
          <w:spacing w:val="0"/>
          <w:sz w:val="25"/>
          <w:szCs w:val="25"/>
          <w:shd w:val="clear" w:fill="FFFFFF"/>
        </w:rPr>
        <w:fldChar w:fldCharType="end"/>
      </w:r>
      <w:r>
        <w:rPr>
          <w:rFonts w:hint="default" w:ascii="sans-serif" w:hAnsi="sans-serif" w:eastAsia="sans-serif" w:cs="sans-serif"/>
          <w:i w:val="0"/>
          <w:caps w:val="0"/>
          <w:color w:val="36363E"/>
          <w:spacing w:val="0"/>
          <w:sz w:val="25"/>
          <w:szCs w:val="25"/>
          <w:shd w:val="clear" w:fill="FFFFFF"/>
        </w:rPr>
        <w:t> in-memory database, meaning that a calculation is made before the model is ever queried by the user. From a performance perspective, calculated columns are positive given that there is a smaller virtual memory requirement as the user interacts with the report. The downside is that calculated columns take up more storage in your database. Calculated columns can give users other advantages as well, such as the ability to view values in the column, or use of the calculated column in a slicer or in a measure to filter data under certain criteria.</w:t>
      </w:r>
    </w:p>
    <w:p>
      <w:pPr>
        <w:pStyle w:val="4"/>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6363E"/>
          <w:spacing w:val="0"/>
          <w:sz w:val="25"/>
          <w:szCs w:val="25"/>
          <w:shd w:val="clear" w:fill="FFFFFF"/>
        </w:rPr>
        <w:t>Let’s say we want to use our Sales table (in the provided sample file) to classify items as low, medium, or high priced</w:t>
      </w:r>
      <w:r>
        <w:rPr>
          <w:rStyle w:val="6"/>
          <w:rFonts w:hint="default" w:ascii="sans-serif" w:hAnsi="sans-serif" w:eastAsia="sans-serif" w:cs="sans-serif"/>
          <w:i w:val="0"/>
          <w:caps w:val="0"/>
          <w:color w:val="36363E"/>
          <w:spacing w:val="0"/>
          <w:sz w:val="25"/>
          <w:szCs w:val="25"/>
          <w:shd w:val="clear" w:fill="FFFFFF"/>
        </w:rPr>
        <w:t> (Figure 2)</w:t>
      </w:r>
      <w:r>
        <w:rPr>
          <w:rFonts w:hint="default" w:ascii="sans-serif" w:hAnsi="sans-serif" w:eastAsia="sans-serif" w:cs="sans-serif"/>
          <w:i w:val="0"/>
          <w:caps w:val="0"/>
          <w:color w:val="36363E"/>
          <w:spacing w:val="0"/>
          <w:sz w:val="25"/>
          <w:szCs w:val="25"/>
          <w:shd w:val="clear" w:fill="FFFFFF"/>
        </w:rPr>
        <w:t>. We can use the following DAX expression in a calculated column to accomplish this, which will give us the ability to add a slicer and see only the category that we are interested in, as shown below:</w:t>
      </w:r>
    </w:p>
    <w:p>
      <w:pPr>
        <w:pStyle w:val="3"/>
        <w:keepNext w:val="0"/>
        <w:keepLines w:val="0"/>
        <w:widowControl/>
        <w:suppressLineNumbers w:val="0"/>
        <w:pBdr>
          <w:left w:val="none" w:color="auto" w:sz="0" w:space="0"/>
        </w:pBdr>
        <w:spacing w:before="210" w:beforeAutospacing="0" w:after="105" w:afterAutospacing="0"/>
      </w:pPr>
      <w:r>
        <w:rPr>
          <w:i w:val="0"/>
          <w:caps w:val="0"/>
          <w:color w:val="36363E"/>
          <w:spacing w:val="0"/>
          <w:shd w:val="clear" w:fill="F6F5F4"/>
        </w:rPr>
        <w:t>Cost Bucket =</w:t>
      </w:r>
      <w:r>
        <w:rPr>
          <w:i w:val="0"/>
          <w:caps w:val="0"/>
          <w:color w:val="36363E"/>
          <w:spacing w:val="0"/>
          <w:shd w:val="clear" w:fill="F6F5F4"/>
        </w:rPr>
        <w:br w:type="textWrapping"/>
      </w:r>
      <w:r>
        <w:rPr>
          <w:i w:val="0"/>
          <w:caps w:val="0"/>
          <w:color w:val="0000FF"/>
          <w:spacing w:val="0"/>
          <w:shd w:val="clear" w:fill="F6F5F4"/>
        </w:rPr>
        <w:t>IF</w:t>
      </w:r>
      <w:r>
        <w:rPr>
          <w:i w:val="0"/>
          <w:caps w:val="0"/>
          <w:color w:val="36363E"/>
          <w:spacing w:val="0"/>
          <w:shd w:val="clear" w:fill="F6F5F4"/>
        </w:rPr>
        <w:t> (</w:t>
      </w:r>
      <w:r>
        <w:rPr>
          <w:i w:val="0"/>
          <w:caps w:val="0"/>
          <w:color w:val="36363E"/>
          <w:spacing w:val="0"/>
          <w:shd w:val="clear" w:fill="F6F5F4"/>
        </w:rPr>
        <w:br w:type="textWrapping"/>
      </w:r>
      <w:r>
        <w:rPr>
          <w:i w:val="0"/>
          <w:caps w:val="0"/>
          <w:color w:val="36363E"/>
          <w:spacing w:val="0"/>
          <w:shd w:val="clear" w:fill="F6F5F4"/>
        </w:rPr>
        <w:t>    'Sales'[Unit Price] &lt; </w:t>
      </w:r>
      <w:r>
        <w:rPr>
          <w:i w:val="0"/>
          <w:caps w:val="0"/>
          <w:color w:val="FF6600"/>
          <w:spacing w:val="0"/>
          <w:shd w:val="clear" w:fill="F6F5F4"/>
        </w:rPr>
        <w:t>50</w:t>
      </w:r>
      <w:r>
        <w:rPr>
          <w:i w:val="0"/>
          <w:caps w:val="0"/>
          <w:color w:val="36363E"/>
          <w:spacing w:val="0"/>
          <w:shd w:val="clear" w:fill="F6F5F4"/>
        </w:rPr>
        <w:t>,</w:t>
      </w:r>
      <w:r>
        <w:rPr>
          <w:i w:val="0"/>
          <w:caps w:val="0"/>
          <w:color w:val="36363E"/>
          <w:spacing w:val="0"/>
          <w:shd w:val="clear" w:fill="F6F5F4"/>
        </w:rPr>
        <w:br w:type="textWrapping"/>
      </w:r>
      <w:r>
        <w:rPr>
          <w:i w:val="0"/>
          <w:caps w:val="0"/>
          <w:color w:val="36363E"/>
          <w:spacing w:val="0"/>
          <w:shd w:val="clear" w:fill="F6F5F4"/>
        </w:rPr>
        <w:t>    </w:t>
      </w:r>
      <w:r>
        <w:rPr>
          <w:i w:val="0"/>
          <w:caps w:val="0"/>
          <w:color w:val="FF0000"/>
          <w:spacing w:val="0"/>
          <w:shd w:val="clear" w:fill="F6F5F4"/>
        </w:rPr>
        <w:t>"Low"</w:t>
      </w:r>
      <w:r>
        <w:rPr>
          <w:i w:val="0"/>
          <w:caps w:val="0"/>
          <w:color w:val="36363E"/>
          <w:spacing w:val="0"/>
          <w:shd w:val="clear" w:fill="F6F5F4"/>
        </w:rPr>
        <w:t>,</w:t>
      </w:r>
      <w:r>
        <w:rPr>
          <w:i w:val="0"/>
          <w:caps w:val="0"/>
          <w:color w:val="36363E"/>
          <w:spacing w:val="0"/>
          <w:shd w:val="clear" w:fill="F6F5F4"/>
        </w:rPr>
        <w:br w:type="textWrapping"/>
      </w:r>
      <w:r>
        <w:rPr>
          <w:i w:val="0"/>
          <w:caps w:val="0"/>
          <w:color w:val="36363E"/>
          <w:spacing w:val="0"/>
          <w:shd w:val="clear" w:fill="F6F5F4"/>
        </w:rPr>
        <w:t>    </w:t>
      </w:r>
      <w:r>
        <w:rPr>
          <w:i w:val="0"/>
          <w:caps w:val="0"/>
          <w:color w:val="0000FF"/>
          <w:spacing w:val="0"/>
          <w:shd w:val="clear" w:fill="F6F5F4"/>
        </w:rPr>
        <w:t>IF</w:t>
      </w:r>
      <w:r>
        <w:rPr>
          <w:i w:val="0"/>
          <w:caps w:val="0"/>
          <w:color w:val="36363E"/>
          <w:spacing w:val="0"/>
          <w:shd w:val="clear" w:fill="F6F5F4"/>
        </w:rPr>
        <w:t> ( 'Sales'[Unit Price] &lt; </w:t>
      </w:r>
      <w:r>
        <w:rPr>
          <w:i w:val="0"/>
          <w:caps w:val="0"/>
          <w:color w:val="FF6600"/>
          <w:spacing w:val="0"/>
          <w:shd w:val="clear" w:fill="F6F5F4"/>
        </w:rPr>
        <w:t>100</w:t>
      </w:r>
      <w:r>
        <w:rPr>
          <w:i w:val="0"/>
          <w:caps w:val="0"/>
          <w:color w:val="36363E"/>
          <w:spacing w:val="0"/>
          <w:shd w:val="clear" w:fill="F6F5F4"/>
        </w:rPr>
        <w:t>, </w:t>
      </w:r>
      <w:r>
        <w:rPr>
          <w:i w:val="0"/>
          <w:caps w:val="0"/>
          <w:color w:val="FF0000"/>
          <w:spacing w:val="0"/>
          <w:shd w:val="clear" w:fill="F6F5F4"/>
        </w:rPr>
        <w:t>"Medium"</w:t>
      </w:r>
      <w:r>
        <w:rPr>
          <w:i w:val="0"/>
          <w:caps w:val="0"/>
          <w:color w:val="36363E"/>
          <w:spacing w:val="0"/>
          <w:shd w:val="clear" w:fill="F6F5F4"/>
        </w:rPr>
        <w:t>, </w:t>
      </w:r>
      <w:r>
        <w:rPr>
          <w:i w:val="0"/>
          <w:caps w:val="0"/>
          <w:color w:val="FF0000"/>
          <w:spacing w:val="0"/>
          <w:shd w:val="clear" w:fill="F6F5F4"/>
        </w:rPr>
        <w:t>"High"</w:t>
      </w:r>
      <w:r>
        <w:rPr>
          <w:i w:val="0"/>
          <w:caps w:val="0"/>
          <w:color w:val="36363E"/>
          <w:spacing w:val="0"/>
          <w:shd w:val="clear" w:fill="F6F5F4"/>
        </w:rPr>
        <w:t> )</w:t>
      </w:r>
      <w:r>
        <w:rPr>
          <w:i w:val="0"/>
          <w:caps w:val="0"/>
          <w:color w:val="36363E"/>
          <w:spacing w:val="0"/>
          <w:shd w:val="clear" w:fill="F6F5F4"/>
        </w:rPr>
        <w:br w:type="textWrapping"/>
      </w:r>
      <w:r>
        <w:rPr>
          <w:i w:val="0"/>
          <w:caps w:val="0"/>
          <w:color w:val="36363E"/>
          <w:spacing w:val="0"/>
          <w:shd w:val="clear" w:fill="F6F5F4"/>
        </w:rPr>
        <w:t>)</w:t>
      </w:r>
    </w:p>
    <w:p>
      <w:pPr>
        <w:pStyle w:val="4"/>
        <w:keepNext w:val="0"/>
        <w:keepLines w:val="0"/>
        <w:widowControl/>
        <w:suppressLineNumbers w:val="0"/>
        <w:spacing w:before="0" w:beforeAutospacing="0" w:after="300" w:afterAutospacing="0"/>
        <w:ind w:left="0" w:right="0"/>
        <w:jc w:val="center"/>
      </w:pPr>
      <w:r>
        <w:rPr>
          <w:rFonts w:hint="default" w:ascii="sans-serif" w:hAnsi="sans-serif" w:eastAsia="sans-serif" w:cs="sans-serif"/>
          <w:i w:val="0"/>
          <w:caps w:val="0"/>
          <w:color w:val="36363E"/>
          <w:spacing w:val="0"/>
          <w:sz w:val="25"/>
          <w:szCs w:val="25"/>
          <w:bdr w:val="none" w:color="auto" w:sz="0" w:space="0"/>
          <w:shd w:val="clear" w:fill="FFFFFF"/>
        </w:rPr>
        <w:drawing>
          <wp:inline distT="0" distB="0" distL="114300" distR="114300">
            <wp:extent cx="3895725" cy="2676525"/>
            <wp:effectExtent l="0" t="0" r="9525" b="9525"/>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6"/>
                    <a:stretch>
                      <a:fillRect/>
                    </a:stretch>
                  </pic:blipFill>
                  <pic:spPr>
                    <a:xfrm>
                      <a:off x="0" y="0"/>
                      <a:ext cx="3895725" cy="2676525"/>
                    </a:xfrm>
                    <a:prstGeom prst="rect">
                      <a:avLst/>
                    </a:prstGeom>
                    <a:noFill/>
                    <a:ln w="9525">
                      <a:noFill/>
                    </a:ln>
                  </pic:spPr>
                </pic:pic>
              </a:graphicData>
            </a:graphic>
          </wp:inline>
        </w:drawing>
      </w:r>
      <w:r>
        <w:rPr>
          <w:rStyle w:val="6"/>
          <w:rFonts w:hint="default" w:ascii="sans-serif" w:hAnsi="sans-serif" w:eastAsia="sans-serif" w:cs="sans-serif"/>
          <w:i w:val="0"/>
          <w:caps w:val="0"/>
          <w:color w:val="36363E"/>
          <w:spacing w:val="0"/>
          <w:sz w:val="25"/>
          <w:szCs w:val="25"/>
          <w:shd w:val="clear" w:fill="FFFFFF"/>
        </w:rPr>
        <w:t>Figure 2</w:t>
      </w:r>
    </w:p>
    <w:p>
      <w:pPr>
        <w:pStyle w:val="4"/>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6363E"/>
          <w:spacing w:val="0"/>
          <w:sz w:val="25"/>
          <w:szCs w:val="25"/>
          <w:shd w:val="clear" w:fill="FFFFFF"/>
        </w:rPr>
        <w:t>Here is an example with the “High” Cost Bucket calculated column slicer selected:</w:t>
      </w:r>
    </w:p>
    <w:p>
      <w:pPr>
        <w:pStyle w:val="4"/>
        <w:keepNext w:val="0"/>
        <w:keepLines w:val="0"/>
        <w:widowControl/>
        <w:suppressLineNumbers w:val="0"/>
        <w:spacing w:before="0" w:beforeAutospacing="0" w:after="300" w:afterAutospacing="0"/>
        <w:ind w:left="0" w:right="0"/>
        <w:jc w:val="center"/>
      </w:pPr>
      <w:r>
        <w:rPr>
          <w:rFonts w:hint="default" w:ascii="sans-serif" w:hAnsi="sans-serif" w:eastAsia="sans-serif" w:cs="sans-serif"/>
          <w:i w:val="0"/>
          <w:caps w:val="0"/>
          <w:color w:val="36363E"/>
          <w:spacing w:val="0"/>
          <w:sz w:val="25"/>
          <w:szCs w:val="25"/>
          <w:bdr w:val="none" w:color="auto" w:sz="0" w:space="0"/>
          <w:shd w:val="clear" w:fill="FFFFFF"/>
        </w:rPr>
        <w:drawing>
          <wp:inline distT="0" distB="0" distL="114300" distR="114300">
            <wp:extent cx="5486400" cy="1428750"/>
            <wp:effectExtent l="0" t="0" r="0" b="0"/>
            <wp:docPr id="3"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IMG_260"/>
                    <pic:cNvPicPr>
                      <a:picLocks noChangeAspect="1"/>
                    </pic:cNvPicPr>
                  </pic:nvPicPr>
                  <pic:blipFill>
                    <a:blip r:embed="rId7"/>
                    <a:stretch>
                      <a:fillRect/>
                    </a:stretch>
                  </pic:blipFill>
                  <pic:spPr>
                    <a:xfrm>
                      <a:off x="0" y="0"/>
                      <a:ext cx="5486400" cy="1428750"/>
                    </a:xfrm>
                    <a:prstGeom prst="rect">
                      <a:avLst/>
                    </a:prstGeom>
                    <a:noFill/>
                    <a:ln w="9525">
                      <a:noFill/>
                    </a:ln>
                  </pic:spPr>
                </pic:pic>
              </a:graphicData>
            </a:graphic>
          </wp:inline>
        </w:drawing>
      </w:r>
      <w:r>
        <w:rPr>
          <w:rStyle w:val="6"/>
          <w:rFonts w:hint="default" w:ascii="sans-serif" w:hAnsi="sans-serif" w:eastAsia="sans-serif" w:cs="sans-serif"/>
          <w:i w:val="0"/>
          <w:caps w:val="0"/>
          <w:color w:val="36363E"/>
          <w:spacing w:val="0"/>
          <w:sz w:val="25"/>
          <w:szCs w:val="25"/>
          <w:shd w:val="clear" w:fill="FFFFFF"/>
        </w:rPr>
        <w:t>Figure 3</w:t>
      </w:r>
    </w:p>
    <w:p>
      <w:pPr>
        <w:pStyle w:val="2"/>
        <w:keepNext w:val="0"/>
        <w:keepLines w:val="0"/>
        <w:widowControl/>
        <w:suppressLineNumbers w:val="0"/>
        <w:spacing w:before="0" w:beforeAutospacing="0" w:after="150" w:afterAutospacing="0" w:line="256" w:lineRule="atLeast"/>
        <w:ind w:left="0" w:right="0"/>
        <w:rPr>
          <w:sz w:val="40"/>
          <w:szCs w:val="40"/>
        </w:rPr>
      </w:pPr>
      <w:r>
        <w:rPr>
          <w:i w:val="0"/>
          <w:caps w:val="0"/>
          <w:color w:val="36363E"/>
          <w:spacing w:val="0"/>
          <w:sz w:val="40"/>
          <w:szCs w:val="40"/>
          <w:shd w:val="clear" w:fill="FFFFFF"/>
        </w:rPr>
        <w:t>Interpreting Measures</w:t>
      </w:r>
    </w:p>
    <w:p>
      <w:pPr>
        <w:pStyle w:val="4"/>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6363E"/>
          <w:spacing w:val="0"/>
          <w:sz w:val="25"/>
          <w:szCs w:val="25"/>
          <w:shd w:val="clear" w:fill="FFFFFF"/>
        </w:rPr>
        <w:t>In general, measures are used to calculate aggregates, such as the sum or average of a column. Measures are calculated at the time of your query, which means that they aren’t stored in your database, but use processing power to execute a query at the time of your request. Because measures are not stored in memory, they are generally faster, although it is important to recognize the tradeoff between utilizing in-memory storage or processing power in an instance where either a measure or a calculated column could be used.</w:t>
      </w:r>
    </w:p>
    <w:p>
      <w:pPr>
        <w:pStyle w:val="4"/>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6363E"/>
          <w:spacing w:val="0"/>
          <w:sz w:val="25"/>
          <w:szCs w:val="25"/>
          <w:shd w:val="clear" w:fill="FFFFFF"/>
        </w:rPr>
        <w:t>Continuing with the example above, a DAX expression where it would be appropriate to use a measure could be an instance of when you want to calculate the sales for all of your high-priced inventory </w:t>
      </w:r>
      <w:r>
        <w:rPr>
          <w:rStyle w:val="6"/>
          <w:rFonts w:hint="default" w:ascii="sans-serif" w:hAnsi="sans-serif" w:eastAsia="sans-serif" w:cs="sans-serif"/>
          <w:i w:val="0"/>
          <w:caps w:val="0"/>
          <w:color w:val="36363E"/>
          <w:spacing w:val="0"/>
          <w:sz w:val="25"/>
          <w:szCs w:val="25"/>
          <w:shd w:val="clear" w:fill="FFFFFF"/>
        </w:rPr>
        <w:t>(Figure 4)</w:t>
      </w:r>
      <w:r>
        <w:rPr>
          <w:rFonts w:hint="default" w:ascii="sans-serif" w:hAnsi="sans-serif" w:eastAsia="sans-serif" w:cs="sans-serif"/>
          <w:i w:val="0"/>
          <w:caps w:val="0"/>
          <w:color w:val="36363E"/>
          <w:spacing w:val="0"/>
          <w:sz w:val="25"/>
          <w:szCs w:val="25"/>
          <w:shd w:val="clear" w:fill="FFFFFF"/>
        </w:rPr>
        <w:t>. Note that we are using a calculated column, Cost Bucket, within this measure. In DAX, it is considered best practice to “reuse” metrics in this manner. If you were to redefine what you would consider low, medium, and high-priced, these changes would carry through to this measure. For this measure, the expression would look like this:</w:t>
      </w:r>
    </w:p>
    <w:p>
      <w:pPr>
        <w:pStyle w:val="3"/>
        <w:keepNext w:val="0"/>
        <w:keepLines w:val="0"/>
        <w:widowControl/>
        <w:suppressLineNumbers w:val="0"/>
        <w:pBdr>
          <w:left w:val="none" w:color="auto" w:sz="0" w:space="0"/>
        </w:pBdr>
        <w:spacing w:before="210" w:beforeAutospacing="0" w:after="105" w:afterAutospacing="0"/>
      </w:pPr>
      <w:r>
        <w:rPr>
          <w:i w:val="0"/>
          <w:caps w:val="0"/>
          <w:color w:val="36363E"/>
          <w:spacing w:val="0"/>
          <w:bdr w:val="none" w:color="auto" w:sz="0" w:space="0"/>
          <w:shd w:val="clear" w:fill="F6F5F4"/>
        </w:rPr>
        <w:t>Sum of High Orders =</w:t>
      </w:r>
      <w:r>
        <w:rPr>
          <w:i w:val="0"/>
          <w:caps w:val="0"/>
          <w:color w:val="36363E"/>
          <w:spacing w:val="0"/>
          <w:bdr w:val="none" w:color="auto" w:sz="0" w:space="0"/>
          <w:shd w:val="clear" w:fill="F6F5F4"/>
        </w:rPr>
        <w:br w:type="textWrapping"/>
      </w:r>
      <w:r>
        <w:rPr>
          <w:i w:val="0"/>
          <w:caps w:val="0"/>
          <w:color w:val="0000FF"/>
          <w:spacing w:val="0"/>
          <w:bdr w:val="none" w:color="auto" w:sz="0" w:space="0"/>
          <w:shd w:val="clear" w:fill="F6F5F4"/>
        </w:rPr>
        <w:t>CALCULATE</w:t>
      </w:r>
      <w:r>
        <w:rPr>
          <w:i w:val="0"/>
          <w:caps w:val="0"/>
          <w:color w:val="36363E"/>
          <w:spacing w:val="0"/>
          <w:bdr w:val="none" w:color="auto" w:sz="0" w:space="0"/>
          <w:shd w:val="clear" w:fill="F6F5F4"/>
        </w:rPr>
        <w:t> ( </w:t>
      </w:r>
      <w:r>
        <w:rPr>
          <w:i w:val="0"/>
          <w:caps w:val="0"/>
          <w:color w:val="0000FF"/>
          <w:spacing w:val="0"/>
          <w:bdr w:val="none" w:color="auto" w:sz="0" w:space="0"/>
          <w:shd w:val="clear" w:fill="F6F5F4"/>
        </w:rPr>
        <w:t>SUM </w:t>
      </w:r>
      <w:r>
        <w:rPr>
          <w:i w:val="0"/>
          <w:caps w:val="0"/>
          <w:color w:val="36363E"/>
          <w:spacing w:val="0"/>
          <w:bdr w:val="none" w:color="auto" w:sz="0" w:space="0"/>
          <w:shd w:val="clear" w:fill="F6F5F4"/>
        </w:rPr>
        <w:t>( 'Sales'[Order Total] ), 'Sales'[Cost Bucket] = </w:t>
      </w:r>
      <w:r>
        <w:rPr>
          <w:i w:val="0"/>
          <w:caps w:val="0"/>
          <w:color w:val="FF0000"/>
          <w:spacing w:val="0"/>
          <w:bdr w:val="none" w:color="auto" w:sz="0" w:space="0"/>
          <w:shd w:val="clear" w:fill="F6F5F4"/>
        </w:rPr>
        <w:t>"High"</w:t>
      </w:r>
      <w:r>
        <w:rPr>
          <w:i w:val="0"/>
          <w:caps w:val="0"/>
          <w:color w:val="36363E"/>
          <w:spacing w:val="0"/>
          <w:bdr w:val="none" w:color="auto" w:sz="0" w:space="0"/>
          <w:shd w:val="clear" w:fill="F6F5F4"/>
        </w:rPr>
        <w:t> )</w:t>
      </w:r>
    </w:p>
    <w:p>
      <w:pPr>
        <w:pStyle w:val="4"/>
        <w:keepNext w:val="0"/>
        <w:keepLines w:val="0"/>
        <w:widowControl/>
        <w:suppressLineNumbers w:val="0"/>
        <w:spacing w:before="0" w:beforeAutospacing="0" w:after="300" w:afterAutospacing="0"/>
        <w:ind w:left="0" w:right="0"/>
        <w:jc w:val="center"/>
      </w:pPr>
      <w:r>
        <w:rPr>
          <w:rStyle w:val="6"/>
          <w:rFonts w:hint="default" w:ascii="sans-serif" w:hAnsi="sans-serif" w:eastAsia="sans-serif" w:cs="sans-serif"/>
          <w:i w:val="0"/>
          <w:caps w:val="0"/>
          <w:color w:val="36363E"/>
          <w:spacing w:val="0"/>
          <w:sz w:val="25"/>
          <w:szCs w:val="25"/>
          <w:bdr w:val="none" w:color="auto" w:sz="0" w:space="0"/>
          <w:shd w:val="clear" w:fill="FFFFFF"/>
        </w:rPr>
        <w:drawing>
          <wp:inline distT="0" distB="0" distL="114300" distR="114300">
            <wp:extent cx="2581275" cy="1600200"/>
            <wp:effectExtent l="0" t="0" r="9525" b="0"/>
            <wp:docPr id="2"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61"/>
                    <pic:cNvPicPr>
                      <a:picLocks noChangeAspect="1"/>
                    </pic:cNvPicPr>
                  </pic:nvPicPr>
                  <pic:blipFill>
                    <a:blip r:embed="rId8"/>
                    <a:stretch>
                      <a:fillRect/>
                    </a:stretch>
                  </pic:blipFill>
                  <pic:spPr>
                    <a:xfrm>
                      <a:off x="0" y="0"/>
                      <a:ext cx="2581275" cy="1600200"/>
                    </a:xfrm>
                    <a:prstGeom prst="rect">
                      <a:avLst/>
                    </a:prstGeom>
                    <a:noFill/>
                    <a:ln w="9525">
                      <a:noFill/>
                    </a:ln>
                  </pic:spPr>
                </pic:pic>
              </a:graphicData>
            </a:graphic>
          </wp:inline>
        </w:drawing>
      </w:r>
      <w:r>
        <w:rPr>
          <w:rStyle w:val="6"/>
          <w:rFonts w:hint="default" w:ascii="sans-serif" w:hAnsi="sans-serif" w:eastAsia="sans-serif" w:cs="sans-serif"/>
          <w:i w:val="0"/>
          <w:caps w:val="0"/>
          <w:color w:val="36363E"/>
          <w:spacing w:val="0"/>
          <w:sz w:val="25"/>
          <w:szCs w:val="25"/>
          <w:shd w:val="clear" w:fill="FFFFFF"/>
        </w:rPr>
        <w:br w:type="textWrapping"/>
      </w:r>
      <w:r>
        <w:rPr>
          <w:rStyle w:val="6"/>
          <w:rFonts w:hint="default" w:ascii="sans-serif" w:hAnsi="sans-serif" w:eastAsia="sans-serif" w:cs="sans-serif"/>
          <w:i w:val="0"/>
          <w:caps w:val="0"/>
          <w:color w:val="36363E"/>
          <w:spacing w:val="0"/>
          <w:sz w:val="25"/>
          <w:szCs w:val="25"/>
          <w:shd w:val="clear" w:fill="FFFFFF"/>
        </w:rPr>
        <w:t>Figure 4</w:t>
      </w:r>
    </w:p>
    <w:p>
      <w:pPr>
        <w:pStyle w:val="4"/>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6363E"/>
          <w:spacing w:val="0"/>
          <w:sz w:val="25"/>
          <w:szCs w:val="25"/>
          <w:shd w:val="clear" w:fill="FFFFFF"/>
        </w:rPr>
        <w:t>It is also useful to know how measures are evaluated in Power BI. Let’s break down the steps using the example above:</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caps w:val="0"/>
          <w:color w:val="36363E"/>
          <w:spacing w:val="0"/>
          <w:sz w:val="25"/>
          <w:szCs w:val="25"/>
          <w:shd w:val="clear" w:fill="FFFFFF"/>
        </w:rPr>
        <w:t>Examine the evaluation context. In the example above</w:t>
      </w:r>
      <w:r>
        <w:rPr>
          <w:rStyle w:val="6"/>
          <w:rFonts w:hint="default" w:ascii="sans-serif" w:hAnsi="sans-serif" w:eastAsia="sans-serif" w:cs="sans-serif"/>
          <w:i w:val="0"/>
          <w:caps w:val="0"/>
          <w:color w:val="36363E"/>
          <w:spacing w:val="0"/>
          <w:sz w:val="25"/>
          <w:szCs w:val="25"/>
          <w:shd w:val="clear" w:fill="FFFFFF"/>
        </w:rPr>
        <w:t> (Figure 2)</w:t>
      </w:r>
      <w:r>
        <w:rPr>
          <w:rFonts w:hint="default" w:ascii="sans-serif" w:hAnsi="sans-serif" w:eastAsia="sans-serif" w:cs="sans-serif"/>
          <w:i w:val="0"/>
          <w:caps w:val="0"/>
          <w:color w:val="36363E"/>
          <w:spacing w:val="0"/>
          <w:sz w:val="25"/>
          <w:szCs w:val="25"/>
          <w:shd w:val="clear" w:fill="FFFFFF"/>
        </w:rPr>
        <w:t>, the DAX engine is selecting high-priced inventory, or where 'Sales'[Cost Bucket]="High".</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caps w:val="0"/>
          <w:color w:val="36363E"/>
          <w:spacing w:val="0"/>
          <w:sz w:val="25"/>
          <w:szCs w:val="25"/>
          <w:shd w:val="clear" w:fill="FFFFFF"/>
        </w:rPr>
        <w:t>Apply the evaluation context to the underlying table. In the example above </w:t>
      </w:r>
      <w:r>
        <w:rPr>
          <w:rStyle w:val="6"/>
          <w:rFonts w:hint="default" w:ascii="sans-serif" w:hAnsi="sans-serif" w:eastAsia="sans-serif" w:cs="sans-serif"/>
          <w:i w:val="0"/>
          <w:caps w:val="0"/>
          <w:color w:val="36363E"/>
          <w:spacing w:val="0"/>
          <w:sz w:val="25"/>
          <w:szCs w:val="25"/>
          <w:shd w:val="clear" w:fill="FFFFFF"/>
        </w:rPr>
        <w:t>(Figure 3)</w:t>
      </w:r>
      <w:r>
        <w:rPr>
          <w:rFonts w:hint="default" w:ascii="sans-serif" w:hAnsi="sans-serif" w:eastAsia="sans-serif" w:cs="sans-serif"/>
          <w:i w:val="0"/>
          <w:caps w:val="0"/>
          <w:color w:val="36363E"/>
          <w:spacing w:val="0"/>
          <w:sz w:val="25"/>
          <w:szCs w:val="25"/>
          <w:shd w:val="clear" w:fill="FFFFFF"/>
        </w:rPr>
        <w:t>, this means that Power BI is filtering 'Sales'[Order Total] only for high-priced inventory.</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caps w:val="0"/>
          <w:color w:val="36363E"/>
          <w:spacing w:val="0"/>
          <w:sz w:val="25"/>
          <w:szCs w:val="25"/>
          <w:shd w:val="clear" w:fill="FFFFFF"/>
        </w:rPr>
        <w:t>Perform the aggregate operation. In the example above, this means that we are summing the Order Total, or SUM('Sales'[Order Total]).</w:t>
      </w:r>
    </w:p>
    <w:p>
      <w:pPr>
        <w:keepNext w:val="0"/>
        <w:keepLines w:val="0"/>
        <w:widowControl/>
        <w:numPr>
          <w:ilvl w:val="0"/>
          <w:numId w:val="1"/>
        </w:numPr>
        <w:suppressLineNumbers w:val="0"/>
        <w:spacing w:before="0" w:beforeAutospacing="1" w:after="0" w:afterAutospacing="1"/>
        <w:ind w:left="720" w:hanging="360"/>
      </w:pPr>
      <w:r>
        <w:rPr>
          <w:rFonts w:hint="default" w:ascii="sans-serif" w:hAnsi="sans-serif" w:eastAsia="sans-serif" w:cs="sans-serif"/>
          <w:i w:val="0"/>
          <w:caps w:val="0"/>
          <w:color w:val="36363E"/>
          <w:spacing w:val="0"/>
          <w:sz w:val="25"/>
          <w:szCs w:val="25"/>
          <w:shd w:val="clear" w:fill="FFFFFF"/>
        </w:rPr>
        <w:t>Return results. As we can see above, the measure, Sum of High Orders </w:t>
      </w:r>
      <w:r>
        <w:rPr>
          <w:rStyle w:val="6"/>
          <w:rFonts w:hint="default" w:ascii="sans-serif" w:hAnsi="sans-serif" w:eastAsia="sans-serif" w:cs="sans-serif"/>
          <w:i w:val="0"/>
          <w:caps w:val="0"/>
          <w:color w:val="36363E"/>
          <w:spacing w:val="0"/>
          <w:sz w:val="25"/>
          <w:szCs w:val="25"/>
          <w:shd w:val="clear" w:fill="FFFFFF"/>
        </w:rPr>
        <w:t>(Figure 4)</w:t>
      </w:r>
      <w:r>
        <w:rPr>
          <w:rFonts w:hint="default" w:ascii="sans-serif" w:hAnsi="sans-serif" w:eastAsia="sans-serif" w:cs="sans-serif"/>
          <w:i w:val="0"/>
          <w:caps w:val="0"/>
          <w:color w:val="36363E"/>
          <w:spacing w:val="0"/>
          <w:sz w:val="25"/>
          <w:szCs w:val="25"/>
          <w:shd w:val="clear" w:fill="FFFFFF"/>
        </w:rPr>
        <w:t>, matches the results when we total the rows of the calculated column, Order Total </w:t>
      </w:r>
      <w:r>
        <w:rPr>
          <w:rStyle w:val="6"/>
          <w:rFonts w:hint="default" w:ascii="sans-serif" w:hAnsi="sans-serif" w:eastAsia="sans-serif" w:cs="sans-serif"/>
          <w:i w:val="0"/>
          <w:caps w:val="0"/>
          <w:color w:val="36363E"/>
          <w:spacing w:val="0"/>
          <w:sz w:val="25"/>
          <w:szCs w:val="25"/>
          <w:shd w:val="clear" w:fill="FFFFFF"/>
        </w:rPr>
        <w:t>(Figure 3)</w:t>
      </w:r>
      <w:r>
        <w:rPr>
          <w:rFonts w:hint="default" w:ascii="sans-serif" w:hAnsi="sans-serif" w:eastAsia="sans-serif" w:cs="sans-serif"/>
          <w:i w:val="0"/>
          <w:caps w:val="0"/>
          <w:color w:val="36363E"/>
          <w:spacing w:val="0"/>
          <w:sz w:val="25"/>
          <w:szCs w:val="25"/>
          <w:shd w:val="clear" w:fill="FFFFFF"/>
        </w:rPr>
        <w:t>, in the table.</w:t>
      </w:r>
    </w:p>
    <w:p>
      <w:pPr>
        <w:pStyle w:val="4"/>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6363E"/>
          <w:spacing w:val="0"/>
          <w:sz w:val="25"/>
          <w:szCs w:val="25"/>
          <w:shd w:val="clear" w:fill="FFFFFF"/>
        </w:rPr>
        <w:t>Although there are additional technical and performance considerations for when to use a calculated column and when to use a measure, the high-level differentiation between the two are:</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caps w:val="0"/>
          <w:color w:val="36363E"/>
          <w:spacing w:val="0"/>
          <w:sz w:val="25"/>
          <w:szCs w:val="25"/>
          <w:shd w:val="clear" w:fill="FFFFFF"/>
        </w:rPr>
        <w:t>Use a </w:t>
      </w:r>
      <w:r>
        <w:rPr>
          <w:rStyle w:val="8"/>
          <w:rFonts w:hint="default" w:ascii="sans-serif" w:hAnsi="sans-serif" w:eastAsia="sans-serif" w:cs="sans-serif"/>
          <w:i w:val="0"/>
          <w:caps w:val="0"/>
          <w:color w:val="36363E"/>
          <w:spacing w:val="0"/>
          <w:sz w:val="25"/>
          <w:szCs w:val="25"/>
          <w:shd w:val="clear" w:fill="FFFFFF"/>
        </w:rPr>
        <w:t>calculated column</w:t>
      </w:r>
      <w:r>
        <w:rPr>
          <w:rFonts w:hint="default" w:ascii="sans-serif" w:hAnsi="sans-serif" w:eastAsia="sans-serif" w:cs="sans-serif"/>
          <w:i w:val="0"/>
          <w:caps w:val="0"/>
          <w:color w:val="36363E"/>
          <w:spacing w:val="0"/>
          <w:sz w:val="25"/>
          <w:szCs w:val="25"/>
          <w:shd w:val="clear" w:fill="FFFFFF"/>
        </w:rPr>
        <w:t> when you want to evaluate each row</w:t>
      </w:r>
    </w:p>
    <w:p>
      <w:pPr>
        <w:keepNext w:val="0"/>
        <w:keepLines w:val="0"/>
        <w:widowControl/>
        <w:numPr>
          <w:ilvl w:val="0"/>
          <w:numId w:val="2"/>
        </w:numPr>
        <w:suppressLineNumbers w:val="0"/>
        <w:spacing w:before="0" w:beforeAutospacing="1" w:after="0" w:afterAutospacing="1"/>
        <w:ind w:left="720" w:hanging="360"/>
      </w:pPr>
      <w:r>
        <w:rPr>
          <w:rFonts w:hint="default" w:ascii="sans-serif" w:hAnsi="sans-serif" w:eastAsia="sans-serif" w:cs="sans-serif"/>
          <w:i w:val="0"/>
          <w:caps w:val="0"/>
          <w:color w:val="36363E"/>
          <w:spacing w:val="0"/>
          <w:sz w:val="25"/>
          <w:szCs w:val="25"/>
          <w:shd w:val="clear" w:fill="FFFFFF"/>
        </w:rPr>
        <w:t>Use a </w:t>
      </w:r>
      <w:r>
        <w:rPr>
          <w:rStyle w:val="8"/>
          <w:rFonts w:hint="default" w:ascii="sans-serif" w:hAnsi="sans-serif" w:eastAsia="sans-serif" w:cs="sans-serif"/>
          <w:i w:val="0"/>
          <w:caps w:val="0"/>
          <w:color w:val="36363E"/>
          <w:spacing w:val="0"/>
          <w:sz w:val="25"/>
          <w:szCs w:val="25"/>
          <w:shd w:val="clear" w:fill="FFFFFF"/>
        </w:rPr>
        <w:t>measure</w:t>
      </w:r>
      <w:r>
        <w:rPr>
          <w:rFonts w:hint="default" w:ascii="sans-serif" w:hAnsi="sans-serif" w:eastAsia="sans-serif" w:cs="sans-serif"/>
          <w:i w:val="0"/>
          <w:caps w:val="0"/>
          <w:color w:val="36363E"/>
          <w:spacing w:val="0"/>
          <w:sz w:val="25"/>
          <w:szCs w:val="25"/>
          <w:shd w:val="clear" w:fill="FFFFFF"/>
        </w:rPr>
        <w:t> when you need an aggregate</w:t>
      </w:r>
    </w:p>
    <w:p>
      <w:pPr>
        <w:pStyle w:val="4"/>
        <w:keepNext w:val="0"/>
        <w:keepLines w:val="0"/>
        <w:widowControl/>
        <w:suppressLineNumbers w:val="0"/>
        <w:spacing w:before="0" w:beforeAutospacing="0" w:after="300" w:afterAutospacing="0"/>
        <w:ind w:left="0" w:right="0"/>
      </w:pPr>
      <w:r>
        <w:rPr>
          <w:rFonts w:hint="default" w:ascii="sans-serif" w:hAnsi="sans-serif" w:eastAsia="sans-serif" w:cs="sans-serif"/>
          <w:i w:val="0"/>
          <w:caps w:val="0"/>
          <w:color w:val="36363E"/>
          <w:spacing w:val="0"/>
          <w:sz w:val="25"/>
          <w:szCs w:val="25"/>
          <w:shd w:val="clear" w:fill="FFFFFF"/>
        </w:rPr>
        <w:t>If you are interested in learning more about </w:t>
      </w:r>
      <w:r>
        <w:rPr>
          <w:rFonts w:hint="default" w:ascii="sans-serif" w:hAnsi="sans-serif" w:eastAsia="sans-serif" w:cs="sans-serif"/>
          <w:i w:val="0"/>
          <w:caps w:val="0"/>
          <w:color w:val="007DC3"/>
          <w:spacing w:val="0"/>
          <w:sz w:val="25"/>
          <w:szCs w:val="25"/>
          <w:shd w:val="clear" w:fill="FFFFFF"/>
        </w:rPr>
        <w:fldChar w:fldCharType="begin"/>
      </w:r>
      <w:r>
        <w:rPr>
          <w:rFonts w:hint="default" w:ascii="sans-serif" w:hAnsi="sans-serif" w:eastAsia="sans-serif" w:cs="sans-serif"/>
          <w:i w:val="0"/>
          <w:caps w:val="0"/>
          <w:color w:val="007DC3"/>
          <w:spacing w:val="0"/>
          <w:sz w:val="25"/>
          <w:szCs w:val="25"/>
          <w:shd w:val="clear" w:fill="FFFFFF"/>
        </w:rPr>
        <w:instrText xml:space="preserve"> HYPERLINK "https://powerbi.microsoft.com/en-us/documentation/powerbi-desktop-tutorial-create-measures/" </w:instrText>
      </w:r>
      <w:r>
        <w:rPr>
          <w:rFonts w:hint="default" w:ascii="sans-serif" w:hAnsi="sans-serif" w:eastAsia="sans-serif" w:cs="sans-serif"/>
          <w:i w:val="0"/>
          <w:caps w:val="0"/>
          <w:color w:val="007DC3"/>
          <w:spacing w:val="0"/>
          <w:sz w:val="25"/>
          <w:szCs w:val="25"/>
          <w:shd w:val="clear" w:fill="FFFFFF"/>
        </w:rPr>
        <w:fldChar w:fldCharType="separate"/>
      </w:r>
      <w:r>
        <w:rPr>
          <w:rStyle w:val="7"/>
          <w:rFonts w:hint="default" w:ascii="sans-serif" w:hAnsi="sans-serif" w:eastAsia="sans-serif" w:cs="sans-serif"/>
          <w:i w:val="0"/>
          <w:caps w:val="0"/>
          <w:color w:val="007DC3"/>
          <w:spacing w:val="0"/>
          <w:sz w:val="25"/>
          <w:szCs w:val="25"/>
          <w:shd w:val="clear" w:fill="FFFFFF"/>
        </w:rPr>
        <w:t>measures</w:t>
      </w:r>
      <w:r>
        <w:rPr>
          <w:rFonts w:hint="default" w:ascii="sans-serif" w:hAnsi="sans-serif" w:eastAsia="sans-serif" w:cs="sans-serif"/>
          <w:i w:val="0"/>
          <w:caps w:val="0"/>
          <w:color w:val="007DC3"/>
          <w:spacing w:val="0"/>
          <w:sz w:val="25"/>
          <w:szCs w:val="25"/>
          <w:shd w:val="clear" w:fill="FFFFFF"/>
        </w:rPr>
        <w:fldChar w:fldCharType="end"/>
      </w:r>
      <w:r>
        <w:rPr>
          <w:rFonts w:hint="default" w:ascii="sans-serif" w:hAnsi="sans-serif" w:eastAsia="sans-serif" w:cs="sans-serif"/>
          <w:i w:val="0"/>
          <w:caps w:val="0"/>
          <w:color w:val="36363E"/>
          <w:spacing w:val="0"/>
          <w:sz w:val="25"/>
          <w:szCs w:val="25"/>
          <w:shd w:val="clear" w:fill="FFFFFF"/>
        </w:rPr>
        <w:t> or </w:t>
      </w:r>
      <w:r>
        <w:rPr>
          <w:rFonts w:hint="default" w:ascii="sans-serif" w:hAnsi="sans-serif" w:eastAsia="sans-serif" w:cs="sans-serif"/>
          <w:i w:val="0"/>
          <w:caps w:val="0"/>
          <w:color w:val="007DC3"/>
          <w:spacing w:val="0"/>
          <w:sz w:val="25"/>
          <w:szCs w:val="25"/>
          <w:shd w:val="clear" w:fill="FFFFFF"/>
        </w:rPr>
        <w:fldChar w:fldCharType="begin"/>
      </w:r>
      <w:r>
        <w:rPr>
          <w:rFonts w:hint="default" w:ascii="sans-serif" w:hAnsi="sans-serif" w:eastAsia="sans-serif" w:cs="sans-serif"/>
          <w:i w:val="0"/>
          <w:caps w:val="0"/>
          <w:color w:val="007DC3"/>
          <w:spacing w:val="0"/>
          <w:sz w:val="25"/>
          <w:szCs w:val="25"/>
          <w:shd w:val="clear" w:fill="FFFFFF"/>
        </w:rPr>
        <w:instrText xml:space="preserve"> HYPERLINK "https://powerbi.microsoft.com/en-us/documentation/powerbi-desktop-tutorial-create-calculated-columns/" </w:instrText>
      </w:r>
      <w:r>
        <w:rPr>
          <w:rFonts w:hint="default" w:ascii="sans-serif" w:hAnsi="sans-serif" w:eastAsia="sans-serif" w:cs="sans-serif"/>
          <w:i w:val="0"/>
          <w:caps w:val="0"/>
          <w:color w:val="007DC3"/>
          <w:spacing w:val="0"/>
          <w:sz w:val="25"/>
          <w:szCs w:val="25"/>
          <w:shd w:val="clear" w:fill="FFFFFF"/>
        </w:rPr>
        <w:fldChar w:fldCharType="separate"/>
      </w:r>
      <w:r>
        <w:rPr>
          <w:rStyle w:val="7"/>
          <w:rFonts w:hint="default" w:ascii="sans-serif" w:hAnsi="sans-serif" w:eastAsia="sans-serif" w:cs="sans-serif"/>
          <w:i w:val="0"/>
          <w:caps w:val="0"/>
          <w:color w:val="007DC3"/>
          <w:spacing w:val="0"/>
          <w:sz w:val="25"/>
          <w:szCs w:val="25"/>
          <w:shd w:val="clear" w:fill="FFFFFF"/>
        </w:rPr>
        <w:t>calculated columns</w:t>
      </w:r>
      <w:r>
        <w:rPr>
          <w:rFonts w:hint="default" w:ascii="sans-serif" w:hAnsi="sans-serif" w:eastAsia="sans-serif" w:cs="sans-serif"/>
          <w:i w:val="0"/>
          <w:caps w:val="0"/>
          <w:color w:val="007DC3"/>
          <w:spacing w:val="0"/>
          <w:sz w:val="25"/>
          <w:szCs w:val="25"/>
          <w:shd w:val="clear" w:fill="FFFFFF"/>
        </w:rPr>
        <w:fldChar w:fldCharType="end"/>
      </w:r>
      <w:r>
        <w:rPr>
          <w:rFonts w:hint="default" w:ascii="sans-serif" w:hAnsi="sans-serif" w:eastAsia="sans-serif" w:cs="sans-serif"/>
          <w:i w:val="0"/>
          <w:caps w:val="0"/>
          <w:color w:val="36363E"/>
          <w:spacing w:val="0"/>
          <w:sz w:val="25"/>
          <w:szCs w:val="25"/>
          <w:shd w:val="clear" w:fill="FFFFFF"/>
        </w:rPr>
        <w:t>, be sure to check out </w:t>
      </w:r>
      <w:r>
        <w:rPr>
          <w:rFonts w:hint="default" w:ascii="sans-serif" w:hAnsi="sans-serif" w:eastAsia="sans-serif" w:cs="sans-serif"/>
          <w:i w:val="0"/>
          <w:caps w:val="0"/>
          <w:color w:val="007DC3"/>
          <w:spacing w:val="0"/>
          <w:sz w:val="25"/>
          <w:szCs w:val="25"/>
          <w:shd w:val="clear" w:fill="FFFFFF"/>
        </w:rPr>
        <w:fldChar w:fldCharType="begin"/>
      </w:r>
      <w:r>
        <w:rPr>
          <w:rFonts w:hint="default" w:ascii="sans-serif" w:hAnsi="sans-serif" w:eastAsia="sans-serif" w:cs="sans-serif"/>
          <w:i w:val="0"/>
          <w:caps w:val="0"/>
          <w:color w:val="007DC3"/>
          <w:spacing w:val="0"/>
          <w:sz w:val="25"/>
          <w:szCs w:val="25"/>
          <w:shd w:val="clear" w:fill="FFFFFF"/>
        </w:rPr>
        <w:instrText xml:space="preserve"> HYPERLINK "https://powerbi.microsoft.com/en-us/documentation/powerbi-desktop-get-the-desktop/" </w:instrText>
      </w:r>
      <w:r>
        <w:rPr>
          <w:rFonts w:hint="default" w:ascii="sans-serif" w:hAnsi="sans-serif" w:eastAsia="sans-serif" w:cs="sans-serif"/>
          <w:i w:val="0"/>
          <w:caps w:val="0"/>
          <w:color w:val="007DC3"/>
          <w:spacing w:val="0"/>
          <w:sz w:val="25"/>
          <w:szCs w:val="25"/>
          <w:shd w:val="clear" w:fill="FFFFFF"/>
        </w:rPr>
        <w:fldChar w:fldCharType="separate"/>
      </w:r>
      <w:r>
        <w:rPr>
          <w:rStyle w:val="7"/>
          <w:rFonts w:hint="default" w:ascii="sans-serif" w:hAnsi="sans-serif" w:eastAsia="sans-serif" w:cs="sans-serif"/>
          <w:i w:val="0"/>
          <w:caps w:val="0"/>
          <w:color w:val="007DC3"/>
          <w:spacing w:val="0"/>
          <w:sz w:val="25"/>
          <w:szCs w:val="25"/>
          <w:shd w:val="clear" w:fill="FFFFFF"/>
        </w:rPr>
        <w:t>Microsoft’s Power BI Documentation</w:t>
      </w:r>
      <w:r>
        <w:rPr>
          <w:rFonts w:hint="default" w:ascii="sans-serif" w:hAnsi="sans-serif" w:eastAsia="sans-serif" w:cs="sans-serif"/>
          <w:i w:val="0"/>
          <w:caps w:val="0"/>
          <w:color w:val="007DC3"/>
          <w:spacing w:val="0"/>
          <w:sz w:val="25"/>
          <w:szCs w:val="25"/>
          <w:shd w:val="clear" w:fill="FFFFFF"/>
        </w:rPr>
        <w:fldChar w:fldCharType="end"/>
      </w:r>
      <w:r>
        <w:rPr>
          <w:rFonts w:hint="default" w:ascii="sans-serif" w:hAnsi="sans-serif" w:eastAsia="sans-serif" w:cs="sans-serif"/>
          <w:i w:val="0"/>
          <w:caps w:val="0"/>
          <w:color w:val="36363E"/>
          <w:spacing w:val="0"/>
          <w:sz w:val="25"/>
          <w:szCs w:val="25"/>
          <w:shd w:val="clear" w:fill="FFFFFF"/>
        </w:rPr>
        <w:t>. Additionally, if you have a question or want to know more about how BlueGranite can help your organization with Power BI, </w:t>
      </w:r>
      <w:r>
        <w:rPr>
          <w:rFonts w:hint="default" w:ascii="sans-serif" w:hAnsi="sans-serif" w:eastAsia="sans-serif" w:cs="sans-serif"/>
          <w:i w:val="0"/>
          <w:caps w:val="0"/>
          <w:color w:val="007DC3"/>
          <w:spacing w:val="0"/>
          <w:sz w:val="25"/>
          <w:szCs w:val="25"/>
          <w:shd w:val="clear" w:fill="FFFFFF"/>
        </w:rPr>
        <w:fldChar w:fldCharType="begin"/>
      </w:r>
      <w:r>
        <w:rPr>
          <w:rFonts w:hint="default" w:ascii="sans-serif" w:hAnsi="sans-serif" w:eastAsia="sans-serif" w:cs="sans-serif"/>
          <w:i w:val="0"/>
          <w:caps w:val="0"/>
          <w:color w:val="007DC3"/>
          <w:spacing w:val="0"/>
          <w:sz w:val="25"/>
          <w:szCs w:val="25"/>
          <w:shd w:val="clear" w:fill="FFFFFF"/>
        </w:rPr>
        <w:instrText xml:space="preserve"> HYPERLINK "https://www.blue-granite.com/contact-us" </w:instrText>
      </w:r>
      <w:r>
        <w:rPr>
          <w:rFonts w:hint="default" w:ascii="sans-serif" w:hAnsi="sans-serif" w:eastAsia="sans-serif" w:cs="sans-serif"/>
          <w:i w:val="0"/>
          <w:caps w:val="0"/>
          <w:color w:val="007DC3"/>
          <w:spacing w:val="0"/>
          <w:sz w:val="25"/>
          <w:szCs w:val="25"/>
          <w:shd w:val="clear" w:fill="FFFFFF"/>
        </w:rPr>
        <w:fldChar w:fldCharType="separate"/>
      </w:r>
      <w:r>
        <w:rPr>
          <w:rStyle w:val="7"/>
          <w:rFonts w:hint="default" w:ascii="sans-serif" w:hAnsi="sans-serif" w:eastAsia="sans-serif" w:cs="sans-serif"/>
          <w:i w:val="0"/>
          <w:caps w:val="0"/>
          <w:color w:val="007DC3"/>
          <w:spacing w:val="0"/>
          <w:sz w:val="25"/>
          <w:szCs w:val="25"/>
          <w:shd w:val="clear" w:fill="FFFFFF"/>
        </w:rPr>
        <w:t>contact us</w:t>
      </w:r>
      <w:r>
        <w:rPr>
          <w:rFonts w:hint="default" w:ascii="sans-serif" w:hAnsi="sans-serif" w:eastAsia="sans-serif" w:cs="sans-serif"/>
          <w:i w:val="0"/>
          <w:caps w:val="0"/>
          <w:color w:val="007DC3"/>
          <w:spacing w:val="0"/>
          <w:sz w:val="25"/>
          <w:szCs w:val="25"/>
          <w:shd w:val="clear" w:fill="FFFFFF"/>
        </w:rPr>
        <w:fldChar w:fldCharType="end"/>
      </w:r>
      <w:r>
        <w:rPr>
          <w:rFonts w:hint="default" w:ascii="sans-serif" w:hAnsi="sans-serif" w:eastAsia="sans-serif" w:cs="sans-serif"/>
          <w:i w:val="0"/>
          <w:caps w:val="0"/>
          <w:color w:val="36363E"/>
          <w:spacing w:val="0"/>
          <w:sz w:val="25"/>
          <w:szCs w:val="25"/>
          <w:shd w:val="clear" w:fill="FFFFFF"/>
        </w:rPr>
        <w:t>!</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0003BDC"/>
    <w:multiLevelType w:val="multilevel"/>
    <w:tmpl w:val="F0003B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73AF79C"/>
    <w:multiLevelType w:val="multilevel"/>
    <w:tmpl w:val="773AF7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B87764"/>
    <w:rsid w:val="0BB877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Emphasis"/>
    <w:basedOn w:val="5"/>
    <w:qFormat/>
    <w:uiPriority w:val="0"/>
    <w:rPr>
      <w:i/>
      <w:iCs/>
    </w:rPr>
  </w:style>
  <w:style w:type="character" w:styleId="7">
    <w:name w:val="Hyperlink"/>
    <w:basedOn w:val="5"/>
    <w:uiPriority w:val="0"/>
    <w:rPr>
      <w:color w:val="0000FF"/>
      <w:u w:val="single"/>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2020-04-19T13:51:00Z</dcterms:created>
  <dc:creator>saran</dc:creator>
  <cp:lastModifiedBy>MANIRATNA SARNESH</cp:lastModifiedBy>
  <dcterms:modified xsi:type="dcterms:W3CDTF">2020-04-19T13:52:39Z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