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762A40"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41045" cy="746760"/>
            <wp:effectExtent l="0" t="0" r="1905" b="0"/>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6760"/>
                    </a:xfrm>
                    <a:prstGeom prst="rect">
                      <a:avLst/>
                    </a:prstGeom>
                  </pic:spPr>
                </pic:pic>
              </a:graphicData>
            </a:graphic>
          </wp:anchor>
        </w:drawing>
      </w:r>
      <w:r w:rsidR="004B764E">
        <w:t>DER.2.2 Vorsorge für die IT-Forensik</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762A40">
      <w:pPr>
        <w:pStyle w:val="berschrift1"/>
      </w:pPr>
      <w:bookmarkStart w:id="1" w:name="scroll-bookmark-1"/>
      <w:bookmarkStart w:id="2" w:name="scroll-bookmark-2"/>
      <w:bookmarkEnd w:id="1"/>
      <w:r>
        <w:t>Beschreibung</w:t>
      </w:r>
      <w:bookmarkEnd w:id="2"/>
    </w:p>
    <w:p w:rsidR="00D5157F" w:rsidRDefault="00762A40">
      <w:pPr>
        <w:pStyle w:val="berschrift2"/>
      </w:pPr>
      <w:bookmarkStart w:id="3" w:name="scroll-bookmark-3"/>
      <w:r>
        <w:t>Einleitung</w:t>
      </w:r>
      <w:bookmarkEnd w:id="3"/>
    </w:p>
    <w:p w:rsidR="00D5157F" w:rsidRDefault="00762A40">
      <w:r>
        <w:rPr>
          <w:color w:val="000000"/>
        </w:rPr>
        <w:t>IT-Forensik ist die streng methodisch vorgenommene Datenanalyse auf Datenträgern und in Datennetzen zur Aufklärung von Sicherheitsvorfällen in IT-Systemen.</w:t>
      </w:r>
    </w:p>
    <w:p w:rsidR="00D5157F" w:rsidRDefault="00762A40">
      <w:r>
        <w:rPr>
          <w:color w:val="000000"/>
        </w:rPr>
        <w:t>IT-Sicherheitsvorfälle forensisch zu untersuchen, ist immer dann notwendig, wenn entstandene Schäden bestimmt, Angriffe abgewehrt, zukünftige Angriffe vermieden und Angreifende identifiziert werden sollen. Ob ein IT-Sicherheitsvorfall forensisch untersucht wird, entscheidet sich, während der Vorfall behandelt wird. Eine IT-forensische Untersuchung im Sinne dieses Bausteins besteht aus den folgenden Phasen:</w:t>
      </w:r>
    </w:p>
    <w:p w:rsidR="00D5157F" w:rsidRDefault="00762A40">
      <w:pPr>
        <w:numPr>
          <w:ilvl w:val="0"/>
          <w:numId w:val="27"/>
        </w:numPr>
      </w:pPr>
      <w:r>
        <w:rPr>
          <w:color w:val="000000"/>
        </w:rPr>
        <w:t>Strategische Vorbereitung: In dieser Phase werden Prozesse geplant und aufgebaut, die sicherstellen, dass eine Institution IT-Sicherheitsvorfälle forensisch analysieren kann. Sie ist auch dann notwendig, wenn die Institution über keine eigene Forensik-Expertise verfügt.</w:t>
      </w:r>
    </w:p>
    <w:p w:rsidR="00D5157F" w:rsidRDefault="00762A40">
      <w:pPr>
        <w:numPr>
          <w:ilvl w:val="0"/>
          <w:numId w:val="27"/>
        </w:numPr>
      </w:pPr>
      <w:r>
        <w:rPr>
          <w:color w:val="000000"/>
        </w:rPr>
        <w:t>Initialisierung: Nachdem die verantwortlichen Mitarbeitenden entschieden haben, einen IT-Sicherheitsvorfall forensisch zu untersuchen, werden die vorher geplanten Prozesse angestoßen. Des Weiteren wird der Untersuchungsrahmen festgelegt und es werden Erstmaßnahmen durchgeführt.</w:t>
      </w:r>
    </w:p>
    <w:p w:rsidR="00D5157F" w:rsidRDefault="00762A40">
      <w:pPr>
        <w:numPr>
          <w:ilvl w:val="0"/>
          <w:numId w:val="27"/>
        </w:numPr>
      </w:pPr>
      <w:r>
        <w:rPr>
          <w:color w:val="000000"/>
        </w:rPr>
        <w:t>Spurensicherung: Hier werden die zu sichernden Beweismittel ausgewählt und die Daten forensisch gesichert. Dabei wird zwischen Live-Forensik und Post-</w:t>
      </w:r>
      <w:proofErr w:type="spellStart"/>
      <w:r>
        <w:rPr>
          <w:color w:val="000000"/>
        </w:rPr>
        <w:t>Mortem</w:t>
      </w:r>
      <w:proofErr w:type="spellEnd"/>
      <w:r>
        <w:rPr>
          <w:color w:val="000000"/>
        </w:rPr>
        <w:t>-Forensik unterschieden: Die Live-Forensik stellt sicher, dass flüchtige Daten, wie z. B. Netzverbindungen oder RAM, von einem laufenden IT-System gesichert werden. Bei der Post-</w:t>
      </w:r>
      <w:proofErr w:type="spellStart"/>
      <w:r>
        <w:rPr>
          <w:color w:val="000000"/>
        </w:rPr>
        <w:t>Mortem</w:t>
      </w:r>
      <w:proofErr w:type="spellEnd"/>
      <w:r>
        <w:rPr>
          <w:color w:val="000000"/>
        </w:rPr>
        <w:t>-Forensik hingegen werden forensische Kopien von Datenträgern erstellt.</w:t>
      </w:r>
    </w:p>
    <w:p w:rsidR="00D5157F" w:rsidRDefault="00762A40">
      <w:pPr>
        <w:numPr>
          <w:ilvl w:val="0"/>
          <w:numId w:val="27"/>
        </w:numPr>
      </w:pPr>
      <w:r>
        <w:rPr>
          <w:color w:val="000000"/>
        </w:rPr>
        <w:t>Analyse: Die gesammelten Daten werden forensisch analysiert. Dabei werden die Daten sowohl für sich als auch im Gesamtzusammenhang betrachtet.</w:t>
      </w:r>
    </w:p>
    <w:p w:rsidR="00D5157F" w:rsidRDefault="00762A40">
      <w:pPr>
        <w:numPr>
          <w:ilvl w:val="0"/>
          <w:numId w:val="27"/>
        </w:numPr>
      </w:pPr>
      <w:r>
        <w:rPr>
          <w:color w:val="000000"/>
        </w:rPr>
        <w:t>Ergebnisdarstellung: Die relevanten Untersuchungsergebnisse werden zielgruppengerecht aufbereitet und vermittelt.</w:t>
      </w:r>
    </w:p>
    <w:p w:rsidR="00D5157F" w:rsidRDefault="00762A40">
      <w:pPr>
        <w:pStyle w:val="berschrift2"/>
      </w:pPr>
      <w:bookmarkStart w:id="4" w:name="scroll-bookmark-4"/>
      <w:r>
        <w:lastRenderedPageBreak/>
        <w:t>Zielsetzung</w:t>
      </w:r>
      <w:bookmarkEnd w:id="4"/>
    </w:p>
    <w:p w:rsidR="00D5157F" w:rsidRDefault="00762A40">
      <w:r>
        <w:rPr>
          <w:color w:val="000000"/>
        </w:rPr>
        <w:t>Der Baustein zeigt auf, welche Vorsorgemaßnahmen notwendig sind, um IT-forensische Untersuchungen zu ermöglichen. Dabei wird vor allem darauf eingegangen, wie die Spurensicherung vorbereitet und durchgeführt werden kann.</w:t>
      </w:r>
    </w:p>
    <w:p w:rsidR="00D5157F" w:rsidRDefault="00762A40">
      <w:r>
        <w:rPr>
          <w:color w:val="000000"/>
        </w:rPr>
        <w:t xml:space="preserve">Führen Forensik-Dienstleistende Spurensicherungen ganz oder teilweise durch, gelten die Anforderungen auch für die Dienstleistenden. Durch vertragliche Vereinbarungen und Prüfungen kann dabei sichergestellt werden, dass sich die Dienstleistenden auch </w:t>
      </w:r>
      <w:proofErr w:type="gramStart"/>
      <w:r>
        <w:rPr>
          <w:color w:val="000000"/>
        </w:rPr>
        <w:t>daran halten</w:t>
      </w:r>
      <w:proofErr w:type="gramEnd"/>
      <w:r>
        <w:rPr>
          <w:color w:val="000000"/>
        </w:rPr>
        <w:t>.</w:t>
      </w:r>
    </w:p>
    <w:p w:rsidR="00D5157F" w:rsidRDefault="00762A40">
      <w:pPr>
        <w:pStyle w:val="berschrift2"/>
      </w:pPr>
      <w:bookmarkStart w:id="5" w:name="scroll-bookmark-5"/>
      <w:r>
        <w:t>Abgrenzung und Modellierung</w:t>
      </w:r>
      <w:bookmarkEnd w:id="5"/>
    </w:p>
    <w:p w:rsidR="00D5157F" w:rsidRDefault="00762A40">
      <w:r>
        <w:rPr>
          <w:color w:val="000000"/>
        </w:rPr>
        <w:t xml:space="preserve">Der Baustein DER.2.2 </w:t>
      </w:r>
      <w:r>
        <w:rPr>
          <w:i/>
          <w:color w:val="000000"/>
        </w:rPr>
        <w:t>Vorsorge für die IT-Forensik</w:t>
      </w:r>
      <w:r>
        <w:rPr>
          <w:color w:val="000000"/>
        </w:rPr>
        <w:t xml:space="preserve"> ist für den gesamten Informationsverbund einmal anzuwenden.</w:t>
      </w:r>
    </w:p>
    <w:p w:rsidR="00D5157F" w:rsidRDefault="00762A40">
      <w:r>
        <w:rPr>
          <w:color w:val="000000"/>
        </w:rPr>
        <w:t>Der Baustein befasst sich mit Vorsorgemaßnahmen, die grundlegend für spätere IT-forensische Untersuchungen sind.</w:t>
      </w:r>
    </w:p>
    <w:p w:rsidR="00D5157F" w:rsidRDefault="00762A40">
      <w:r>
        <w:rPr>
          <w:color w:val="000000"/>
        </w:rPr>
        <w:t xml:space="preserve">Wie die eigentliche forensische Analyse durchgeführt wird, ist daher nicht Thema dieses Bausteins. Es werden keine Anforderungen beschrieben, die sicherstellen, dass Angriffe erkannt werden. Diese sind im Baustein DER.1 </w:t>
      </w:r>
      <w:r>
        <w:rPr>
          <w:i/>
          <w:color w:val="000000"/>
        </w:rPr>
        <w:t>Detektion von sicherheitsrelevanten Ereignissen</w:t>
      </w:r>
      <w:r>
        <w:rPr>
          <w:color w:val="000000"/>
        </w:rPr>
        <w:t xml:space="preserve"> enthalten und werden im vorliegenden Baustein vorausgesetzt. Auch werden keine Kriterien und Prozesse erläutert, anhand derer die Verantwortlichen entscheiden können, ob ein IT-Sicherheitsvorfall forensisch untersucht werden muss oder nicht. Die Entscheidung darüber wird getroffen, während der Sicherheitsvorfall behandelt wird (siehe DER.2.1 </w:t>
      </w:r>
      <w:r>
        <w:rPr>
          <w:i/>
          <w:color w:val="000000"/>
        </w:rPr>
        <w:t>Behandlung von Sicherheitsvorfällen</w:t>
      </w:r>
      <w:r>
        <w:rPr>
          <w:color w:val="000000"/>
        </w:rPr>
        <w:t>).</w:t>
      </w:r>
    </w:p>
    <w:p w:rsidR="00D5157F" w:rsidRDefault="00762A40">
      <w:r>
        <w:rPr>
          <w:color w:val="000000"/>
        </w:rPr>
        <w:t>Ebenso bezieht sich der Baustein nicht auf IT-forensische Untersuchungen bei Straftaten.</w:t>
      </w:r>
    </w:p>
    <w:p w:rsidR="00D5157F" w:rsidRDefault="00762A40">
      <w:r>
        <w:rPr>
          <w:color w:val="000000"/>
        </w:rPr>
        <w:t xml:space="preserve">Letztlich geht der Baustein auch nicht darauf ein, wie sich IT-Infrastrukturen bereinigen lassen, nachdem sie angegriffen worden sind (siehe dazu DER.2.3 </w:t>
      </w:r>
      <w:r>
        <w:rPr>
          <w:i/>
          <w:color w:val="000000"/>
        </w:rPr>
        <w:t>Bereinigung weitreichender Sicherheitsvorfälle</w:t>
      </w:r>
      <w:r>
        <w:rPr>
          <w:color w:val="000000"/>
        </w:rPr>
        <w:t>). Die dort beschriebenen Tätigkeiten können jedoch durch die Ergebnisse von IT-forensischen Untersuchungen maßgeblich unterstützt werden.</w:t>
      </w:r>
    </w:p>
    <w:p w:rsidR="00D5157F" w:rsidRDefault="00762A40">
      <w:pPr>
        <w:pStyle w:val="berschrift1"/>
      </w:pPr>
      <w:bookmarkStart w:id="6" w:name="scroll-bookmark-6"/>
      <w:r>
        <w:t>Gefährdungslage</w:t>
      </w:r>
      <w:bookmarkEnd w:id="6"/>
    </w:p>
    <w:p w:rsidR="00D5157F" w:rsidRDefault="00762A40">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DER.2.2 </w:t>
      </w:r>
      <w:r>
        <w:rPr>
          <w:i/>
          <w:color w:val="000000"/>
        </w:rPr>
        <w:t>Vorsorge für die IT-Forensik</w:t>
      </w:r>
      <w:r>
        <w:rPr>
          <w:color w:val="000000"/>
        </w:rPr>
        <w:t xml:space="preserve"> von besonderer Bedeutung.</w:t>
      </w:r>
    </w:p>
    <w:p w:rsidR="00D5157F" w:rsidRDefault="00762A40">
      <w:pPr>
        <w:pStyle w:val="berschrift2"/>
      </w:pPr>
      <w:bookmarkStart w:id="7" w:name="scroll-bookmark-7"/>
      <w:r>
        <w:t>Verstoß gegen rechtliche Rahmenbedingungen</w:t>
      </w:r>
      <w:bookmarkEnd w:id="7"/>
    </w:p>
    <w:p w:rsidR="00D5157F" w:rsidRDefault="00762A40">
      <w:r>
        <w:rPr>
          <w:color w:val="000000"/>
        </w:rPr>
        <w:t xml:space="preserve">Für IT-forensische Untersuchungen werden oft alle für notwendig befundenen Daten kopiert, sichergestellt und ausgewertet. Darunter befinden sich meistens auch personenbezogene Daten von Mitarbeitenden oder externen Partner und Partnerinnen. Wird darauf z. B. unbegründet und ohne Einbeziehung der oder die Datenschutzbeauftragte zugegriffen, verstößt die Institution gegen gesetzliche Regelungen, </w:t>
      </w:r>
      <w:proofErr w:type="gramStart"/>
      <w:r>
        <w:rPr>
          <w:color w:val="000000"/>
        </w:rPr>
        <w:t>etwa</w:t>
      </w:r>
      <w:proofErr w:type="gramEnd"/>
      <w:r>
        <w:rPr>
          <w:color w:val="000000"/>
        </w:rPr>
        <w:t xml:space="preserve"> wenn dabei die Zweckbindung missachtet wird. Auch ist es möglich, dass aus den erhobenen Daten beispielsweise abgeleitet werden kann, wie sich Mitarbeitende verhalten, oder es kann ein Bezug zu ihnen hergestellt werden. Dadurch besteht die Gefahr, dass auch gegen interne Regelungen verstoßen wird.</w:t>
      </w:r>
    </w:p>
    <w:p w:rsidR="00D5157F" w:rsidRDefault="00762A40">
      <w:pPr>
        <w:pStyle w:val="berschrift2"/>
      </w:pPr>
      <w:bookmarkStart w:id="8" w:name="scroll-bookmark-8"/>
      <w:r>
        <w:lastRenderedPageBreak/>
        <w:t>Verlust von Beweismitteln durch fehlerhafte oder unvollständige Beweissicherung</w:t>
      </w:r>
      <w:bookmarkEnd w:id="8"/>
    </w:p>
    <w:p w:rsidR="00D5157F" w:rsidRDefault="00762A40">
      <w:r>
        <w:rPr>
          <w:color w:val="000000"/>
        </w:rPr>
        <w:t>Werden Beweismittel falsch oder nicht schnell genug gesichert, können dadurch wichtige Daten verloren gehen, die später nicht wiederhergestellt werden können. Im ungünstigsten Fall führt das zu einer ergebnislosen forensischen Untersuchung. Mindestens ist jedoch die Beweiskraft eingeschränkt.</w:t>
      </w:r>
    </w:p>
    <w:p w:rsidR="00D5157F" w:rsidRDefault="00762A40">
      <w:r>
        <w:rPr>
          <w:color w:val="000000"/>
        </w:rPr>
        <w:t>Die Gefahr, wichtige Beweismittel zu verlieren, steigt stark an, wenn Mitarbeitende die Werkzeuge zur Forensik fehlerhaft benutzen, Daten zu langsam sichern oder zu wenig üben. Oft gehen auch Beweismittel verloren, wenn die Verantwortlichen flüchtige Daten nicht als relevant erkennen und sichern.</w:t>
      </w:r>
    </w:p>
    <w:p w:rsidR="00D5157F" w:rsidRDefault="00762A40">
      <w:pPr>
        <w:pStyle w:val="berschrift1"/>
      </w:pPr>
      <w:bookmarkStart w:id="9" w:name="scroll-bookmark-9"/>
      <w:r>
        <w:t>Anforderungen</w:t>
      </w:r>
      <w:bookmarkEnd w:id="9"/>
    </w:p>
    <w:p w:rsidR="00D5157F" w:rsidRDefault="00762A40">
      <w:r>
        <w:t xml:space="preserve">Im Folgenden sind die spezifischen Anforderungen des Bausteins </w:t>
      </w:r>
      <w:r>
        <w:rPr>
          <w:color w:val="000000"/>
        </w:rPr>
        <w:t xml:space="preserve">DER.2.2 </w:t>
      </w:r>
      <w:r>
        <w:rPr>
          <w:i/>
          <w:color w:val="000000"/>
        </w:rPr>
        <w:t>Vorsorge für die IT-Forensik</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D5157F" w:rsidRDefault="00762A40">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736"/>
        <w:gridCol w:w="6885"/>
      </w:tblGrid>
      <w:tr w:rsidR="00D5157F" w:rsidTr="000B2D0E">
        <w:trPr>
          <w:cnfStyle w:val="100000000000" w:firstRow="1" w:lastRow="0" w:firstColumn="0" w:lastColumn="0" w:oddVBand="0" w:evenVBand="0" w:oddHBand="0" w:evenHBand="0" w:firstRowFirstColumn="0" w:firstRowLastColumn="0" w:lastRowFirstColumn="0" w:lastRowLastColumn="0"/>
          <w:tblHeader/>
        </w:trPr>
        <w:tc>
          <w:tcPr>
            <w:tcW w:w="0" w:type="auto"/>
          </w:tcPr>
          <w:p w:rsidR="00D5157F" w:rsidRDefault="00762A40">
            <w:pPr>
              <w:spacing w:after="0"/>
            </w:pPr>
            <w:r>
              <w:rPr>
                <w:color w:val="000000"/>
              </w:rPr>
              <w:t>Zuständigkeiten</w:t>
            </w:r>
          </w:p>
        </w:tc>
        <w:tc>
          <w:tcPr>
            <w:tcW w:w="0" w:type="auto"/>
          </w:tcPr>
          <w:p w:rsidR="00D5157F" w:rsidRDefault="00762A40">
            <w:pPr>
              <w:spacing w:after="0"/>
            </w:pPr>
            <w:r>
              <w:rPr>
                <w:color w:val="000000"/>
              </w:rPr>
              <w:t>Rollen</w:t>
            </w:r>
          </w:p>
        </w:tc>
      </w:tr>
      <w:tr w:rsidR="00D5157F" w:rsidTr="00D5157F">
        <w:tc>
          <w:tcPr>
            <w:tcW w:w="0" w:type="auto"/>
          </w:tcPr>
          <w:p w:rsidR="00D5157F" w:rsidRDefault="00762A40">
            <w:pPr>
              <w:spacing w:after="0"/>
            </w:pPr>
            <w:r>
              <w:rPr>
                <w:color w:val="000000"/>
              </w:rPr>
              <w:t>Grundsätzlich zuständig</w:t>
            </w:r>
          </w:p>
        </w:tc>
        <w:tc>
          <w:tcPr>
            <w:tcW w:w="0" w:type="auto"/>
          </w:tcPr>
          <w:p w:rsidR="00D5157F" w:rsidRDefault="00762A40">
            <w:pPr>
              <w:spacing w:after="0"/>
            </w:pPr>
            <w:r>
              <w:rPr>
                <w:color w:val="000000"/>
              </w:rPr>
              <w:t>Informationssicherheitsbeauftragte (ISB)</w:t>
            </w:r>
          </w:p>
        </w:tc>
      </w:tr>
      <w:tr w:rsidR="00D5157F" w:rsidTr="00D5157F">
        <w:tc>
          <w:tcPr>
            <w:tcW w:w="0" w:type="auto"/>
          </w:tcPr>
          <w:p w:rsidR="00D5157F" w:rsidRDefault="00762A40">
            <w:pPr>
              <w:spacing w:after="0"/>
            </w:pPr>
            <w:r>
              <w:rPr>
                <w:color w:val="000000"/>
              </w:rPr>
              <w:t>Weitere Zuständigkeiten</w:t>
            </w:r>
          </w:p>
        </w:tc>
        <w:tc>
          <w:tcPr>
            <w:tcW w:w="0" w:type="auto"/>
          </w:tcPr>
          <w:p w:rsidR="00D5157F" w:rsidRDefault="00762A40">
            <w:pPr>
              <w:spacing w:after="0"/>
            </w:pPr>
            <w:r>
              <w:rPr>
                <w:color w:val="000000"/>
              </w:rPr>
              <w:t>Fachverantwortliche, Datenschutzbeauftragte, Institutionsleitung</w:t>
            </w:r>
          </w:p>
        </w:tc>
      </w:tr>
    </w:tbl>
    <w:p w:rsidR="00D5157F" w:rsidRDefault="00762A40" w:rsidP="000B2D0E">
      <w:pPr>
        <w:spacing w:before="120" w:after="0"/>
      </w:pPr>
      <w:r>
        <w:t xml:space="preserve">Genau eine Rolle sollte </w:t>
      </w:r>
      <w:r>
        <w:rPr>
          <w:i/>
        </w:rPr>
        <w:t>Grundsätzlich zuständig</w:t>
      </w:r>
      <w:r>
        <w:t xml:space="preserve"> sein. Darüber hinaus kann es noch </w:t>
      </w:r>
      <w:r>
        <w:rPr>
          <w:i/>
        </w:rPr>
        <w:t>Weitere Zuständigkeiten</w:t>
      </w:r>
      <w:r>
        <w:t xml:space="preserve"> geben</w:t>
      </w:r>
      <w:bookmarkStart w:id="10" w:name="_GoBack"/>
      <w:bookmarkEnd w:id="10"/>
      <w:r>
        <w:t>.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D5157F" w:rsidRDefault="00762A40">
      <w:pPr>
        <w:pStyle w:val="berschrift2"/>
      </w:pPr>
      <w:bookmarkStart w:id="11" w:name="scroll-bookmark-10"/>
      <w:r>
        <w:t>Basis-Anforderungen</w:t>
      </w:r>
      <w:bookmarkEnd w:id="11"/>
    </w:p>
    <w:p w:rsidR="00D5157F" w:rsidRDefault="00762A40">
      <w:r>
        <w:rPr>
          <w:color w:val="000000"/>
        </w:rPr>
        <w:t>Die folgenden Anforderungen MÜSSEN für diesen Baustein vorrangig erfüllt werden:</w:t>
      </w:r>
    </w:p>
    <w:p w:rsidR="00D5157F" w:rsidRDefault="00762A40">
      <w:pPr>
        <w:pStyle w:val="berschrift3"/>
      </w:pPr>
      <w:bookmarkStart w:id="12" w:name="scroll-bookmark-11"/>
      <w:r>
        <w:t xml:space="preserve">DER.2.2.A1 Prüfung rechtlicher und regulatorischer Rahmenbedingungen zur Erfassung und Auswertbarkeit (B) [Datenschutzbeauftragte, Institutionsleitung] </w:t>
      </w:r>
      <w:bookmarkEnd w:id="12"/>
    </w:p>
    <w:p w:rsidR="00D5157F" w:rsidRDefault="00762A40">
      <w:r>
        <w:rPr>
          <w:color w:val="000000"/>
        </w:rPr>
        <w:t xml:space="preserve">Werden Daten für forensische Untersuchungen erfasst und ausgewertet, MÜSSEN alle rechtlichen und regulatorischen Rahmenbedingungen identifiziert und eingehalten werden (siehe ORP.5 </w:t>
      </w:r>
      <w:r>
        <w:rPr>
          <w:i/>
          <w:color w:val="000000"/>
        </w:rPr>
        <w:t>Compliance Management (Anforderungsmanagement)</w:t>
      </w:r>
      <w:r>
        <w:rPr>
          <w:color w:val="000000"/>
        </w:rPr>
        <w:t xml:space="preserve">). Auch DARF NICHT gegen interne Regelungen und </w:t>
      </w:r>
      <w:proofErr w:type="spellStart"/>
      <w:r>
        <w:rPr>
          <w:color w:val="000000"/>
        </w:rPr>
        <w:t>Mitarbeitendenvereinbarungen</w:t>
      </w:r>
      <w:proofErr w:type="spellEnd"/>
      <w:r>
        <w:rPr>
          <w:color w:val="000000"/>
        </w:rPr>
        <w:t xml:space="preserve"> verstoßen werden. Dazu MÜSSEN der Betriebs- oder Personalrat sowie der oder die Datenschutzbeauftragte einbezogen werden.</w:t>
      </w:r>
    </w:p>
    <w:p w:rsidR="00D5157F" w:rsidRDefault="00762A40">
      <w:pPr>
        <w:pStyle w:val="berschrift3"/>
      </w:pPr>
      <w:bookmarkStart w:id="13" w:name="scroll-bookmark-12"/>
      <w:r>
        <w:t>DER.2.2.A2 Erstellung eines Leitfadens für Erstmaßnahmen bei einem IT-Sicherheitsvorfall (B)</w:t>
      </w:r>
      <w:bookmarkEnd w:id="13"/>
    </w:p>
    <w:p w:rsidR="00D5157F" w:rsidRDefault="00762A40">
      <w:r>
        <w:rPr>
          <w:color w:val="000000"/>
        </w:rPr>
        <w:t>Es MUSS ein Leitfaden erstellt werden, der für die eingesetzten IT-Systeme beschreibt, welche Erstmaßnahmen bei einem IT-Sicherheitsvorfall durchgeführt werden müssen, um möglichst wenig Spuren zu zerstören. Darin MUSS auch beschrieben sein, durch welche Handlungen potenzielle Spuren vernichtet werden könnten und wie sich das vermeiden lässt.</w:t>
      </w:r>
    </w:p>
    <w:p w:rsidR="00D5157F" w:rsidRDefault="00762A40">
      <w:pPr>
        <w:pStyle w:val="berschrift3"/>
      </w:pPr>
      <w:bookmarkStart w:id="14" w:name="scroll-bookmark-13"/>
      <w:r>
        <w:lastRenderedPageBreak/>
        <w:t>DER.2.2.A3 Vorauswahl von Forensik-Dienstleistenden (B)</w:t>
      </w:r>
      <w:bookmarkEnd w:id="14"/>
    </w:p>
    <w:p w:rsidR="00D5157F" w:rsidRDefault="00762A40">
      <w:r>
        <w:rPr>
          <w:color w:val="000000"/>
        </w:rPr>
        <w:t>Verfügt eine Institution nicht über ein eigenes Forensik-Team, MÜSSEN bereits in der Vorbereitungsphase mögliche geeignete Forensik-Dienstleistenden identifiziert werden. Welche Forensik-Dienstleistende infrage kommen, MUSS dokumentiert werden.</w:t>
      </w:r>
    </w:p>
    <w:p w:rsidR="00D5157F" w:rsidRDefault="00762A40">
      <w:pPr>
        <w:pStyle w:val="berschrift2"/>
      </w:pPr>
      <w:bookmarkStart w:id="15" w:name="scroll-bookmark-14"/>
      <w:r>
        <w:t>Standard-Anforderungen</w:t>
      </w:r>
      <w:bookmarkEnd w:id="15"/>
    </w:p>
    <w:p w:rsidR="00D5157F" w:rsidRDefault="00762A40">
      <w:r>
        <w:rPr>
          <w:color w:val="000000"/>
        </w:rPr>
        <w:t>Gemeinsam mit den Basis-Anforderungen entsprechen die folgenden Anforderungen dem Stand der Technik für diesen Baustein. Sie SOLLTEN grundsätzlich erfüllt werden.</w:t>
      </w:r>
    </w:p>
    <w:p w:rsidR="00D5157F" w:rsidRDefault="00762A40">
      <w:pPr>
        <w:pStyle w:val="berschrift3"/>
      </w:pPr>
      <w:bookmarkStart w:id="16" w:name="scroll-bookmark-15"/>
      <w:r>
        <w:t>DER.2.2.A4 Festlegung von Schnittstellen zum Krisen- und Notfallmanagement (S)</w:t>
      </w:r>
      <w:bookmarkEnd w:id="16"/>
    </w:p>
    <w:p w:rsidR="00D5157F" w:rsidRDefault="00762A40">
      <w:r>
        <w:rPr>
          <w:color w:val="000000"/>
        </w:rPr>
        <w:t>Die Schnittstellen zwischen IT-forensischen Untersuchungen und dem Krisen- und Notfallmanagement SOLLTEN definiert und dokumentiert werden. Hierzu SOLLTE geregelt werden, welche Mitarbeitenden für welche Aufgaben verantwortlich sind und wie mit ihnen kommuniziert werden soll. Darüber hinaus SOLLTE sichergestellt werden, dass die zuständigen Kontaktpersonen stets erreichbar sind.</w:t>
      </w:r>
    </w:p>
    <w:p w:rsidR="00D5157F" w:rsidRDefault="00762A40">
      <w:pPr>
        <w:pStyle w:val="berschrift3"/>
      </w:pPr>
      <w:bookmarkStart w:id="17" w:name="scroll-bookmark-16"/>
      <w:r>
        <w:t>DER.2.2.A5 Erstellung eines Leitfadens für Beweissicherungsmaßnahmen bei IT-Sicherheitsvorfällen (S)</w:t>
      </w:r>
      <w:bookmarkEnd w:id="17"/>
    </w:p>
    <w:p w:rsidR="00D5157F" w:rsidRDefault="00762A40">
      <w:r>
        <w:rPr>
          <w:color w:val="000000"/>
        </w:rPr>
        <w:t>Es SOLLTE ein Leitfaden erstellt werden, in dem beschrieben wird, wie Beweise gesichert werden sollen. Darin SOLLTEN Vorgehensweisen, technische Werkzeuge, rechtliche Rahmenbedingungen und Dokumentationsvorgaben aufgeführt werden.</w:t>
      </w:r>
    </w:p>
    <w:p w:rsidR="00D5157F" w:rsidRDefault="00762A40">
      <w:pPr>
        <w:pStyle w:val="berschrift3"/>
      </w:pPr>
      <w:bookmarkStart w:id="18" w:name="scroll-bookmark-17"/>
      <w:r>
        <w:t>DER.2.2.A6 Schulung des Personals für die Umsetzung der forensischen Sicherung (S)</w:t>
      </w:r>
      <w:bookmarkEnd w:id="18"/>
    </w:p>
    <w:p w:rsidR="00D5157F" w:rsidRDefault="00762A40">
      <w:r>
        <w:rPr>
          <w:color w:val="000000"/>
        </w:rPr>
        <w:t>Alle verantwortlichen Mitarbeitenden SOLLTEN wissen, wie sie Spuren korrekt sichern und die Werkzeuge zur Forensik richtig einsetzen. Dafür SOLLTEN geeignete Schulungen durchgeführt werden.</w:t>
      </w:r>
    </w:p>
    <w:p w:rsidR="00D5157F" w:rsidRDefault="00762A40">
      <w:pPr>
        <w:pStyle w:val="berschrift3"/>
      </w:pPr>
      <w:bookmarkStart w:id="19" w:name="scroll-bookmark-18"/>
      <w:r>
        <w:t>DER.2.2.A7 Auswahl von Werkzeugen zur Forensik (S)</w:t>
      </w:r>
      <w:bookmarkEnd w:id="19"/>
    </w:p>
    <w:p w:rsidR="00D5157F" w:rsidRDefault="00762A40">
      <w:r>
        <w:rPr>
          <w:color w:val="000000"/>
        </w:rPr>
        <w:t>Es SOLLTE sichergestellt werden, dass Werkzeuge, mit denen Spuren forensisch gesichert und analysiert werden, auch dafür geeignet sind. Bevor ein Werkzeug zur Forensik eingesetzt wird, SOLLTE zudem geprüft werden, ob es richtig funktioniert. Auch SOLLTE überprüft und dokumentiert werden, dass es nicht manipuliert wurde.</w:t>
      </w:r>
    </w:p>
    <w:p w:rsidR="00D5157F" w:rsidRDefault="00762A40">
      <w:pPr>
        <w:pStyle w:val="berschrift3"/>
      </w:pPr>
      <w:bookmarkStart w:id="20" w:name="scroll-bookmark-19"/>
      <w:r>
        <w:t xml:space="preserve">DER.2.2.A8 Auswahl und Reihenfolge der zu sichernden Beweismittel (S) [Fachverantwortliche] </w:t>
      </w:r>
      <w:bookmarkEnd w:id="20"/>
    </w:p>
    <w:p w:rsidR="00D5157F" w:rsidRDefault="00762A40">
      <w:r>
        <w:rPr>
          <w:color w:val="000000"/>
        </w:rPr>
        <w:t>Eine forensische Untersuchung SOLLTE immer damit beginnen, die Ziele bzw. den Arbeitsauftrag zu definieren. Die Ziele SOLLTEN möglichst konkret formuliert sein. Danach SOLLTEN alle notwendigen Datenquellen identifiziert werden. Auch SOLLTE festgelegt werden, in welcher Reihenfolge die Daten gesichert werden und wie genau dabei vorgegangen werden soll. Die Reihenfolge SOLLTE sich danach richten, wie flüchtig (volatil) die zu sichernden Daten sind. So SOLLTEN schnell flüchtige Daten zeitnah gesichert werden. Erst danach SOLLTEN nichtflüchtige Daten wie beispielsweise Festspeicherinhalte und schließlich Backups folgen.</w:t>
      </w:r>
    </w:p>
    <w:p w:rsidR="00D5157F" w:rsidRDefault="00762A40">
      <w:pPr>
        <w:pStyle w:val="berschrift3"/>
      </w:pPr>
      <w:bookmarkStart w:id="21" w:name="scroll-bookmark-20"/>
      <w:r>
        <w:t xml:space="preserve">DER.2.2.A9 Vorauswahl forensisch relevanter Daten (S) [Fachverantwortliche] </w:t>
      </w:r>
      <w:bookmarkEnd w:id="21"/>
    </w:p>
    <w:p w:rsidR="00D5157F" w:rsidRDefault="00762A40">
      <w:r>
        <w:rPr>
          <w:color w:val="000000"/>
        </w:rPr>
        <w:t xml:space="preserve">Es SOLLTE festgelegt werden, welche sekundären Daten (z. B. </w:t>
      </w:r>
      <w:proofErr w:type="spellStart"/>
      <w:r>
        <w:rPr>
          <w:color w:val="000000"/>
        </w:rPr>
        <w:t>Logdaten</w:t>
      </w:r>
      <w:proofErr w:type="spellEnd"/>
      <w:r>
        <w:rPr>
          <w:color w:val="000000"/>
        </w:rPr>
        <w:t xml:space="preserve"> oder Verkehrsmitschnitte) auf welche Weise und wie lange im Rahmen der rechtlichen Rahmenbedingungen für mögliche forensische Beweissicherungsmaßnahmen vorgehalten werden.</w:t>
      </w:r>
    </w:p>
    <w:p w:rsidR="00D5157F" w:rsidRDefault="00762A40">
      <w:pPr>
        <w:pStyle w:val="berschrift3"/>
      </w:pPr>
      <w:bookmarkStart w:id="22" w:name="scroll-bookmark-21"/>
      <w:r>
        <w:lastRenderedPageBreak/>
        <w:t xml:space="preserve">DER.2.2.A10 IT-forensische Sicherung von Beweismitteln (S) [Fachverantwortliche] </w:t>
      </w:r>
      <w:bookmarkEnd w:id="22"/>
    </w:p>
    <w:p w:rsidR="00D5157F" w:rsidRDefault="00762A40">
      <w:r>
        <w:rPr>
          <w:color w:val="000000"/>
        </w:rPr>
        <w:t>Datenträger SOLLTEN möglichst komplett forensisch dupliziert werden. Wenn das nicht möglich ist, z. B. bei flüchtigen Daten im RAM oder in SAN-Partitionen, SOLLTE eine Methode gewählt werden, die möglichst wenige Daten verändert.</w:t>
      </w:r>
    </w:p>
    <w:p w:rsidR="00D5157F" w:rsidRDefault="00762A40">
      <w:r>
        <w:rPr>
          <w:color w:val="000000"/>
        </w:rPr>
        <w:t>Die Originaldatenträger SOLLTEN versiegelt aufbewahrt werden. Es SOLLTEN schriftlich dokumentierte kryptografische Prüfsummen von den Datenträgern angelegt werden. Diese SOLLTEN getrennt und in mehreren Kopien aufbewahrt werden. Zudem SOLLTE sichergestellt sein, dass die so dokumentierten Prüfsummen nicht verändert werden können. Damit die Daten gerichtlich verwertbar sind, SOLLTE ein Zeuge bestätigen, wie dabei vorgegangen wurde und die erstellten Prüfsummen beglaubigen.</w:t>
      </w:r>
    </w:p>
    <w:p w:rsidR="00D5157F" w:rsidRDefault="00762A40">
      <w:r>
        <w:rPr>
          <w:color w:val="000000"/>
        </w:rPr>
        <w:t xml:space="preserve">Es SOLLTE ausschließlich geschultes Personal (siehe DER.2.2.A6 </w:t>
      </w:r>
      <w:r>
        <w:rPr>
          <w:i/>
          <w:color w:val="000000"/>
        </w:rPr>
        <w:t>Schulung des Personals für die Umsetzung der forensischen Sicherung</w:t>
      </w:r>
      <w:r>
        <w:rPr>
          <w:color w:val="000000"/>
        </w:rPr>
        <w:t xml:space="preserve">) oder ein Forensik-Dienstleistender (siehe DER.2.2.A3 </w:t>
      </w:r>
      <w:r>
        <w:rPr>
          <w:i/>
          <w:color w:val="000000"/>
        </w:rPr>
        <w:t>Vorauswahl von Forensik-Dienstleistenden</w:t>
      </w:r>
      <w:r>
        <w:rPr>
          <w:color w:val="000000"/>
        </w:rPr>
        <w:t>) eingesetzt werden, um Beweise forensisch zu sichern.</w:t>
      </w:r>
    </w:p>
    <w:p w:rsidR="00D5157F" w:rsidRDefault="00762A40">
      <w:pPr>
        <w:pStyle w:val="berschrift3"/>
      </w:pPr>
      <w:bookmarkStart w:id="23" w:name="scroll-bookmark-22"/>
      <w:r>
        <w:t xml:space="preserve">DER.2.2.A11 Dokumentation der Beweissicherung (S) [Fachverantwortliche] </w:t>
      </w:r>
      <w:bookmarkEnd w:id="23"/>
    </w:p>
    <w:p w:rsidR="00D5157F" w:rsidRDefault="00762A40">
      <w:r>
        <w:rPr>
          <w:color w:val="000000"/>
        </w:rPr>
        <w:t>Wenn Beweise forensisch gesichert werden, SOLLTEN alle durchgeführten Schritte dokumentiert werden. Die Dokumentation SOLLTE lückenlos nachweisen, wie mit den gesicherten Originalbeweismitteln umgegangen wurde. Auch SOLLTE dokumentiert werden, welche Methoden eingesetzt wurden und warum sich die Verantwortlichen dafür entschieden haben.</w:t>
      </w:r>
    </w:p>
    <w:p w:rsidR="00D5157F" w:rsidRDefault="00762A40">
      <w:pPr>
        <w:pStyle w:val="berschrift3"/>
      </w:pPr>
      <w:bookmarkStart w:id="24" w:name="scroll-bookmark-23"/>
      <w:r>
        <w:t xml:space="preserve">DER.2.2.A12 Sichere Verwahrung von Originaldatenträgern und Beweismitteln (S) [Fachverantwortliche] </w:t>
      </w:r>
      <w:bookmarkEnd w:id="24"/>
    </w:p>
    <w:p w:rsidR="00D5157F" w:rsidRDefault="00762A40">
      <w:r>
        <w:rPr>
          <w:color w:val="000000"/>
        </w:rPr>
        <w:t>Alle sichergestellten Originaldatenträger SOLLTEN physisch so gelagert werden, dass nur ermittelnde und namentlich bekannte Mitarbeitende darauf zugreifen können. Wenn Originaldatenträger und Beweismittel eingelagert werden, SOLLTE festgelegt werden, wie lange sie aufzubewahren sind. Nachdem die Frist abgelaufen ist, SOLLTE geprüft werden, ob die Datenträger und Beweise noch weiter aufbewahrt werden müssen. Nach der Aufbewahrungsfrist SOLLTEN Beweismittel sicher gelöscht oder vernichtet und Originaldatenträger zurückgegeben werden.</w:t>
      </w:r>
    </w:p>
    <w:p w:rsidR="00D5157F" w:rsidRDefault="00762A40">
      <w:pPr>
        <w:pStyle w:val="berschrift2"/>
      </w:pPr>
      <w:bookmarkStart w:id="25" w:name="scroll-bookmark-24"/>
      <w:r>
        <w:t>Anforderungen bei erhöhtem Schutzbedarf</w:t>
      </w:r>
      <w:bookmarkEnd w:id="25"/>
    </w:p>
    <w:p w:rsidR="00D5157F" w:rsidRDefault="00762A40">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D5157F" w:rsidRDefault="00762A40">
      <w:pPr>
        <w:pStyle w:val="berschrift3"/>
      </w:pPr>
      <w:bookmarkStart w:id="26" w:name="scroll-bookmark-25"/>
      <w:r>
        <w:t>DER.2.2.A13 Rahmenverträge mit externen Dienstleistenden (H)</w:t>
      </w:r>
      <w:bookmarkEnd w:id="26"/>
    </w:p>
    <w:p w:rsidR="00D5157F" w:rsidRDefault="00762A40">
      <w:r>
        <w:rPr>
          <w:color w:val="000000"/>
        </w:rPr>
        <w:t>Die Institution SOLLTE Abrufvereinbarungen bzw. Rahmenverträge mit Forensik-Dienstleistenden abschließen, damit IT-Sicherheitsvorfälle schneller forensisch untersucht werden können.</w:t>
      </w:r>
    </w:p>
    <w:p w:rsidR="00D5157F" w:rsidRDefault="00762A40">
      <w:pPr>
        <w:pStyle w:val="berschrift3"/>
      </w:pPr>
      <w:bookmarkStart w:id="27" w:name="scroll-bookmark-26"/>
      <w:r>
        <w:t>DER.2.2.A14 Festlegung von Standardverfahren für die Beweissicherung (H)</w:t>
      </w:r>
      <w:bookmarkEnd w:id="27"/>
    </w:p>
    <w:p w:rsidR="00D5157F" w:rsidRDefault="00762A40">
      <w:r>
        <w:rPr>
          <w:color w:val="000000"/>
        </w:rPr>
        <w:t>Für Anwendungen, IT-Systeme bzw. IT-Systemgruppen mit hohem Schutzbedarf sowie für verbreitete Systemkonfigurationen SOLLTEN Standardverfahren erstellt werden, die es erlauben, flüchtige und nichtflüchtige Daten möglichst vollständig forensisch zu sichern.</w:t>
      </w:r>
    </w:p>
    <w:p w:rsidR="00D5157F" w:rsidRDefault="00762A40">
      <w:r>
        <w:rPr>
          <w:color w:val="000000"/>
        </w:rPr>
        <w:t>Die jeweiligen systemspezifischen Standardverfahren SOLLTEN durch erprobte und möglichst automatisierte Prozesse umgesetzt werden. Sie SOLLTEN zudem durch Checklisten und technische Hilfsmittel unterstützt werden, z. B. durch Software, Software-Tools auf mobilen Datenträgern und IT-forensische Hardware wie Schreibblocker.</w:t>
      </w:r>
    </w:p>
    <w:p w:rsidR="00D5157F" w:rsidRDefault="00762A40">
      <w:pPr>
        <w:pStyle w:val="berschrift3"/>
      </w:pPr>
      <w:bookmarkStart w:id="28" w:name="scroll-bookmark-27"/>
      <w:r>
        <w:lastRenderedPageBreak/>
        <w:t>DER.2.2.A15 Durchführung von Übungen zur Beweissicherung (H)</w:t>
      </w:r>
      <w:bookmarkEnd w:id="28"/>
    </w:p>
    <w:p w:rsidR="00D5157F" w:rsidRDefault="00762A40">
      <w:r>
        <w:rPr>
          <w:color w:val="000000"/>
        </w:rPr>
        <w:t>Alle an forensischen Analysen beteiligten Mitarbeitenden SOLLTEN regelmäßig in Form von Übungen trainieren, wie Beweise bei einem IT-Sicherheitsvorfall zu sichern sind.</w:t>
      </w:r>
    </w:p>
    <w:p w:rsidR="00D5157F" w:rsidRDefault="00762A40">
      <w:pPr>
        <w:pStyle w:val="berschrift1"/>
      </w:pPr>
      <w:bookmarkStart w:id="29" w:name="scroll-bookmark-28"/>
      <w:r>
        <w:t>Weiterführende Informationen</w:t>
      </w:r>
      <w:bookmarkEnd w:id="29"/>
    </w:p>
    <w:p w:rsidR="00D5157F" w:rsidRDefault="00762A40">
      <w:pPr>
        <w:pStyle w:val="berschrift2"/>
      </w:pPr>
      <w:bookmarkStart w:id="30" w:name="scroll-bookmark-29"/>
      <w:r>
        <w:t>Wissenswertes</w:t>
      </w:r>
      <w:bookmarkEnd w:id="30"/>
    </w:p>
    <w:p w:rsidR="00D5157F" w:rsidRDefault="00762A40">
      <w:r>
        <w:rPr>
          <w:color w:val="000000"/>
        </w:rPr>
        <w:t>Das BSI gibt in dem „Leitfaden IT-Forensik“ weiterführende Informationen in die Thematik und kann auch als Nachschlagewerk für einzelne praxisbezogene Problemstellungen dienen.</w:t>
      </w:r>
    </w:p>
    <w:p w:rsidR="00D5157F" w:rsidRDefault="00762A40">
      <w:r>
        <w:rPr>
          <w:color w:val="000000"/>
        </w:rPr>
        <w:t xml:space="preserve">Die International </w:t>
      </w:r>
      <w:proofErr w:type="spellStart"/>
      <w:r>
        <w:rPr>
          <w:color w:val="000000"/>
        </w:rPr>
        <w:t>Organization</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Standardization</w:t>
      </w:r>
      <w:proofErr w:type="spellEnd"/>
      <w:r>
        <w:rPr>
          <w:color w:val="000000"/>
        </w:rPr>
        <w:t xml:space="preserve"> (ISO) gibt in der Norm ISO/IEC 27042:2015 und 27043:2015 01:2013 Vorgaben für die Durchführung von forensischen Analysen.</w:t>
      </w:r>
    </w:p>
    <w:p w:rsidR="00D5157F" w:rsidRDefault="00762A40">
      <w:r>
        <w:rPr>
          <w:color w:val="000000"/>
        </w:rPr>
        <w:t xml:space="preserve">Das Information Security Forum (ISF) macht in seinem Standard „The Standard </w:t>
      </w:r>
      <w:proofErr w:type="spellStart"/>
      <w:r>
        <w:rPr>
          <w:color w:val="000000"/>
        </w:rPr>
        <w:t>of</w:t>
      </w:r>
      <w:proofErr w:type="spellEnd"/>
      <w:r>
        <w:rPr>
          <w:color w:val="000000"/>
        </w:rPr>
        <w:t xml:space="preserve"> </w:t>
      </w:r>
      <w:proofErr w:type="spellStart"/>
      <w:r>
        <w:rPr>
          <w:color w:val="000000"/>
        </w:rPr>
        <w:t>Good</w:t>
      </w:r>
      <w:proofErr w:type="spellEnd"/>
      <w:r>
        <w:rPr>
          <w:color w:val="000000"/>
        </w:rPr>
        <w:t xml:space="preserve"> Practice </w:t>
      </w:r>
      <w:proofErr w:type="spellStart"/>
      <w:r>
        <w:rPr>
          <w:color w:val="000000"/>
        </w:rPr>
        <w:t>for</w:t>
      </w:r>
      <w:proofErr w:type="spellEnd"/>
      <w:r>
        <w:rPr>
          <w:color w:val="000000"/>
        </w:rPr>
        <w:t xml:space="preserve"> Information Security“ im Kapitel TM 2.4 Forensik </w:t>
      </w:r>
      <w:proofErr w:type="spellStart"/>
      <w:r>
        <w:rPr>
          <w:color w:val="000000"/>
        </w:rPr>
        <w:t>Investigations</w:t>
      </w:r>
      <w:proofErr w:type="spellEnd"/>
      <w:r>
        <w:rPr>
          <w:color w:val="000000"/>
        </w:rPr>
        <w:t xml:space="preserve"> Vorgaben für die Durchführung von forensischen Analysen.</w:t>
      </w:r>
    </w:p>
    <w:p w:rsidR="00D5157F" w:rsidRDefault="00762A40">
      <w:r>
        <w:rPr>
          <w:color w:val="000000"/>
        </w:rPr>
        <w:t xml:space="preserve">Der Request </w:t>
      </w:r>
      <w:proofErr w:type="spellStart"/>
      <w:r>
        <w:rPr>
          <w:color w:val="000000"/>
        </w:rPr>
        <w:t>for</w:t>
      </w:r>
      <w:proofErr w:type="spellEnd"/>
      <w:r>
        <w:rPr>
          <w:color w:val="000000"/>
        </w:rPr>
        <w:t xml:space="preserve"> Comments (RFC) 3227 „Guidelines </w:t>
      </w:r>
      <w:proofErr w:type="spellStart"/>
      <w:r>
        <w:rPr>
          <w:color w:val="000000"/>
        </w:rPr>
        <w:t>for</w:t>
      </w:r>
      <w:proofErr w:type="spellEnd"/>
      <w:r>
        <w:rPr>
          <w:color w:val="000000"/>
        </w:rPr>
        <w:t xml:space="preserve"> </w:t>
      </w:r>
      <w:proofErr w:type="spellStart"/>
      <w:r>
        <w:rPr>
          <w:color w:val="000000"/>
        </w:rPr>
        <w:t>Evidence</w:t>
      </w:r>
      <w:proofErr w:type="spellEnd"/>
      <w:r>
        <w:rPr>
          <w:color w:val="000000"/>
        </w:rPr>
        <w:t xml:space="preserve"> Collection </w:t>
      </w:r>
      <w:proofErr w:type="spellStart"/>
      <w:r>
        <w:rPr>
          <w:color w:val="000000"/>
        </w:rPr>
        <w:t>and</w:t>
      </w:r>
      <w:proofErr w:type="spellEnd"/>
      <w:r>
        <w:rPr>
          <w:color w:val="000000"/>
        </w:rPr>
        <w:t xml:space="preserve"> </w:t>
      </w:r>
      <w:proofErr w:type="spellStart"/>
      <w:r>
        <w:rPr>
          <w:color w:val="000000"/>
        </w:rPr>
        <w:t>Archiving</w:t>
      </w:r>
      <w:proofErr w:type="spellEnd"/>
      <w:r>
        <w:rPr>
          <w:color w:val="000000"/>
        </w:rPr>
        <w:t>“ gibt in seinem Leitfaden Hinweise zur grundlegenden Vorgehensweise bei einer forensischen Sicherung.</w:t>
      </w:r>
    </w:p>
    <w:sectPr w:rsidR="00D5157F" w:rsidSect="005207A5">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A40" w:rsidRDefault="00762A40">
      <w:pPr>
        <w:spacing w:after="0"/>
      </w:pPr>
      <w:r>
        <w:separator/>
      </w:r>
    </w:p>
  </w:endnote>
  <w:endnote w:type="continuationSeparator" w:id="0">
    <w:p w:rsidR="00762A40" w:rsidRDefault="00762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762A40"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0B2D0E">
      <w:rPr>
        <w:b/>
        <w:bCs/>
        <w:noProof/>
      </w:rPr>
      <w:t>6</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2D0E">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762A40" w:rsidP="00096448">
    <w:pPr>
      <w:pStyle w:val="Fuzeile"/>
      <w:jc w:val="center"/>
    </w:pPr>
    <w:r>
      <w:t xml:space="preserve">Seite </w:t>
    </w:r>
    <w:r>
      <w:rPr>
        <w:b/>
        <w:bCs/>
      </w:rPr>
      <w:fldChar w:fldCharType="begin"/>
    </w:r>
    <w:r>
      <w:rPr>
        <w:b/>
        <w:bCs/>
      </w:rPr>
      <w:instrText>PAGE  \* Arabic  \* MERGEFORMAT</w:instrText>
    </w:r>
    <w:r>
      <w:rPr>
        <w:b/>
        <w:bCs/>
      </w:rPr>
      <w:fldChar w:fldCharType="separate"/>
    </w:r>
    <w:r w:rsidR="000B2D0E">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0B2D0E">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A40" w:rsidRDefault="00762A40">
      <w:pPr>
        <w:spacing w:after="0"/>
      </w:pPr>
      <w:r>
        <w:separator/>
      </w:r>
    </w:p>
  </w:footnote>
  <w:footnote w:type="continuationSeparator" w:id="0">
    <w:p w:rsidR="00762A40" w:rsidRDefault="00762A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762A40" w:rsidP="004B764E">
    <w:pPr>
      <w:jc w:val="right"/>
      <w:rPr>
        <w:sz w:val="18"/>
        <w:szCs w:val="18"/>
      </w:rPr>
    </w:pPr>
    <w:r>
      <w:rPr>
        <w:sz w:val="18"/>
        <w:szCs w:val="18"/>
      </w:rPr>
      <w:t>DER.2.2 Vorsorge für die IT-Forensik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448" w:rsidRDefault="00096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22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FC9B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B46E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745D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DC96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823E0EFC">
      <w:start w:val="1"/>
      <w:numFmt w:val="decimal"/>
      <w:lvlText w:val="%1."/>
      <w:lvlJc w:val="left"/>
      <w:pPr>
        <w:ind w:left="720" w:hanging="360"/>
      </w:pPr>
    </w:lvl>
    <w:lvl w:ilvl="1" w:tplc="306A9834" w:tentative="1">
      <w:start w:val="1"/>
      <w:numFmt w:val="lowerLetter"/>
      <w:lvlText w:val="%2."/>
      <w:lvlJc w:val="left"/>
      <w:pPr>
        <w:ind w:left="1440" w:hanging="360"/>
      </w:pPr>
    </w:lvl>
    <w:lvl w:ilvl="2" w:tplc="941A20E0" w:tentative="1">
      <w:start w:val="1"/>
      <w:numFmt w:val="lowerRoman"/>
      <w:lvlText w:val="%3."/>
      <w:lvlJc w:val="right"/>
      <w:pPr>
        <w:ind w:left="2160" w:hanging="180"/>
      </w:pPr>
    </w:lvl>
    <w:lvl w:ilvl="3" w:tplc="BAC6C7BC" w:tentative="1">
      <w:start w:val="1"/>
      <w:numFmt w:val="decimal"/>
      <w:lvlText w:val="%4."/>
      <w:lvlJc w:val="left"/>
      <w:pPr>
        <w:ind w:left="2880" w:hanging="360"/>
      </w:pPr>
    </w:lvl>
    <w:lvl w:ilvl="4" w:tplc="1A2A2B26" w:tentative="1">
      <w:start w:val="1"/>
      <w:numFmt w:val="lowerLetter"/>
      <w:lvlText w:val="%5."/>
      <w:lvlJc w:val="left"/>
      <w:pPr>
        <w:ind w:left="3600" w:hanging="360"/>
      </w:pPr>
    </w:lvl>
    <w:lvl w:ilvl="5" w:tplc="D7880640" w:tentative="1">
      <w:start w:val="1"/>
      <w:numFmt w:val="lowerRoman"/>
      <w:lvlText w:val="%6."/>
      <w:lvlJc w:val="right"/>
      <w:pPr>
        <w:ind w:left="4320" w:hanging="180"/>
      </w:pPr>
    </w:lvl>
    <w:lvl w:ilvl="6" w:tplc="0B424DB8" w:tentative="1">
      <w:start w:val="1"/>
      <w:numFmt w:val="decimal"/>
      <w:lvlText w:val="%7."/>
      <w:lvlJc w:val="left"/>
      <w:pPr>
        <w:ind w:left="5040" w:hanging="360"/>
      </w:pPr>
    </w:lvl>
    <w:lvl w:ilvl="7" w:tplc="FF7AA2D6" w:tentative="1">
      <w:start w:val="1"/>
      <w:numFmt w:val="lowerLetter"/>
      <w:lvlText w:val="%8."/>
      <w:lvlJc w:val="left"/>
      <w:pPr>
        <w:ind w:left="5760" w:hanging="360"/>
      </w:pPr>
    </w:lvl>
    <w:lvl w:ilvl="8" w:tplc="83E4567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3D30BA9E">
      <w:start w:val="1"/>
      <w:numFmt w:val="decimal"/>
      <w:lvlText w:val="%1."/>
      <w:lvlJc w:val="left"/>
      <w:pPr>
        <w:ind w:left="720" w:hanging="360"/>
      </w:pPr>
    </w:lvl>
    <w:lvl w:ilvl="1" w:tplc="D1DC809E" w:tentative="1">
      <w:start w:val="1"/>
      <w:numFmt w:val="lowerLetter"/>
      <w:lvlText w:val="%2."/>
      <w:lvlJc w:val="left"/>
      <w:pPr>
        <w:ind w:left="1440" w:hanging="360"/>
      </w:pPr>
    </w:lvl>
    <w:lvl w:ilvl="2" w:tplc="C24C7E20" w:tentative="1">
      <w:start w:val="1"/>
      <w:numFmt w:val="lowerRoman"/>
      <w:lvlText w:val="%3."/>
      <w:lvlJc w:val="right"/>
      <w:pPr>
        <w:ind w:left="2160" w:hanging="180"/>
      </w:pPr>
    </w:lvl>
    <w:lvl w:ilvl="3" w:tplc="30941E6E" w:tentative="1">
      <w:start w:val="1"/>
      <w:numFmt w:val="decimal"/>
      <w:lvlText w:val="%4."/>
      <w:lvlJc w:val="left"/>
      <w:pPr>
        <w:ind w:left="2880" w:hanging="360"/>
      </w:pPr>
    </w:lvl>
    <w:lvl w:ilvl="4" w:tplc="BCAEECBE" w:tentative="1">
      <w:start w:val="1"/>
      <w:numFmt w:val="lowerLetter"/>
      <w:lvlText w:val="%5."/>
      <w:lvlJc w:val="left"/>
      <w:pPr>
        <w:ind w:left="3600" w:hanging="360"/>
      </w:pPr>
    </w:lvl>
    <w:lvl w:ilvl="5" w:tplc="F3BE89DE" w:tentative="1">
      <w:start w:val="1"/>
      <w:numFmt w:val="lowerRoman"/>
      <w:lvlText w:val="%6."/>
      <w:lvlJc w:val="right"/>
      <w:pPr>
        <w:ind w:left="4320" w:hanging="180"/>
      </w:pPr>
    </w:lvl>
    <w:lvl w:ilvl="6" w:tplc="ADD0A170" w:tentative="1">
      <w:start w:val="1"/>
      <w:numFmt w:val="decimal"/>
      <w:lvlText w:val="%7."/>
      <w:lvlJc w:val="left"/>
      <w:pPr>
        <w:ind w:left="5040" w:hanging="360"/>
      </w:pPr>
    </w:lvl>
    <w:lvl w:ilvl="7" w:tplc="ED3CAA4A" w:tentative="1">
      <w:start w:val="1"/>
      <w:numFmt w:val="lowerLetter"/>
      <w:lvlText w:val="%8."/>
      <w:lvlJc w:val="left"/>
      <w:pPr>
        <w:ind w:left="5760" w:hanging="360"/>
      </w:pPr>
    </w:lvl>
    <w:lvl w:ilvl="8" w:tplc="622460D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0C4E598C">
      <w:start w:val="1"/>
      <w:numFmt w:val="bullet"/>
      <w:lvlText w:val=""/>
      <w:lvlJc w:val="left"/>
      <w:pPr>
        <w:tabs>
          <w:tab w:val="num" w:pos="720"/>
        </w:tabs>
        <w:ind w:left="720" w:hanging="360"/>
      </w:pPr>
      <w:rPr>
        <w:rFonts w:ascii="Symbol" w:hAnsi="Symbol"/>
      </w:rPr>
    </w:lvl>
    <w:lvl w:ilvl="1" w:tplc="DE841740">
      <w:start w:val="1"/>
      <w:numFmt w:val="bullet"/>
      <w:lvlText w:val="o"/>
      <w:lvlJc w:val="left"/>
      <w:pPr>
        <w:tabs>
          <w:tab w:val="num" w:pos="1440"/>
        </w:tabs>
        <w:ind w:left="1440" w:hanging="360"/>
      </w:pPr>
      <w:rPr>
        <w:rFonts w:ascii="Courier New" w:hAnsi="Courier New"/>
      </w:rPr>
    </w:lvl>
    <w:lvl w:ilvl="2" w:tplc="44524B8A">
      <w:start w:val="1"/>
      <w:numFmt w:val="bullet"/>
      <w:lvlText w:val=""/>
      <w:lvlJc w:val="left"/>
      <w:pPr>
        <w:tabs>
          <w:tab w:val="num" w:pos="2160"/>
        </w:tabs>
        <w:ind w:left="2160" w:hanging="360"/>
      </w:pPr>
      <w:rPr>
        <w:rFonts w:ascii="Wingdings" w:hAnsi="Wingdings"/>
      </w:rPr>
    </w:lvl>
    <w:lvl w:ilvl="3" w:tplc="714CEB48">
      <w:start w:val="1"/>
      <w:numFmt w:val="bullet"/>
      <w:lvlText w:val=""/>
      <w:lvlJc w:val="left"/>
      <w:pPr>
        <w:tabs>
          <w:tab w:val="num" w:pos="2880"/>
        </w:tabs>
        <w:ind w:left="2880" w:hanging="360"/>
      </w:pPr>
      <w:rPr>
        <w:rFonts w:ascii="Symbol" w:hAnsi="Symbol"/>
      </w:rPr>
    </w:lvl>
    <w:lvl w:ilvl="4" w:tplc="DFC29B12">
      <w:start w:val="1"/>
      <w:numFmt w:val="bullet"/>
      <w:lvlText w:val="o"/>
      <w:lvlJc w:val="left"/>
      <w:pPr>
        <w:tabs>
          <w:tab w:val="num" w:pos="3600"/>
        </w:tabs>
        <w:ind w:left="3600" w:hanging="360"/>
      </w:pPr>
      <w:rPr>
        <w:rFonts w:ascii="Courier New" w:hAnsi="Courier New"/>
      </w:rPr>
    </w:lvl>
    <w:lvl w:ilvl="5" w:tplc="902A00E0">
      <w:start w:val="1"/>
      <w:numFmt w:val="bullet"/>
      <w:lvlText w:val=""/>
      <w:lvlJc w:val="left"/>
      <w:pPr>
        <w:tabs>
          <w:tab w:val="num" w:pos="4320"/>
        </w:tabs>
        <w:ind w:left="4320" w:hanging="360"/>
      </w:pPr>
      <w:rPr>
        <w:rFonts w:ascii="Wingdings" w:hAnsi="Wingdings"/>
      </w:rPr>
    </w:lvl>
    <w:lvl w:ilvl="6" w:tplc="0428EB50">
      <w:start w:val="1"/>
      <w:numFmt w:val="bullet"/>
      <w:lvlText w:val=""/>
      <w:lvlJc w:val="left"/>
      <w:pPr>
        <w:tabs>
          <w:tab w:val="num" w:pos="5040"/>
        </w:tabs>
        <w:ind w:left="5040" w:hanging="360"/>
      </w:pPr>
      <w:rPr>
        <w:rFonts w:ascii="Symbol" w:hAnsi="Symbol"/>
      </w:rPr>
    </w:lvl>
    <w:lvl w:ilvl="7" w:tplc="09A099B2">
      <w:start w:val="1"/>
      <w:numFmt w:val="bullet"/>
      <w:lvlText w:val="o"/>
      <w:lvlJc w:val="left"/>
      <w:pPr>
        <w:tabs>
          <w:tab w:val="num" w:pos="5760"/>
        </w:tabs>
        <w:ind w:left="5760" w:hanging="360"/>
      </w:pPr>
      <w:rPr>
        <w:rFonts w:ascii="Courier New" w:hAnsi="Courier New"/>
      </w:rPr>
    </w:lvl>
    <w:lvl w:ilvl="8" w:tplc="B6BCB9F2">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37E51"/>
    <w:rsid w:val="00042947"/>
    <w:rsid w:val="00053382"/>
    <w:rsid w:val="00053BAB"/>
    <w:rsid w:val="00055224"/>
    <w:rsid w:val="00070D4E"/>
    <w:rsid w:val="00096448"/>
    <w:rsid w:val="000B0067"/>
    <w:rsid w:val="000B1C98"/>
    <w:rsid w:val="000B2D0E"/>
    <w:rsid w:val="000B4C3E"/>
    <w:rsid w:val="000B7C62"/>
    <w:rsid w:val="000C5C10"/>
    <w:rsid w:val="000D499C"/>
    <w:rsid w:val="000E57ED"/>
    <w:rsid w:val="00102A51"/>
    <w:rsid w:val="001070BB"/>
    <w:rsid w:val="0013593A"/>
    <w:rsid w:val="00141222"/>
    <w:rsid w:val="00146C45"/>
    <w:rsid w:val="00152D76"/>
    <w:rsid w:val="0015478B"/>
    <w:rsid w:val="00156F0D"/>
    <w:rsid w:val="001629EE"/>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7A5"/>
    <w:rsid w:val="005209FD"/>
    <w:rsid w:val="00531B81"/>
    <w:rsid w:val="00537E18"/>
    <w:rsid w:val="00540871"/>
    <w:rsid w:val="00562E3B"/>
    <w:rsid w:val="00577554"/>
    <w:rsid w:val="00584AB9"/>
    <w:rsid w:val="005910AF"/>
    <w:rsid w:val="005A6237"/>
    <w:rsid w:val="005C7504"/>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2A40"/>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1D06"/>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4161A"/>
    <w:rsid w:val="00D5157F"/>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A36AB"/>
    <w:rsid w:val="00FC6BA7"/>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4F1101"/>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E3517F"/>
    <w:rPr>
      <w:rFonts w:ascii="BundesSerif Office" w:hAnsi="BundesSerif Office"/>
      <w:color w:val="000000" w:themeColor="text1"/>
      <w:sz w:val="22"/>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68906-D7F1-4DE4-A3F2-BF43B3CA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2058</Words>
  <Characters>12971</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2023-01-09T13:53:00Z</dcterms:created>
  <dcterms:modified xsi:type="dcterms:W3CDTF">2023-01-10T13:21:00Z</dcterms:modified>
</cp:coreProperties>
</file>