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after="80"/>
      </w:pPr>
      <w:r>
        <w:t xml:space="preserve"/>
      </w:r>
    </w:p>
    <w:p>
      <w:pPr>
        <w:pBdr>
          <w:bottom w:val="single" w:color="1F3864" w:sz="22" w:space="1"/>
        </w:pBdr>
        <w:spacing w:before="0" w:after="0"/>
      </w:pPr>
      <w:r>
        <w:t xml:space="preserve"/>
      </w:r>
    </w:p>
    <w:p>
      <w:pPr>
        <w:spacing w:before="60" w:after="80"/>
      </w:pPr>
      <w:r>
        <w:t xml:space="preserve"/>
      </w:r>
    </w:p>
    <w:p>
      <w:pPr>
        <w:spacing w:before="100" w:after="80"/>
        <w:jc w:val="center"/>
      </w:pPr>
      <w:r>
        <w:rPr>
          <w:rFonts w:ascii="Calibri" w:cs="Calibri" w:eastAsia="Calibri" w:hAnsi="Calibri"/>
          <w:b/>
          <w:bCs/>
          <w:color w:val="2E5496"/>
          <w:sz w:val="20"/>
          <w:szCs w:val="20"/>
        </w:rPr>
        <w:t xml:space="preserve">SERVICENOW PROJECT DOCUMENTATION  —  PHASE 3</w:t>
      </w:r>
    </w:p>
    <w:p>
      <w:pPr>
        <w:spacing w:before="140" w:after="80"/>
      </w:pPr>
      <w:r>
        <w:t xml:space="preserve"/>
      </w:r>
    </w:p>
    <w:p>
      <w:pPr>
        <w:spacing w:before="60" w:after="80"/>
        <w:jc w:val="center"/>
      </w:pPr>
      <w:r>
        <w:rPr>
          <w:rFonts w:ascii="Calibri" w:cs="Calibri" w:eastAsia="Calibri" w:hAnsi="Calibri"/>
          <w:b/>
          <w:bCs/>
          <w:color w:val="1F3864"/>
          <w:sz w:val="68"/>
          <w:szCs w:val="68"/>
        </w:rPr>
        <w:t xml:space="preserve">3. Project Design Phase</w:t>
      </w:r>
    </w:p>
    <w:p>
      <w:pPr>
        <w:spacing w:before="60" w:after="200"/>
        <w:jc w:val="center"/>
      </w:pPr>
      <w:r>
        <w:rPr>
          <w:rFonts w:ascii="Calibri" w:cs="Calibri" w:eastAsia="Calibri" w:hAnsi="Calibri"/>
          <w:i/>
          <w:iCs/>
          <w:color w:val="2E5496"/>
          <w:sz w:val="34"/>
          <w:szCs w:val="34"/>
        </w:rPr>
        <w:t xml:space="preserve">Automating Employee Data Import in ServiceNow</w:t>
      </w:r>
    </w:p>
    <w:p>
      <w:pPr>
        <w:spacing w:before="60" w:after="80"/>
      </w:pPr>
      <w:r>
        <w:t xml:space="preserve"/>
      </w:r>
    </w:p>
    <w:p>
      <w:pPr>
        <w:pBdr>
          <w:bottom w:val="single" w:color="1F3864" w:sz="22" w:space="1"/>
        </w:pBdr>
        <w:spacing w:before="0" w:after="0"/>
      </w:pPr>
      <w:r>
        <w:t xml:space="preserve"/>
      </w:r>
    </w:p>
    <w:p>
      <w:pPr>
        <w:spacing w:before="420" w:after="80"/>
      </w:pPr>
      <w:r>
        <w:t xml:space="preserve"/>
      </w:r>
    </w:p>
    <w:tbl>
      <w:tblPr>
        <w:tblW w:type="dxa" w:w="9348"/>
        <w:jc w:val="center"/>
        <w:tblBorders>
          <w:top w:val="single" w:color="auto" w:sz="4"/>
          <w:left w:val="single" w:color="auto" w:sz="4"/>
          <w:bottom w:val="single" w:color="auto" w:sz="4"/>
          <w:right w:val="single" w:color="auto" w:sz="4"/>
          <w:insideH w:val="single" w:color="auto" w:sz="4"/>
          <w:insideV w:val="single" w:color="auto" w:sz="4"/>
        </w:tblBorders>
      </w:tblPr>
      <w:tblGrid>
        <w:gridCol w:w="3200"/>
        <w:gridCol w:w="6148"/>
      </w:tblGrid>
      <w:tr>
        <w:tc>
          <w:tcPr>
            <w:tcW w:type="dxa" w:w="3200"/>
            <w:tcBorders>
              <w:top w:val="single" w:color="B0C4DE" w:sz="1"/>
              <w:left w:val="single" w:color="B0C4DE" w:sz="1"/>
              <w:bottom w:val="single" w:color="B0C4DE" w:sz="1"/>
              <w:right w:val="single" w:color="B0C4DE" w:sz="1"/>
            </w:tcBorders>
            <w:shd w:fill="D6E4F0" w:val="clear"/>
            <w:tcMar>
              <w:top w:type="dxa" w:w="90"/>
              <w:left w:type="dxa" w:w="160"/>
              <w:bottom w:type="dxa" w:w="90"/>
              <w:right w:type="dxa" w:w="160"/>
            </w:tcMar>
          </w:tcPr>
          <w:p>
            <w:r>
              <w:rPr>
                <w:rFonts w:ascii="Calibri" w:cs="Calibri" w:eastAsia="Calibri" w:hAnsi="Calibri"/>
                <w:b/>
                <w:bCs/>
                <w:sz w:val="24"/>
                <w:szCs w:val="24"/>
              </w:rPr>
              <w:t xml:space="preserve">Document Title</w:t>
            </w:r>
          </w:p>
        </w:tc>
        <w:tc>
          <w:tcPr>
            <w:tcW w:type="dxa" w:w="6148"/>
            <w:tcBorders>
              <w:top w:val="single" w:color="B0C4DE" w:sz="1"/>
              <w:left w:val="single" w:color="B0C4DE" w:sz="1"/>
              <w:bottom w:val="single" w:color="B0C4DE" w:sz="1"/>
              <w:right w:val="single" w:color="B0C4DE" w:sz="1"/>
            </w:tcBorders>
            <w:tcMar>
              <w:top w:type="dxa" w:w="90"/>
              <w:left w:type="dxa" w:w="160"/>
              <w:bottom w:type="dxa" w:w="90"/>
              <w:right w:type="dxa" w:w="160"/>
            </w:tcMar>
          </w:tcPr>
          <w:p>
            <w:r>
              <w:rPr>
                <w:rFonts w:ascii="Calibri" w:cs="Calibri" w:eastAsia="Calibri" w:hAnsi="Calibri"/>
                <w:sz w:val="24"/>
                <w:szCs w:val="24"/>
              </w:rPr>
              <w:t xml:space="preserve">Project Design Phase — ServiceNow Project</w:t>
            </w:r>
          </w:p>
        </w:tc>
      </w:tr>
      <w:tr>
        <w:tc>
          <w:tcPr>
            <w:tcW w:type="dxa" w:w="3200"/>
            <w:tcBorders>
              <w:top w:val="single" w:color="B0C4DE" w:sz="1"/>
              <w:left w:val="single" w:color="B0C4DE" w:sz="1"/>
              <w:bottom w:val="single" w:color="B0C4DE" w:sz="1"/>
              <w:right w:val="single" w:color="B0C4DE" w:sz="1"/>
            </w:tcBorders>
            <w:shd w:fill="D6E4F0" w:val="clear"/>
            <w:tcMar>
              <w:top w:type="dxa" w:w="90"/>
              <w:left w:type="dxa" w:w="160"/>
              <w:bottom w:type="dxa" w:w="90"/>
              <w:right w:type="dxa" w:w="160"/>
            </w:tcMar>
          </w:tcPr>
          <w:p>
            <w:r>
              <w:rPr>
                <w:rFonts w:ascii="Calibri" w:cs="Calibri" w:eastAsia="Calibri" w:hAnsi="Calibri"/>
                <w:b/>
                <w:bCs/>
                <w:sz w:val="24"/>
                <w:szCs w:val="24"/>
              </w:rPr>
              <w:t xml:space="preserve">Phase</w:t>
            </w:r>
          </w:p>
        </w:tc>
        <w:tc>
          <w:tcPr>
            <w:tcW w:type="dxa" w:w="6148"/>
            <w:tcBorders>
              <w:top w:val="single" w:color="B0C4DE" w:sz="1"/>
              <w:left w:val="single" w:color="B0C4DE" w:sz="1"/>
              <w:bottom w:val="single" w:color="B0C4DE" w:sz="1"/>
              <w:right w:val="single" w:color="B0C4DE" w:sz="1"/>
            </w:tcBorders>
            <w:tcMar>
              <w:top w:type="dxa" w:w="90"/>
              <w:left w:type="dxa" w:w="160"/>
              <w:bottom w:type="dxa" w:w="90"/>
              <w:right w:type="dxa" w:w="160"/>
            </w:tcMar>
          </w:tcPr>
          <w:p>
            <w:r>
              <w:rPr>
                <w:rFonts w:ascii="Calibri" w:cs="Calibri" w:eastAsia="Calibri" w:hAnsi="Calibri"/>
                <w:sz w:val="24"/>
                <w:szCs w:val="24"/>
              </w:rPr>
              <w:t xml:space="preserve">Phase 3 — Project Design</w:t>
            </w:r>
          </w:p>
        </w:tc>
      </w:tr>
      <w:tr>
        <w:tc>
          <w:tcPr>
            <w:tcW w:type="dxa" w:w="3200"/>
            <w:tcBorders>
              <w:top w:val="single" w:color="B0C4DE" w:sz="1"/>
              <w:left w:val="single" w:color="B0C4DE" w:sz="1"/>
              <w:bottom w:val="single" w:color="B0C4DE" w:sz="1"/>
              <w:right w:val="single" w:color="B0C4DE" w:sz="1"/>
            </w:tcBorders>
            <w:shd w:fill="D6E4F0" w:val="clear"/>
            <w:tcMar>
              <w:top w:type="dxa" w:w="90"/>
              <w:left w:type="dxa" w:w="160"/>
              <w:bottom w:type="dxa" w:w="90"/>
              <w:right w:type="dxa" w:w="160"/>
            </w:tcMar>
          </w:tcPr>
          <w:p>
            <w:r>
              <w:rPr>
                <w:rFonts w:ascii="Calibri" w:cs="Calibri" w:eastAsia="Calibri" w:hAnsi="Calibri"/>
                <w:b/>
                <w:bCs/>
                <w:sz w:val="24"/>
                <w:szCs w:val="24"/>
              </w:rPr>
              <w:t xml:space="preserve">Project</w:t>
            </w:r>
          </w:p>
        </w:tc>
        <w:tc>
          <w:tcPr>
            <w:tcW w:type="dxa" w:w="6148"/>
            <w:tcBorders>
              <w:top w:val="single" w:color="B0C4DE" w:sz="1"/>
              <w:left w:val="single" w:color="B0C4DE" w:sz="1"/>
              <w:bottom w:val="single" w:color="B0C4DE" w:sz="1"/>
              <w:right w:val="single" w:color="B0C4DE" w:sz="1"/>
            </w:tcBorders>
            <w:tcMar>
              <w:top w:type="dxa" w:w="90"/>
              <w:left w:type="dxa" w:w="160"/>
              <w:bottom w:type="dxa" w:w="90"/>
              <w:right w:type="dxa" w:w="160"/>
            </w:tcMar>
          </w:tcPr>
          <w:p>
            <w:r>
              <w:rPr>
                <w:rFonts w:ascii="Calibri" w:cs="Calibri" w:eastAsia="Calibri" w:hAnsi="Calibri"/>
                <w:sz w:val="24"/>
                <w:szCs w:val="24"/>
              </w:rPr>
              <w:t xml:space="preserve">Automating Employee Data Import in ServiceNow</w:t>
            </w:r>
          </w:p>
        </w:tc>
      </w:tr>
      <w:tr>
        <w:tc>
          <w:tcPr>
            <w:tcW w:type="dxa" w:w="3200"/>
            <w:tcBorders>
              <w:top w:val="single" w:color="B0C4DE" w:sz="1"/>
              <w:left w:val="single" w:color="B0C4DE" w:sz="1"/>
              <w:bottom w:val="single" w:color="B0C4DE" w:sz="1"/>
              <w:right w:val="single" w:color="B0C4DE" w:sz="1"/>
            </w:tcBorders>
            <w:shd w:fill="D6E4F0" w:val="clear"/>
            <w:tcMar>
              <w:top w:type="dxa" w:w="90"/>
              <w:left w:type="dxa" w:w="160"/>
              <w:bottom w:type="dxa" w:w="90"/>
              <w:right w:type="dxa" w:w="160"/>
            </w:tcMar>
          </w:tcPr>
          <w:p>
            <w:r>
              <w:rPr>
                <w:rFonts w:ascii="Calibri" w:cs="Calibri" w:eastAsia="Calibri" w:hAnsi="Calibri"/>
                <w:b/>
                <w:bCs/>
                <w:sz w:val="24"/>
                <w:szCs w:val="24"/>
              </w:rPr>
              <w:t xml:space="preserve">Document Type</w:t>
            </w:r>
          </w:p>
        </w:tc>
        <w:tc>
          <w:tcPr>
            <w:tcW w:type="dxa" w:w="6148"/>
            <w:tcBorders>
              <w:top w:val="single" w:color="B0C4DE" w:sz="1"/>
              <w:left w:val="single" w:color="B0C4DE" w:sz="1"/>
              <w:bottom w:val="single" w:color="B0C4DE" w:sz="1"/>
              <w:right w:val="single" w:color="B0C4DE" w:sz="1"/>
            </w:tcBorders>
            <w:tcMar>
              <w:top w:type="dxa" w:w="90"/>
              <w:left w:type="dxa" w:w="160"/>
              <w:bottom w:type="dxa" w:w="90"/>
              <w:right w:type="dxa" w:w="160"/>
            </w:tcMar>
          </w:tcPr>
          <w:p>
            <w:r>
              <w:rPr>
                <w:rFonts w:ascii="Calibri" w:cs="Calibri" w:eastAsia="Calibri" w:hAnsi="Calibri"/>
                <w:sz w:val="24"/>
                <w:szCs w:val="24"/>
              </w:rPr>
              <w:t xml:space="preserve">Technical Project Documentation</w:t>
            </w:r>
          </w:p>
        </w:tc>
      </w:tr>
      <w:tr>
        <w:tc>
          <w:tcPr>
            <w:tcW w:type="dxa" w:w="3200"/>
            <w:tcBorders>
              <w:top w:val="single" w:color="B0C4DE" w:sz="1"/>
              <w:left w:val="single" w:color="B0C4DE" w:sz="1"/>
              <w:bottom w:val="single" w:color="B0C4DE" w:sz="1"/>
              <w:right w:val="single" w:color="B0C4DE" w:sz="1"/>
            </w:tcBorders>
            <w:shd w:fill="D6E4F0" w:val="clear"/>
            <w:tcMar>
              <w:top w:type="dxa" w:w="90"/>
              <w:left w:type="dxa" w:w="160"/>
              <w:bottom w:type="dxa" w:w="90"/>
              <w:right w:type="dxa" w:w="160"/>
            </w:tcMar>
          </w:tcPr>
          <w:p>
            <w:r>
              <w:rPr>
                <w:rFonts w:ascii="Calibri" w:cs="Calibri" w:eastAsia="Calibri" w:hAnsi="Calibri"/>
                <w:b/>
                <w:bCs/>
                <w:sz w:val="24"/>
                <w:szCs w:val="24"/>
              </w:rPr>
              <w:t xml:space="preserve">Scope</w:t>
            </w:r>
          </w:p>
        </w:tc>
        <w:tc>
          <w:tcPr>
            <w:tcW w:type="dxa" w:w="6148"/>
            <w:tcBorders>
              <w:top w:val="single" w:color="B0C4DE" w:sz="1"/>
              <w:left w:val="single" w:color="B0C4DE" w:sz="1"/>
              <w:bottom w:val="single" w:color="B0C4DE" w:sz="1"/>
              <w:right w:val="single" w:color="B0C4DE" w:sz="1"/>
            </w:tcBorders>
            <w:tcMar>
              <w:top w:type="dxa" w:w="90"/>
              <w:left w:type="dxa" w:w="160"/>
              <w:bottom w:type="dxa" w:w="90"/>
              <w:right w:type="dxa" w:w="160"/>
            </w:tcMar>
          </w:tcPr>
          <w:p>
            <w:r>
              <w:rPr>
                <w:rFonts w:ascii="Calibri" w:cs="Calibri" w:eastAsia="Calibri" w:hAnsi="Calibri"/>
                <w:sz w:val="24"/>
                <w:szCs w:val="24"/>
              </w:rPr>
              <w:t xml:space="preserve">Architecture, Data Flow, Database and Form Design</w:t>
            </w:r>
          </w:p>
        </w:tc>
      </w:tr>
      <w:tr>
        <w:tc>
          <w:tcPr>
            <w:tcW w:type="dxa" w:w="3200"/>
            <w:tcBorders>
              <w:top w:val="single" w:color="B0C4DE" w:sz="1"/>
              <w:left w:val="single" w:color="B0C4DE" w:sz="1"/>
              <w:bottom w:val="single" w:color="B0C4DE" w:sz="1"/>
              <w:right w:val="single" w:color="B0C4DE" w:sz="1"/>
            </w:tcBorders>
            <w:shd w:fill="D6E4F0" w:val="clear"/>
            <w:tcMar>
              <w:top w:type="dxa" w:w="90"/>
              <w:left w:type="dxa" w:w="160"/>
              <w:bottom w:type="dxa" w:w="90"/>
              <w:right w:type="dxa" w:w="160"/>
            </w:tcMar>
          </w:tcPr>
          <w:p>
            <w:r>
              <w:rPr>
                <w:rFonts w:ascii="Calibri" w:cs="Calibri" w:eastAsia="Calibri" w:hAnsi="Calibri"/>
                <w:b/>
                <w:bCs/>
                <w:sz w:val="24"/>
                <w:szCs w:val="24"/>
              </w:rPr>
              <w:t xml:space="preserve">Document Date</w:t>
            </w:r>
          </w:p>
        </w:tc>
        <w:tc>
          <w:tcPr>
            <w:tcW w:type="dxa" w:w="6148"/>
            <w:tcBorders>
              <w:top w:val="single" w:color="B0C4DE" w:sz="1"/>
              <w:left w:val="single" w:color="B0C4DE" w:sz="1"/>
              <w:bottom w:val="single" w:color="B0C4DE" w:sz="1"/>
              <w:right w:val="single" w:color="B0C4DE" w:sz="1"/>
            </w:tcBorders>
            <w:tcMar>
              <w:top w:type="dxa" w:w="90"/>
              <w:left w:type="dxa" w:w="160"/>
              <w:bottom w:type="dxa" w:w="90"/>
              <w:right w:type="dxa" w:w="160"/>
            </w:tcMar>
          </w:tcPr>
          <w:p>
            <w:r>
              <w:rPr>
                <w:rFonts w:ascii="Calibri" w:cs="Calibri" w:eastAsia="Calibri" w:hAnsi="Calibri"/>
                <w:sz w:val="24"/>
                <w:szCs w:val="24"/>
              </w:rPr>
              <w:t xml:space="preserve">2025</w:t>
            </w:r>
          </w:p>
        </w:tc>
      </w:tr>
      <w:tr>
        <w:tc>
          <w:tcPr>
            <w:tcW w:type="dxa" w:w="3200"/>
            <w:tcBorders>
              <w:top w:val="single" w:color="B0C4DE" w:sz="1"/>
              <w:left w:val="single" w:color="B0C4DE" w:sz="1"/>
              <w:bottom w:val="single" w:color="B0C4DE" w:sz="1"/>
              <w:right w:val="single" w:color="B0C4DE" w:sz="1"/>
            </w:tcBorders>
            <w:shd w:fill="D6E4F0" w:val="clear"/>
            <w:tcMar>
              <w:top w:type="dxa" w:w="90"/>
              <w:left w:type="dxa" w:w="160"/>
              <w:bottom w:type="dxa" w:w="90"/>
              <w:right w:type="dxa" w:w="160"/>
            </w:tcMar>
          </w:tcPr>
          <w:p>
            <w:r>
              <w:rPr>
                <w:rFonts w:ascii="Calibri" w:cs="Calibri" w:eastAsia="Calibri" w:hAnsi="Calibri"/>
                <w:b/>
                <w:bCs/>
                <w:sz w:val="24"/>
                <w:szCs w:val="24"/>
              </w:rPr>
              <w:t xml:space="preserve">Version</w:t>
            </w:r>
          </w:p>
        </w:tc>
        <w:tc>
          <w:tcPr>
            <w:tcW w:type="dxa" w:w="6148"/>
            <w:tcBorders>
              <w:top w:val="single" w:color="B0C4DE" w:sz="1"/>
              <w:left w:val="single" w:color="B0C4DE" w:sz="1"/>
              <w:bottom w:val="single" w:color="B0C4DE" w:sz="1"/>
              <w:right w:val="single" w:color="B0C4DE" w:sz="1"/>
            </w:tcBorders>
            <w:tcMar>
              <w:top w:type="dxa" w:w="90"/>
              <w:left w:type="dxa" w:w="160"/>
              <w:bottom w:type="dxa" w:w="90"/>
              <w:right w:type="dxa" w:w="160"/>
            </w:tcMar>
          </w:tcPr>
          <w:p>
            <w:r>
              <w:rPr>
                <w:rFonts w:ascii="Calibri" w:cs="Calibri" w:eastAsia="Calibri" w:hAnsi="Calibri"/>
                <w:sz w:val="24"/>
                <w:szCs w:val="24"/>
              </w:rPr>
              <w:t xml:space="preserve">1.0</w:t>
            </w:r>
          </w:p>
        </w:tc>
      </w:tr>
      <w:tr>
        <w:tc>
          <w:tcPr>
            <w:tcW w:type="dxa" w:w="3200"/>
            <w:tcBorders>
              <w:top w:val="single" w:color="B0C4DE" w:sz="1"/>
              <w:left w:val="single" w:color="B0C4DE" w:sz="1"/>
              <w:bottom w:val="single" w:color="B0C4DE" w:sz="1"/>
              <w:right w:val="single" w:color="B0C4DE" w:sz="1"/>
            </w:tcBorders>
            <w:shd w:fill="D6E4F0" w:val="clear"/>
            <w:tcMar>
              <w:top w:type="dxa" w:w="90"/>
              <w:left w:type="dxa" w:w="160"/>
              <w:bottom w:type="dxa" w:w="90"/>
              <w:right w:type="dxa" w:w="160"/>
            </w:tcMar>
          </w:tcPr>
          <w:p>
            <w:r>
              <w:rPr>
                <w:rFonts w:ascii="Calibri" w:cs="Calibri" w:eastAsia="Calibri" w:hAnsi="Calibri"/>
                <w:b/>
                <w:bCs/>
                <w:sz w:val="24"/>
                <w:szCs w:val="24"/>
              </w:rPr>
              <w:t xml:space="preserve">Status</w:t>
            </w:r>
          </w:p>
        </w:tc>
        <w:tc>
          <w:tcPr>
            <w:tcW w:type="dxa" w:w="6148"/>
            <w:tcBorders>
              <w:top w:val="single" w:color="B0C4DE" w:sz="1"/>
              <w:left w:val="single" w:color="B0C4DE" w:sz="1"/>
              <w:bottom w:val="single" w:color="B0C4DE" w:sz="1"/>
              <w:right w:val="single" w:color="B0C4DE" w:sz="1"/>
            </w:tcBorders>
            <w:tcMar>
              <w:top w:type="dxa" w:w="90"/>
              <w:left w:type="dxa" w:w="160"/>
              <w:bottom w:type="dxa" w:w="90"/>
              <w:right w:type="dxa" w:w="160"/>
            </w:tcMar>
          </w:tcPr>
          <w:p>
            <w:r>
              <w:rPr>
                <w:rFonts w:ascii="Calibri" w:cs="Calibri" w:eastAsia="Calibri" w:hAnsi="Calibri"/>
                <w:sz w:val="24"/>
                <w:szCs w:val="24"/>
              </w:rPr>
              <w:t xml:space="preserve">Final</w:t>
            </w:r>
          </w:p>
        </w:tc>
      </w:tr>
    </w:tbl>
    <w:p>
      <w:pPr>
        <w:spacing w:before="460" w:after="80"/>
      </w:pPr>
      <w:r>
        <w:t xml:space="preserve"/>
      </w:r>
    </w:p>
    <w:p>
      <w:pPr>
        <w:spacing w:before="80" w:after="40"/>
        <w:jc w:val="center"/>
      </w:pPr>
      <w:r>
        <w:rPr>
          <w:rFonts w:ascii="Calibri" w:cs="Calibri" w:eastAsia="Calibri" w:hAnsi="Calibri"/>
          <w:i/>
          <w:iCs/>
          <w:color w:val="555555"/>
          <w:sz w:val="24"/>
          <w:szCs w:val="24"/>
        </w:rPr>
        <w:t xml:space="preserve">Prepared by the ServiceNow Implementation Team</w:t>
      </w:r>
    </w:p>
    <w:p>
      <w:r>
        <w:br w:type="page"/>
      </w:r>
    </w:p>
    <w:p>
      <w:pPr>
        <w:sectPr>
          <w:pgSz w:w="12240" w:h="15840" w:orient="portrait"/>
          <w:pgMar w:top="1440" w:right="1296" w:bottom="1440" w:left="1296" w:header="708" w:footer="708" w:gutter="0"/>
          <w:pgNumType/>
          <w:docGrid w:linePitch="360"/>
        </w:sectPr>
      </w:pP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F3864" w:sz="1"/>
              <w:left w:val="single" w:color="1F3864" w:sz="1"/>
              <w:bottom w:val="single" w:color="1F3864" w:sz="1"/>
              <w:right w:val="single" w:color="1F3864" w:sz="1"/>
            </w:tcBorders>
            <w:shd w:fill="1F3864" w:val="clear"/>
            <w:tcMar>
              <w:top w:type="dxa" w:w="120"/>
              <w:left w:type="dxa" w:w="240"/>
              <w:bottom w:type="dxa" w:w="120"/>
              <w:right w:type="dxa" w:w="240"/>
            </w:tcMar>
          </w:tcPr>
          <w:p>
            <w:r>
              <w:rPr>
                <w:rFonts w:ascii="Calibri" w:cs="Calibri" w:eastAsia="Calibri" w:hAnsi="Calibri"/>
                <w:b/>
                <w:bCs/>
                <w:color w:val="FFFFFF"/>
                <w:sz w:val="22"/>
                <w:szCs w:val="22"/>
              </w:rPr>
              <w:t xml:space="preserve">Section 1  —  Introduction to Project Design Phase</w:t>
            </w:r>
          </w:p>
        </w:tc>
      </w:tr>
    </w:tbl>
    <w:p>
      <w:pPr>
        <w:spacing w:before="80" w:after="80"/>
      </w:pPr>
      <w:r>
        <w:t xml:space="preserve"/>
      </w:r>
    </w:p>
    <w:p>
      <w:pPr>
        <w:pStyle w:val="Heading1"/>
        <w:spacing w:before="440" w:after="160"/>
      </w:pPr>
      <w:r>
        <w:rPr>
          <w:rFonts w:ascii="Calibri" w:cs="Calibri" w:eastAsia="Calibri" w:hAnsi="Calibri"/>
          <w:b/>
          <w:bCs/>
          <w:color w:val="1F3864"/>
          <w:sz w:val="34"/>
          <w:szCs w:val="34"/>
        </w:rPr>
        <w:t xml:space="preserve">1. Introduction to Project Design Phase</w:t>
      </w:r>
    </w:p>
    <w:p>
      <w:pPr>
        <w:pBdr>
          <w:bottom w:val="single" w:color="2E5496" w:sz="6" w:space="1"/>
        </w:pBdr>
        <w:spacing w:before="100" w:after="100"/>
      </w:pPr>
      <w:r>
        <w:t xml:space="preserve"/>
      </w:r>
    </w:p>
    <w:p>
      <w:pPr>
        <w:spacing w:before="60" w:after="80"/>
      </w:pPr>
      <w:r>
        <w:t xml:space="preserve"/>
      </w:r>
    </w:p>
    <w:p>
      <w:pPr>
        <w:spacing w:line="360" w:lineRule="auto" w:before="80" w:after="160"/>
        <w:ind w:firstLine="720"/>
        <w:jc w:val="both"/>
      </w:pPr>
      <w:r>
        <w:rPr>
          <w:rFonts w:ascii="Calibri" w:cs="Calibri" w:eastAsia="Calibri" w:hAnsi="Calibri"/>
          <w:sz w:val="24"/>
          <w:szCs w:val="24"/>
        </w:rPr>
        <w:t xml:space="preserve">The Project Design Phase is a pivotal stage within the software development and systems implementation lifecycle that serves as the intellectual bridge between the documented requirements of a project and the actual technical implementation that follows. While the preceding phases establish what the system must accomplish and why it must accomplish it, the design phase addresses the fundamental question of how the system will be built. It is during this phase that abstract requirements are translated into a concrete, actionable technical blueprint that guides all subsequent development activity.</w:t>
      </w:r>
    </w:p>
    <w:p>
      <w:pPr>
        <w:spacing w:line="360" w:lineRule="auto" w:before="80" w:after="160"/>
        <w:ind w:firstLine="720"/>
        <w:jc w:val="both"/>
      </w:pPr>
      <w:r>
        <w:rPr>
          <w:rFonts w:ascii="Calibri" w:cs="Calibri" w:eastAsia="Calibri" w:hAnsi="Calibri"/>
          <w:sz w:val="24"/>
          <w:szCs w:val="24"/>
        </w:rPr>
        <w:t xml:space="preserve">In the context of the Automating Employee Data Import project, the design phase focuses on defining the system architecture, specifying the data flows between components, designing the database structure and table relationships, determining the field-level mapping strategy, planning the Incident form layout customisations, establishing the configuration design for priority management, and mapping the complete process workflow. Each of these design decisions is made in direct response to the requirements identified during the Requirement Analysis phase and is shaped by the capabilities and constraints of the ServiceNow platform.</w:t>
      </w:r>
    </w:p>
    <w:p>
      <w:pPr>
        <w:spacing w:line="360" w:lineRule="auto" w:before="80" w:after="160"/>
        <w:ind w:firstLine="720"/>
        <w:jc w:val="both"/>
      </w:pPr>
      <w:r>
        <w:rPr>
          <w:rFonts w:ascii="Calibri" w:cs="Calibri" w:eastAsia="Calibri" w:hAnsi="Calibri"/>
          <w:sz w:val="24"/>
          <w:szCs w:val="24"/>
        </w:rPr>
        <w:t xml:space="preserve">A well-executed design phase delivers several important benefits to the overall project. It reduces the risk of implementation errors by ensuring that all developers have a clear and unambiguous specification to work from before any configuration begins. It exposes potential issues, such as conflicting field mappings, unsupported reference resolutions, or incorrect inheritance assumptions, at the design stage where they are far less costly to address than when they are discovered during or after implementation. It also provides stakeholders with a tangible artefact that can be reviewed and approved before resource-intensive development work commences, thereby ensuring alignment between the project team and the project's sponsors or evaluators.</w:t>
      </w:r>
    </w:p>
    <w:p>
      <w:pPr>
        <w:spacing w:line="360" w:lineRule="auto" w:before="80" w:after="160"/>
        <w:ind w:firstLine="720"/>
        <w:jc w:val="both"/>
      </w:pPr>
      <w:r>
        <w:rPr>
          <w:rFonts w:ascii="Calibri" w:cs="Calibri" w:eastAsia="Calibri" w:hAnsi="Calibri"/>
          <w:sz w:val="24"/>
          <w:szCs w:val="24"/>
        </w:rPr>
        <w:t xml:space="preserve">This document presents the complete design specification for the Automating Employee Data Import project, organised into nine design sections that collectively define all aspects of the solution's structure and behaviour. Each section is accompanied by supporting tables and descriptive explanations to ensure that the design intent is communicated with clarity and precision, and that the document is suitable for direct use as the authoritative reference during the subsequent implementation phase.</w:t>
      </w:r>
    </w:p>
    <w:p>
      <w:pPr>
        <w:spacing w:before="100" w:after="80"/>
      </w:pPr>
      <w: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F3864" w:sz="1"/>
              <w:left w:val="single" w:color="1F3864" w:sz="1"/>
              <w:bottom w:val="single" w:color="1F3864" w:sz="1"/>
              <w:right w:val="single" w:color="1F3864" w:sz="1"/>
            </w:tcBorders>
            <w:shd w:fill="1F3864" w:val="clear"/>
            <w:tcMar>
              <w:top w:type="dxa" w:w="120"/>
              <w:left w:type="dxa" w:w="240"/>
              <w:bottom w:type="dxa" w:w="120"/>
              <w:right w:type="dxa" w:w="240"/>
            </w:tcMar>
          </w:tcPr>
          <w:p>
            <w:r>
              <w:rPr>
                <w:rFonts w:ascii="Calibri" w:cs="Calibri" w:eastAsia="Calibri" w:hAnsi="Calibri"/>
                <w:b/>
                <w:bCs/>
                <w:color w:val="FFFFFF"/>
                <w:sz w:val="22"/>
                <w:szCs w:val="22"/>
              </w:rPr>
              <w:t xml:space="preserve">Section 2  —  System Architecture Overview</w:t>
            </w:r>
          </w:p>
        </w:tc>
      </w:tr>
    </w:tbl>
    <w:p>
      <w:pPr>
        <w:spacing w:before="80" w:after="80"/>
      </w:pPr>
      <w:r>
        <w:t xml:space="preserve"/>
      </w:r>
    </w:p>
    <w:p>
      <w:pPr>
        <w:pStyle w:val="Heading1"/>
        <w:spacing w:before="440" w:after="160"/>
      </w:pPr>
      <w:r>
        <w:rPr>
          <w:rFonts w:ascii="Calibri" w:cs="Calibri" w:eastAsia="Calibri" w:hAnsi="Calibri"/>
          <w:b/>
          <w:bCs/>
          <w:color w:val="1F3864"/>
          <w:sz w:val="34"/>
          <w:szCs w:val="34"/>
        </w:rPr>
        <w:t xml:space="preserve">2. System Architecture Overview</w:t>
      </w:r>
    </w:p>
    <w:p>
      <w:pPr>
        <w:pBdr>
          <w:bottom w:val="single" w:color="2E5496" w:sz="6" w:space="1"/>
        </w:pBdr>
        <w:spacing w:before="100" w:after="100"/>
      </w:pPr>
      <w:r>
        <w:t xml:space="preserve"/>
      </w:r>
    </w:p>
    <w:p>
      <w:pPr>
        <w:spacing w:before="60" w:after="80"/>
      </w:pPr>
      <w:r>
        <w:t xml:space="preserve"/>
      </w:r>
    </w:p>
    <w:p>
      <w:pPr>
        <w:spacing w:line="360" w:lineRule="auto" w:before="80" w:after="160"/>
        <w:ind w:firstLine="720"/>
        <w:jc w:val="both"/>
      </w:pPr>
      <w:r>
        <w:rPr>
          <w:rFonts w:ascii="Calibri" w:cs="Calibri" w:eastAsia="Calibri" w:hAnsi="Calibri"/>
          <w:sz w:val="24"/>
          <w:szCs w:val="24"/>
        </w:rPr>
        <w:t xml:space="preserve">The system architecture of the Automating Employee Data Import solution is structured as a layered, sequential pipeline in which data originates from an external source, passes through a series of transformation and storage stages within ServiceNow, and ultimately becomes available for consumption by the platform's Incident Management module. Each layer in the architecture performs a distinct and well-defined role, and the output of each layer serves as the input to the layer that follows.</w:t>
      </w:r>
    </w:p>
    <w:p>
      <w:pPr>
        <w:spacing w:line="360" w:lineRule="auto" w:before="80" w:after="160"/>
        <w:ind w:firstLine="720"/>
        <w:jc w:val="both"/>
      </w:pPr>
      <w:r>
        <w:rPr>
          <w:rFonts w:ascii="Calibri" w:cs="Calibri" w:eastAsia="Calibri" w:hAnsi="Calibri"/>
          <w:sz w:val="24"/>
          <w:szCs w:val="24"/>
        </w:rPr>
        <w:t xml:space="preserve">The architecture is deliberately designed to leverage ServiceNow's native, built-in capabilities, specifically the Import Sets and Transform Maps modules, rather than relying on custom scripting or external integration tools. This approach maximises reliability, reduces implementation complexity, and ensures that the solution remains maintainable by standard ServiceNow administrators without requiring specialised coding expertise.</w:t>
      </w:r>
    </w:p>
    <w:p>
      <w:pPr>
        <w:spacing w:before="80" w:after="80"/>
      </w:pPr>
      <w:r>
        <w:t xml:space="preserve"/>
      </w:r>
    </w:p>
    <w:p>
      <w:pPr>
        <w:pStyle w:val="Heading2"/>
        <w:spacing w:before="300" w:after="140"/>
      </w:pPr>
      <w:r>
        <w:rPr>
          <w:rFonts w:ascii="Calibri" w:cs="Calibri" w:eastAsia="Calibri" w:hAnsi="Calibri"/>
          <w:b/>
          <w:bCs/>
          <w:color w:val="2E5496"/>
          <w:sz w:val="28"/>
          <w:szCs w:val="28"/>
        </w:rPr>
        <w:t xml:space="preserve">2.1 Architecture Layer Reference</w:t>
      </w:r>
    </w:p>
    <w:p>
      <w:pPr>
        <w:spacing w:before="60" w:after="80"/>
      </w:pPr>
      <w: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2400"/>
        <w:gridCol w:w="4448"/>
      </w:tblGrid>
      <w:tr>
        <w:trPr>
          <w:tblHeader/>
        </w:trPr>
        <w:tc>
          <w:tcPr>
            <w:tcW w:type="dxa" w:w="6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jc w:val="center"/>
            </w:pPr>
            <w:r>
              <w:rPr>
                <w:rFonts w:ascii="Calibri" w:cs="Calibri" w:eastAsia="Calibri" w:hAnsi="Calibri"/>
                <w:b/>
                <w:bCs/>
                <w:color w:val="FFFFFF"/>
                <w:sz w:val="24"/>
                <w:szCs w:val="24"/>
              </w:rPr>
              <w:t xml:space="preserve">Layer</w:t>
            </w:r>
          </w:p>
        </w:tc>
        <w:tc>
          <w:tcPr>
            <w:tcW w:type="dxa" w:w="22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jc w:val="center"/>
            </w:pPr>
            <w:r>
              <w:rPr>
                <w:rFonts w:ascii="Calibri" w:cs="Calibri" w:eastAsia="Calibri" w:hAnsi="Calibri"/>
                <w:b/>
                <w:bCs/>
                <w:color w:val="FFFFFF"/>
                <w:sz w:val="24"/>
                <w:szCs w:val="24"/>
              </w:rPr>
              <w:t xml:space="preserve">System Layer</w:t>
            </w:r>
          </w:p>
        </w:tc>
        <w:tc>
          <w:tcPr>
            <w:tcW w:type="dxa" w:w="24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jc w:val="center"/>
            </w:pPr>
            <w:r>
              <w:rPr>
                <w:rFonts w:ascii="Calibri" w:cs="Calibri" w:eastAsia="Calibri" w:hAnsi="Calibri"/>
                <w:b/>
                <w:bCs/>
                <w:color w:val="FFFFFF"/>
                <w:sz w:val="24"/>
                <w:szCs w:val="24"/>
              </w:rPr>
              <w:t xml:space="preserve">Component</w:t>
            </w:r>
          </w:p>
        </w:tc>
        <w:tc>
          <w:tcPr>
            <w:tcW w:type="dxa" w:w="4448"/>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jc w:val="center"/>
            </w:pPr>
            <w:r>
              <w:rPr>
                <w:rFonts w:ascii="Calibri" w:cs="Calibri" w:eastAsia="Calibri" w:hAnsi="Calibri"/>
                <w:b/>
                <w:bCs/>
                <w:color w:val="FFFFFF"/>
                <w:sz w:val="24"/>
                <w:szCs w:val="24"/>
              </w:rPr>
              <w:t xml:space="preserve">Role in the Project</w:t>
            </w:r>
          </w:p>
        </w:tc>
      </w:tr>
      <w:tr>
        <w:tc>
          <w:tcPr>
            <w:tcW w:type="dxa" w:w="600"/>
            <w:tcBorders>
              <w:top w:val="single" w:color="B0C4DE" w:sz="1"/>
              <w:left w:val="single" w:color="B0C4DE" w:sz="1"/>
              <w:bottom w:val="single" w:color="B0C4DE" w:sz="1"/>
              <w:right w:val="single" w:color="B0C4DE" w:sz="1"/>
            </w:tcBorders>
            <w:shd w:fill="2E5496" w:val="clear"/>
            <w:tcMar>
              <w:top w:type="dxa" w:w="100"/>
              <w:left w:type="dxa" w:w="100"/>
              <w:bottom w:type="dxa" w:w="100"/>
              <w:right w:type="dxa" w:w="100"/>
            </w:tcMar>
            <w:vAlign w:val="center"/>
          </w:tcPr>
          <w:p>
            <w:pPr>
              <w:jc w:val="center"/>
            </w:pPr>
            <w:r>
              <w:rPr>
                <w:rFonts w:ascii="Calibri" w:cs="Calibri" w:eastAsia="Calibri" w:hAnsi="Calibri"/>
                <w:b/>
                <w:bCs/>
                <w:color w:val="FFFFFF"/>
                <w:sz w:val="26"/>
                <w:szCs w:val="26"/>
              </w:rPr>
              <w:t xml:space="preserve">L1</w:t>
            </w:r>
          </w:p>
        </w:tc>
        <w:tc>
          <w:tcPr>
            <w:tcW w:type="dxa" w:w="2200"/>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center"/>
          </w:tcPr>
          <w:p>
            <w:r>
              <w:rPr>
                <w:rFonts w:ascii="Calibri" w:cs="Calibri" w:eastAsia="Calibri" w:hAnsi="Calibri"/>
                <w:b/>
                <w:bCs/>
                <w:color w:val="1F3864"/>
                <w:sz w:val="24"/>
                <w:szCs w:val="24"/>
              </w:rPr>
              <w:t xml:space="preserve">External Data Source</w:t>
            </w:r>
          </w:p>
        </w:tc>
        <w:tc>
          <w:tcPr>
            <w:tcW w:type="dxa" w:w="2400"/>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tcPr>
          <w:p>
            <w:r>
              <w:rPr>
                <w:rFonts w:ascii="Courier New" w:cs="Courier New" w:eastAsia="Courier New" w:hAnsi="Courier New"/>
                <w:b/>
                <w:bCs/>
                <w:color w:val="1F3864"/>
                <w:sz w:val="20"/>
                <w:szCs w:val="20"/>
              </w:rPr>
              <w:t xml:space="preserve">Google Sheets / Excel</w:t>
            </w:r>
          </w:p>
        </w:tc>
        <w:tc>
          <w:tcPr>
            <w:tcW w:type="dxa" w:w="4448"/>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tcPr>
          <w:p>
            <w:pPr>
              <w:jc w:val="both"/>
            </w:pPr>
            <w:r>
              <w:rPr>
                <w:rFonts w:ascii="Calibri" w:cs="Calibri" w:eastAsia="Calibri" w:hAnsi="Calibri"/>
                <w:sz w:val="24"/>
                <w:szCs w:val="24"/>
              </w:rPr>
              <w:t xml:space="preserve">Serves as the origin point for all employee data. Data is structured in a tabular format with defined column headers. The file is exported in XLSX or CSV format for compatibility with ServiceNow's Import Sets module.</w:t>
            </w:r>
          </w:p>
        </w:tc>
      </w:tr>
      <w:tr>
        <w:tc>
          <w:tcPr>
            <w:tcW w:type="dxa" w:w="600"/>
            <w:tcBorders>
              <w:top w:val="single" w:color="B0C4DE" w:sz="1"/>
              <w:left w:val="single" w:color="B0C4DE" w:sz="1"/>
              <w:bottom w:val="single" w:color="B0C4DE" w:sz="1"/>
              <w:right w:val="single" w:color="B0C4DE" w:sz="1"/>
            </w:tcBorders>
            <w:shd w:fill="2E5496" w:val="clear"/>
            <w:tcMar>
              <w:top w:type="dxa" w:w="100"/>
              <w:left w:type="dxa" w:w="100"/>
              <w:bottom w:type="dxa" w:w="100"/>
              <w:right w:type="dxa" w:w="100"/>
            </w:tcMar>
            <w:vAlign w:val="center"/>
          </w:tcPr>
          <w:p>
            <w:pPr>
              <w:jc w:val="center"/>
            </w:pPr>
            <w:r>
              <w:rPr>
                <w:rFonts w:ascii="Calibri" w:cs="Calibri" w:eastAsia="Calibri" w:hAnsi="Calibri"/>
                <w:b/>
                <w:bCs/>
                <w:color w:val="FFFFFF"/>
                <w:sz w:val="26"/>
                <w:szCs w:val="26"/>
              </w:rPr>
              <w:t xml:space="preserve">L2</w:t>
            </w:r>
          </w:p>
        </w:tc>
        <w:tc>
          <w:tcPr>
            <w:tcW w:type="dxa" w:w="2200"/>
            <w:tcBorders>
              <w:top w:val="single" w:color="B0C4DE" w:sz="1"/>
              <w:left w:val="single" w:color="B0C4DE" w:sz="1"/>
              <w:bottom w:val="single" w:color="B0C4DE" w:sz="1"/>
              <w:right w:val="single" w:color="B0C4DE" w:sz="1"/>
            </w:tcBorders>
            <w:shd w:fill="EBF3FB" w:val="clear"/>
            <w:tcMar>
              <w:top w:type="dxa" w:w="100"/>
              <w:left w:type="dxa" w:w="140"/>
              <w:bottom w:type="dxa" w:w="100"/>
              <w:right w:type="dxa" w:w="140"/>
            </w:tcMar>
            <w:vAlign w:val="center"/>
          </w:tcPr>
          <w:p>
            <w:r>
              <w:rPr>
                <w:rFonts w:ascii="Calibri" w:cs="Calibri" w:eastAsia="Calibri" w:hAnsi="Calibri"/>
                <w:b/>
                <w:bCs/>
                <w:color w:val="1F3864"/>
                <w:sz w:val="24"/>
                <w:szCs w:val="24"/>
              </w:rPr>
              <w:t xml:space="preserve">Data Staging Layer</w:t>
            </w:r>
          </w:p>
        </w:tc>
        <w:tc>
          <w:tcPr>
            <w:tcW w:type="dxa" w:w="2400"/>
            <w:tcBorders>
              <w:top w:val="single" w:color="B0C4DE" w:sz="1"/>
              <w:left w:val="single" w:color="B0C4DE" w:sz="1"/>
              <w:bottom w:val="single" w:color="B0C4DE" w:sz="1"/>
              <w:right w:val="single" w:color="B0C4DE" w:sz="1"/>
            </w:tcBorders>
            <w:shd w:fill="EBF3FB" w:val="clear"/>
            <w:tcMar>
              <w:top w:type="dxa" w:w="100"/>
              <w:left w:type="dxa" w:w="140"/>
              <w:bottom w:type="dxa" w:w="100"/>
              <w:right w:type="dxa" w:w="140"/>
            </w:tcMar>
          </w:tcPr>
          <w:p>
            <w:r>
              <w:rPr>
                <w:rFonts w:ascii="Courier New" w:cs="Courier New" w:eastAsia="Courier New" w:hAnsi="Courier New"/>
                <w:b/>
                <w:bCs/>
                <w:color w:val="1F3864"/>
                <w:sz w:val="20"/>
                <w:szCs w:val="20"/>
              </w:rPr>
              <w:t xml:space="preserve">Import Set Table</w:t>
            </w:r>
          </w:p>
        </w:tc>
        <w:tc>
          <w:tcPr>
            <w:tcW w:type="dxa" w:w="4448"/>
            <w:tcBorders>
              <w:top w:val="single" w:color="B0C4DE" w:sz="1"/>
              <w:left w:val="single" w:color="B0C4DE" w:sz="1"/>
              <w:bottom w:val="single" w:color="B0C4DE" w:sz="1"/>
              <w:right w:val="single" w:color="B0C4DE" w:sz="1"/>
            </w:tcBorders>
            <w:shd w:fill="EBF3FB" w:val="clear"/>
            <w:tcMar>
              <w:top w:type="dxa" w:w="100"/>
              <w:left w:type="dxa" w:w="140"/>
              <w:bottom w:type="dxa" w:w="100"/>
              <w:right w:type="dxa" w:w="140"/>
            </w:tcMar>
          </w:tcPr>
          <w:p>
            <w:pPr>
              <w:jc w:val="both"/>
            </w:pPr>
            <w:r>
              <w:rPr>
                <w:rFonts w:ascii="Calibri" w:cs="Calibri" w:eastAsia="Calibri" w:hAnsi="Calibri"/>
                <w:sz w:val="24"/>
                <w:szCs w:val="24"/>
              </w:rPr>
              <w:t xml:space="preserve">Acts as a temporary staging environment that receives and holds raw imported data before transformation. Provides a safe intermediate layer where data can be inspected and validated before being committed to production tables.</w:t>
            </w:r>
          </w:p>
        </w:tc>
      </w:tr>
      <w:tr>
        <w:tc>
          <w:tcPr>
            <w:tcW w:type="dxa" w:w="600"/>
            <w:tcBorders>
              <w:top w:val="single" w:color="B0C4DE" w:sz="1"/>
              <w:left w:val="single" w:color="B0C4DE" w:sz="1"/>
              <w:bottom w:val="single" w:color="B0C4DE" w:sz="1"/>
              <w:right w:val="single" w:color="B0C4DE" w:sz="1"/>
            </w:tcBorders>
            <w:shd w:fill="2E5496" w:val="clear"/>
            <w:tcMar>
              <w:top w:type="dxa" w:w="100"/>
              <w:left w:type="dxa" w:w="100"/>
              <w:bottom w:type="dxa" w:w="100"/>
              <w:right w:type="dxa" w:w="100"/>
            </w:tcMar>
            <w:vAlign w:val="center"/>
          </w:tcPr>
          <w:p>
            <w:pPr>
              <w:jc w:val="center"/>
            </w:pPr>
            <w:r>
              <w:rPr>
                <w:rFonts w:ascii="Calibri" w:cs="Calibri" w:eastAsia="Calibri" w:hAnsi="Calibri"/>
                <w:b/>
                <w:bCs/>
                <w:color w:val="FFFFFF"/>
                <w:sz w:val="26"/>
                <w:szCs w:val="26"/>
              </w:rPr>
              <w:t xml:space="preserve">L3</w:t>
            </w:r>
          </w:p>
        </w:tc>
        <w:tc>
          <w:tcPr>
            <w:tcW w:type="dxa" w:w="2200"/>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center"/>
          </w:tcPr>
          <w:p>
            <w:r>
              <w:rPr>
                <w:rFonts w:ascii="Calibri" w:cs="Calibri" w:eastAsia="Calibri" w:hAnsi="Calibri"/>
                <w:b/>
                <w:bCs/>
                <w:color w:val="1F3864"/>
                <w:sz w:val="24"/>
                <w:szCs w:val="24"/>
              </w:rPr>
              <w:t xml:space="preserve">Transformation Layer</w:t>
            </w:r>
          </w:p>
        </w:tc>
        <w:tc>
          <w:tcPr>
            <w:tcW w:type="dxa" w:w="2400"/>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tcPr>
          <w:p>
            <w:r>
              <w:rPr>
                <w:rFonts w:ascii="Courier New" w:cs="Courier New" w:eastAsia="Courier New" w:hAnsi="Courier New"/>
                <w:b/>
                <w:bCs/>
                <w:color w:val="1F3864"/>
                <w:sz w:val="20"/>
                <w:szCs w:val="20"/>
              </w:rPr>
              <w:t xml:space="preserve">Transform Map</w:t>
            </w:r>
          </w:p>
        </w:tc>
        <w:tc>
          <w:tcPr>
            <w:tcW w:type="dxa" w:w="4448"/>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tcPr>
          <w:p>
            <w:pPr>
              <w:jc w:val="both"/>
            </w:pPr>
            <w:r>
              <w:rPr>
                <w:rFonts w:ascii="Calibri" w:cs="Calibri" w:eastAsia="Calibri" w:hAnsi="Calibri"/>
                <w:sz w:val="24"/>
                <w:szCs w:val="24"/>
              </w:rPr>
              <w:t xml:space="preserve">Processes records from the Import Set staging table, applies defined field mappings, resolves reference fields through Dot Walking expressions, and writes transformed records to the designated target table.</w:t>
            </w:r>
          </w:p>
        </w:tc>
      </w:tr>
      <w:tr>
        <w:tc>
          <w:tcPr>
            <w:tcW w:type="dxa" w:w="600"/>
            <w:tcBorders>
              <w:top w:val="single" w:color="B0C4DE" w:sz="1"/>
              <w:left w:val="single" w:color="B0C4DE" w:sz="1"/>
              <w:bottom w:val="single" w:color="B0C4DE" w:sz="1"/>
              <w:right w:val="single" w:color="B0C4DE" w:sz="1"/>
            </w:tcBorders>
            <w:shd w:fill="2E5496" w:val="clear"/>
            <w:tcMar>
              <w:top w:type="dxa" w:w="100"/>
              <w:left w:type="dxa" w:w="100"/>
              <w:bottom w:type="dxa" w:w="100"/>
              <w:right w:type="dxa" w:w="100"/>
            </w:tcMar>
            <w:vAlign w:val="center"/>
          </w:tcPr>
          <w:p>
            <w:pPr>
              <w:jc w:val="center"/>
            </w:pPr>
            <w:r>
              <w:rPr>
                <w:rFonts w:ascii="Calibri" w:cs="Calibri" w:eastAsia="Calibri" w:hAnsi="Calibri"/>
                <w:b/>
                <w:bCs/>
                <w:color w:val="FFFFFF"/>
                <w:sz w:val="26"/>
                <w:szCs w:val="26"/>
              </w:rPr>
              <w:t xml:space="preserve">L4</w:t>
            </w:r>
          </w:p>
        </w:tc>
        <w:tc>
          <w:tcPr>
            <w:tcW w:type="dxa" w:w="2200"/>
            <w:tcBorders>
              <w:top w:val="single" w:color="B0C4DE" w:sz="1"/>
              <w:left w:val="single" w:color="B0C4DE" w:sz="1"/>
              <w:bottom w:val="single" w:color="B0C4DE" w:sz="1"/>
              <w:right w:val="single" w:color="B0C4DE" w:sz="1"/>
            </w:tcBorders>
            <w:shd w:fill="EBF3FB" w:val="clear"/>
            <w:tcMar>
              <w:top w:type="dxa" w:w="100"/>
              <w:left w:type="dxa" w:w="140"/>
              <w:bottom w:type="dxa" w:w="100"/>
              <w:right w:type="dxa" w:w="140"/>
            </w:tcMar>
            <w:vAlign w:val="center"/>
          </w:tcPr>
          <w:p>
            <w:r>
              <w:rPr>
                <w:rFonts w:ascii="Calibri" w:cs="Calibri" w:eastAsia="Calibri" w:hAnsi="Calibri"/>
                <w:b/>
                <w:bCs/>
                <w:color w:val="1F3864"/>
                <w:sz w:val="24"/>
                <w:szCs w:val="24"/>
              </w:rPr>
              <w:t xml:space="preserve">User Data Layer</w:t>
            </w:r>
          </w:p>
        </w:tc>
        <w:tc>
          <w:tcPr>
            <w:tcW w:type="dxa" w:w="2400"/>
            <w:tcBorders>
              <w:top w:val="single" w:color="B0C4DE" w:sz="1"/>
              <w:left w:val="single" w:color="B0C4DE" w:sz="1"/>
              <w:bottom w:val="single" w:color="B0C4DE" w:sz="1"/>
              <w:right w:val="single" w:color="B0C4DE" w:sz="1"/>
            </w:tcBorders>
            <w:shd w:fill="EBF3FB" w:val="clear"/>
            <w:tcMar>
              <w:top w:type="dxa" w:w="100"/>
              <w:left w:type="dxa" w:w="140"/>
              <w:bottom w:type="dxa" w:w="100"/>
              <w:right w:type="dxa" w:w="140"/>
            </w:tcMar>
          </w:tcPr>
          <w:p>
            <w:r>
              <w:rPr>
                <w:rFonts w:ascii="Courier New" w:cs="Courier New" w:eastAsia="Courier New" w:hAnsi="Courier New"/>
                <w:b/>
                <w:bCs/>
                <w:color w:val="1F3864"/>
                <w:sz w:val="20"/>
                <w:szCs w:val="20"/>
              </w:rPr>
              <w:t xml:space="preserve">sys_user Table</w:t>
            </w:r>
          </w:p>
        </w:tc>
        <w:tc>
          <w:tcPr>
            <w:tcW w:type="dxa" w:w="4448"/>
            <w:tcBorders>
              <w:top w:val="single" w:color="B0C4DE" w:sz="1"/>
              <w:left w:val="single" w:color="B0C4DE" w:sz="1"/>
              <w:bottom w:val="single" w:color="B0C4DE" w:sz="1"/>
              <w:right w:val="single" w:color="B0C4DE" w:sz="1"/>
            </w:tcBorders>
            <w:shd w:fill="EBF3FB" w:val="clear"/>
            <w:tcMar>
              <w:top w:type="dxa" w:w="100"/>
              <w:left w:type="dxa" w:w="140"/>
              <w:bottom w:type="dxa" w:w="100"/>
              <w:right w:type="dxa" w:w="140"/>
            </w:tcMar>
          </w:tcPr>
          <w:p>
            <w:pPr>
              <w:jc w:val="both"/>
            </w:pPr>
            <w:r>
              <w:rPr>
                <w:rFonts w:ascii="Calibri" w:cs="Calibri" w:eastAsia="Calibri" w:hAnsi="Calibri"/>
                <w:sz w:val="24"/>
                <w:szCs w:val="24"/>
              </w:rPr>
              <w:t xml:space="preserve">The permanent storage layer for all employee user records in ServiceNow. Serves as the authoritative source of employee information for all modules on the platform, including Incident Management.</w:t>
            </w:r>
          </w:p>
        </w:tc>
      </w:tr>
      <w:tr>
        <w:tc>
          <w:tcPr>
            <w:tcW w:type="dxa" w:w="600"/>
            <w:tcBorders>
              <w:top w:val="single" w:color="B0C4DE" w:sz="1"/>
              <w:left w:val="single" w:color="B0C4DE" w:sz="1"/>
              <w:bottom w:val="single" w:color="B0C4DE" w:sz="1"/>
              <w:right w:val="single" w:color="B0C4DE" w:sz="1"/>
            </w:tcBorders>
            <w:shd w:fill="2E5496" w:val="clear"/>
            <w:tcMar>
              <w:top w:type="dxa" w:w="100"/>
              <w:left w:type="dxa" w:w="100"/>
              <w:bottom w:type="dxa" w:w="100"/>
              <w:right w:type="dxa" w:w="100"/>
            </w:tcMar>
            <w:vAlign w:val="center"/>
          </w:tcPr>
          <w:p>
            <w:pPr>
              <w:jc w:val="center"/>
            </w:pPr>
            <w:r>
              <w:rPr>
                <w:rFonts w:ascii="Calibri" w:cs="Calibri" w:eastAsia="Calibri" w:hAnsi="Calibri"/>
                <w:b/>
                <w:bCs/>
                <w:color w:val="FFFFFF"/>
                <w:sz w:val="26"/>
                <w:szCs w:val="26"/>
              </w:rPr>
              <w:t xml:space="preserve">L5</w:t>
            </w:r>
          </w:p>
        </w:tc>
        <w:tc>
          <w:tcPr>
            <w:tcW w:type="dxa" w:w="2200"/>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center"/>
          </w:tcPr>
          <w:p>
            <w:r>
              <w:rPr>
                <w:rFonts w:ascii="Calibri" w:cs="Calibri" w:eastAsia="Calibri" w:hAnsi="Calibri"/>
                <w:b/>
                <w:bCs/>
                <w:color w:val="1F3864"/>
                <w:sz w:val="24"/>
                <w:szCs w:val="24"/>
              </w:rPr>
              <w:t xml:space="preserve">Incident Management Layer</w:t>
            </w:r>
          </w:p>
        </w:tc>
        <w:tc>
          <w:tcPr>
            <w:tcW w:type="dxa" w:w="2400"/>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tcPr>
          <w:p>
            <w:r>
              <w:rPr>
                <w:rFonts w:ascii="Courier New" w:cs="Courier New" w:eastAsia="Courier New" w:hAnsi="Courier New"/>
                <w:b/>
                <w:bCs/>
                <w:color w:val="1F3864"/>
                <w:sz w:val="20"/>
                <w:szCs w:val="20"/>
              </w:rPr>
              <w:t xml:space="preserve">incident Table</w:t>
            </w:r>
          </w:p>
        </w:tc>
        <w:tc>
          <w:tcPr>
            <w:tcW w:type="dxa" w:w="4448"/>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tcPr>
          <w:p>
            <w:pPr>
              <w:jc w:val="both"/>
            </w:pPr>
            <w:r>
              <w:rPr>
                <w:rFonts w:ascii="Calibri" w:cs="Calibri" w:eastAsia="Calibri" w:hAnsi="Calibri"/>
                <w:sz w:val="24"/>
                <w:szCs w:val="24"/>
              </w:rPr>
              <w:t xml:space="preserve">Consumes employee data from sys_user through reference fields. Displays department, email, and manager information within incident records via Dot Walking, enabling accurate incident routing and escalation.</w:t>
            </w:r>
          </w:p>
        </w:tc>
      </w:tr>
      <w:tr>
        <w:tc>
          <w:tcPr>
            <w:tcW w:type="dxa" w:w="600"/>
            <w:tcBorders>
              <w:top w:val="single" w:color="B0C4DE" w:sz="1"/>
              <w:left w:val="single" w:color="B0C4DE" w:sz="1"/>
              <w:bottom w:val="single" w:color="B0C4DE" w:sz="1"/>
              <w:right w:val="single" w:color="B0C4DE" w:sz="1"/>
            </w:tcBorders>
            <w:shd w:fill="2E5496" w:val="clear"/>
            <w:tcMar>
              <w:top w:type="dxa" w:w="100"/>
              <w:left w:type="dxa" w:w="100"/>
              <w:bottom w:type="dxa" w:w="100"/>
              <w:right w:type="dxa" w:w="100"/>
            </w:tcMar>
            <w:vAlign w:val="center"/>
          </w:tcPr>
          <w:p>
            <w:pPr>
              <w:jc w:val="center"/>
            </w:pPr>
            <w:r>
              <w:rPr>
                <w:rFonts w:ascii="Calibri" w:cs="Calibri" w:eastAsia="Calibri" w:hAnsi="Calibri"/>
                <w:b/>
                <w:bCs/>
                <w:color w:val="FFFFFF"/>
                <w:sz w:val="26"/>
                <w:szCs w:val="26"/>
              </w:rPr>
              <w:t xml:space="preserve">L6</w:t>
            </w:r>
          </w:p>
        </w:tc>
        <w:tc>
          <w:tcPr>
            <w:tcW w:type="dxa" w:w="2200"/>
            <w:tcBorders>
              <w:top w:val="single" w:color="B0C4DE" w:sz="1"/>
              <w:left w:val="single" w:color="B0C4DE" w:sz="1"/>
              <w:bottom w:val="single" w:color="B0C4DE" w:sz="1"/>
              <w:right w:val="single" w:color="B0C4DE" w:sz="1"/>
            </w:tcBorders>
            <w:shd w:fill="EBF3FB" w:val="clear"/>
            <w:tcMar>
              <w:top w:type="dxa" w:w="100"/>
              <w:left w:type="dxa" w:w="140"/>
              <w:bottom w:type="dxa" w:w="100"/>
              <w:right w:type="dxa" w:w="140"/>
            </w:tcMar>
            <w:vAlign w:val="center"/>
          </w:tcPr>
          <w:p>
            <w:r>
              <w:rPr>
                <w:rFonts w:ascii="Calibri" w:cs="Calibri" w:eastAsia="Calibri" w:hAnsi="Calibri"/>
                <w:b/>
                <w:bCs/>
                <w:color w:val="1F3864"/>
                <w:sz w:val="24"/>
                <w:szCs w:val="24"/>
              </w:rPr>
              <w:t xml:space="preserve">Data Traversal Mechanism</w:t>
            </w:r>
          </w:p>
        </w:tc>
        <w:tc>
          <w:tcPr>
            <w:tcW w:type="dxa" w:w="2400"/>
            <w:tcBorders>
              <w:top w:val="single" w:color="B0C4DE" w:sz="1"/>
              <w:left w:val="single" w:color="B0C4DE" w:sz="1"/>
              <w:bottom w:val="single" w:color="B0C4DE" w:sz="1"/>
              <w:right w:val="single" w:color="B0C4DE" w:sz="1"/>
            </w:tcBorders>
            <w:shd w:fill="EBF3FB" w:val="clear"/>
            <w:tcMar>
              <w:top w:type="dxa" w:w="100"/>
              <w:left w:type="dxa" w:w="140"/>
              <w:bottom w:type="dxa" w:w="100"/>
              <w:right w:type="dxa" w:w="140"/>
            </w:tcMar>
          </w:tcPr>
          <w:p>
            <w:r>
              <w:rPr>
                <w:rFonts w:ascii="Courier New" w:cs="Courier New" w:eastAsia="Courier New" w:hAnsi="Courier New"/>
                <w:b/>
                <w:bCs/>
                <w:color w:val="1F3864"/>
                <w:sz w:val="20"/>
                <w:szCs w:val="20"/>
              </w:rPr>
              <w:t xml:space="preserve">Dot Walking</w:t>
            </w:r>
          </w:p>
        </w:tc>
        <w:tc>
          <w:tcPr>
            <w:tcW w:type="dxa" w:w="4448"/>
            <w:tcBorders>
              <w:top w:val="single" w:color="B0C4DE" w:sz="1"/>
              <w:left w:val="single" w:color="B0C4DE" w:sz="1"/>
              <w:bottom w:val="single" w:color="B0C4DE" w:sz="1"/>
              <w:right w:val="single" w:color="B0C4DE" w:sz="1"/>
            </w:tcBorders>
            <w:shd w:fill="EBF3FB" w:val="clear"/>
            <w:tcMar>
              <w:top w:type="dxa" w:w="100"/>
              <w:left w:type="dxa" w:w="140"/>
              <w:bottom w:type="dxa" w:w="100"/>
              <w:right w:type="dxa" w:w="140"/>
            </w:tcMar>
          </w:tcPr>
          <w:p>
            <w:pPr>
              <w:jc w:val="both"/>
            </w:pPr>
            <w:r>
              <w:rPr>
                <w:rFonts w:ascii="Calibri" w:cs="Calibri" w:eastAsia="Calibri" w:hAnsi="Calibri"/>
                <w:sz w:val="24"/>
                <w:szCs w:val="24"/>
              </w:rPr>
              <w:t xml:space="preserve">Traverses reference field relationships between tables to retrieve and display related data values automatically within the Incident form, without requiring manual agent input.</w:t>
            </w:r>
          </w:p>
        </w:tc>
      </w:tr>
      <w:tr>
        <w:tc>
          <w:tcPr>
            <w:tcW w:type="dxa" w:w="600"/>
            <w:tcBorders>
              <w:top w:val="single" w:color="B0C4DE" w:sz="1"/>
              <w:left w:val="single" w:color="B0C4DE" w:sz="1"/>
              <w:bottom w:val="single" w:color="B0C4DE" w:sz="1"/>
              <w:right w:val="single" w:color="B0C4DE" w:sz="1"/>
            </w:tcBorders>
            <w:shd w:fill="2E5496" w:val="clear"/>
            <w:tcMar>
              <w:top w:type="dxa" w:w="100"/>
              <w:left w:type="dxa" w:w="100"/>
              <w:bottom w:type="dxa" w:w="100"/>
              <w:right w:type="dxa" w:w="100"/>
            </w:tcMar>
            <w:vAlign w:val="center"/>
          </w:tcPr>
          <w:p>
            <w:pPr>
              <w:jc w:val="center"/>
            </w:pPr>
            <w:r>
              <w:rPr>
                <w:rFonts w:ascii="Calibri" w:cs="Calibri" w:eastAsia="Calibri" w:hAnsi="Calibri"/>
                <w:b/>
                <w:bCs/>
                <w:color w:val="FFFFFF"/>
                <w:sz w:val="26"/>
                <w:szCs w:val="26"/>
              </w:rPr>
              <w:t xml:space="preserve">L7</w:t>
            </w:r>
          </w:p>
        </w:tc>
        <w:tc>
          <w:tcPr>
            <w:tcW w:type="dxa" w:w="2200"/>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center"/>
          </w:tcPr>
          <w:p>
            <w:r>
              <w:rPr>
                <w:rFonts w:ascii="Calibri" w:cs="Calibri" w:eastAsia="Calibri" w:hAnsi="Calibri"/>
                <w:b/>
                <w:bCs/>
                <w:color w:val="1F3864"/>
                <w:sz w:val="24"/>
                <w:szCs w:val="24"/>
              </w:rPr>
              <w:t xml:space="preserve">Configuration Layer</w:t>
            </w:r>
          </w:p>
        </w:tc>
        <w:tc>
          <w:tcPr>
            <w:tcW w:type="dxa" w:w="2400"/>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tcPr>
          <w:p>
            <w:r>
              <w:rPr>
                <w:rFonts w:ascii="Courier New" w:cs="Courier New" w:eastAsia="Courier New" w:hAnsi="Courier New"/>
                <w:b/>
                <w:bCs/>
                <w:color w:val="1F3864"/>
                <w:sz w:val="20"/>
                <w:szCs w:val="20"/>
              </w:rPr>
              <w:t xml:space="preserve">Dictionary Override</w:t>
            </w:r>
          </w:p>
        </w:tc>
        <w:tc>
          <w:tcPr>
            <w:tcW w:type="dxa" w:w="4448"/>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tcPr>
          <w:p>
            <w:pPr>
              <w:jc w:val="both"/>
            </w:pPr>
            <w:r>
              <w:rPr>
                <w:rFonts w:ascii="Calibri" w:cs="Calibri" w:eastAsia="Calibri" w:hAnsi="Calibri"/>
                <w:sz w:val="24"/>
                <w:szCs w:val="24"/>
              </w:rPr>
              <w:t xml:space="preserve">Applied to the Priority field of the Incident table to customise its default value, overriding the inherited system default to align with the organisation's incident management policy.</w:t>
            </w:r>
          </w:p>
        </w:tc>
      </w:tr>
    </w:tbl>
    <w:p>
      <w:pPr>
        <w:spacing w:before="120" w:after="80"/>
      </w:pPr>
      <w:r>
        <w:t xml:space="preserve"/>
      </w:r>
    </w:p>
    <w:p>
      <w:pPr>
        <w:pStyle w:val="Heading2"/>
        <w:spacing w:before="300" w:after="140"/>
      </w:pPr>
      <w:r>
        <w:rPr>
          <w:rFonts w:ascii="Calibri" w:cs="Calibri" w:eastAsia="Calibri" w:hAnsi="Calibri"/>
          <w:b/>
          <w:bCs/>
          <w:color w:val="2E5496"/>
          <w:sz w:val="28"/>
          <w:szCs w:val="28"/>
        </w:rPr>
        <w:t xml:space="preserve">2.2 Architecture Design Principles</w:t>
      </w:r>
    </w:p>
    <w:p>
      <w:pPr>
        <w:spacing w:line="360" w:lineRule="auto" w:before="80" w:after="160"/>
        <w:ind w:firstLine="720"/>
        <w:jc w:val="both"/>
      </w:pPr>
      <w:r>
        <w:rPr>
          <w:rFonts w:ascii="Calibri" w:cs="Calibri" w:eastAsia="Calibri" w:hAnsi="Calibri"/>
          <w:sz w:val="24"/>
          <w:szCs w:val="24"/>
        </w:rPr>
        <w:t xml:space="preserve">The system architecture is founded on the following five design principles, each of which informed specific architectural decisions throughout the design process:</w:t>
      </w:r>
    </w:p>
    <w:p>
      <w:pPr>
        <w:pStyle w:val="ListParagraph"/>
        <w:numPr>
          <w:ilvl w:val="0"/>
          <w:numId w:val="2"/>
        </w:numPr>
        <w:spacing w:line="360" w:lineRule="auto" w:before="60" w:after="60"/>
      </w:pPr>
      <w:r>
        <w:rPr>
          <w:rFonts w:ascii="Calibri" w:cs="Calibri" w:eastAsia="Calibri" w:hAnsi="Calibri"/>
          <w:sz w:val="24"/>
          <w:szCs w:val="24"/>
        </w:rPr>
        <w:t xml:space="preserve">Separation of Concerns: Each layer of the architecture performs a single, clearly bounded function, preventing the conflation of responsibilities and simplifying troubleshooting and long-term maintenance.</w:t>
      </w:r>
    </w:p>
    <w:p>
      <w:pPr>
        <w:pStyle w:val="ListParagraph"/>
        <w:numPr>
          <w:ilvl w:val="0"/>
          <w:numId w:val="2"/>
        </w:numPr>
        <w:spacing w:line="360" w:lineRule="auto" w:before="60" w:after="60"/>
      </w:pPr>
      <w:r>
        <w:rPr>
          <w:rFonts w:ascii="Calibri" w:cs="Calibri" w:eastAsia="Calibri" w:hAnsi="Calibri"/>
          <w:sz w:val="24"/>
          <w:szCs w:val="24"/>
        </w:rPr>
        <w:t xml:space="preserve">Use of Native Platform Capabilities: All components are implemented using ServiceNow's built-in tools and modules, eliminating external dependencies and ensuring compatibility with future platform updates.</w:t>
      </w:r>
    </w:p>
    <w:p>
      <w:pPr>
        <w:pStyle w:val="ListParagraph"/>
        <w:numPr>
          <w:ilvl w:val="0"/>
          <w:numId w:val="2"/>
        </w:numPr>
        <w:spacing w:line="360" w:lineRule="auto" w:before="60" w:after="60"/>
      </w:pPr>
      <w:r>
        <w:rPr>
          <w:rFonts w:ascii="Calibri" w:cs="Calibri" w:eastAsia="Calibri" w:hAnsi="Calibri"/>
          <w:sz w:val="24"/>
          <w:szCs w:val="24"/>
        </w:rPr>
        <w:t xml:space="preserve">Data Integrity by Design: The use of a staging layer before committing data to production tables ensures that imported records can be validated and corrected before they affect the live sys_user table.</w:t>
      </w:r>
    </w:p>
    <w:p>
      <w:pPr>
        <w:pStyle w:val="ListParagraph"/>
        <w:numPr>
          <w:ilvl w:val="0"/>
          <w:numId w:val="2"/>
        </w:numPr>
        <w:spacing w:line="360" w:lineRule="auto" w:before="60" w:after="60"/>
      </w:pPr>
      <w:r>
        <w:rPr>
          <w:rFonts w:ascii="Calibri" w:cs="Calibri" w:eastAsia="Calibri" w:hAnsi="Calibri"/>
          <w:sz w:val="24"/>
          <w:szCs w:val="24"/>
        </w:rPr>
        <w:t xml:space="preserve">Repeatability: The architecture supports repeated execution of the import pipeline with different data files, enabling the organisation to refresh employee records on a recurring basis without reconfiguration.</w:t>
      </w:r>
    </w:p>
    <w:p>
      <w:pPr>
        <w:pStyle w:val="ListParagraph"/>
        <w:numPr>
          <w:ilvl w:val="0"/>
          <w:numId w:val="2"/>
        </w:numPr>
        <w:spacing w:line="360" w:lineRule="auto" w:before="60" w:after="60"/>
      </w:pPr>
      <w:r>
        <w:rPr>
          <w:rFonts w:ascii="Calibri" w:cs="Calibri" w:eastAsia="Calibri" w:hAnsi="Calibri"/>
          <w:sz w:val="24"/>
          <w:szCs w:val="24"/>
        </w:rPr>
        <w:t xml:space="preserve">Referential Integrity: The Transform Map's coalesce configuration and Dot Walking expressions ensure that all reference fields are correctly resolved, maintaining the relational integrity of the ServiceNow database.</w:t>
      </w:r>
    </w:p>
    <w:p>
      <w:pPr>
        <w:spacing w:before="100" w:after="80"/>
      </w:pPr>
      <w: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F3864" w:sz="1"/>
              <w:left w:val="single" w:color="1F3864" w:sz="1"/>
              <w:bottom w:val="single" w:color="1F3864" w:sz="1"/>
              <w:right w:val="single" w:color="1F3864" w:sz="1"/>
            </w:tcBorders>
            <w:shd w:fill="1F3864" w:val="clear"/>
            <w:tcMar>
              <w:top w:type="dxa" w:w="120"/>
              <w:left w:type="dxa" w:w="240"/>
              <w:bottom w:type="dxa" w:w="120"/>
              <w:right w:type="dxa" w:w="240"/>
            </w:tcMar>
          </w:tcPr>
          <w:p>
            <w:r>
              <w:rPr>
                <w:rFonts w:ascii="Calibri" w:cs="Calibri" w:eastAsia="Calibri" w:hAnsi="Calibri"/>
                <w:b/>
                <w:bCs/>
                <w:color w:val="FFFFFF"/>
                <w:sz w:val="22"/>
                <w:szCs w:val="22"/>
              </w:rPr>
              <w:t xml:space="preserve">Section 3  —  Data Flow Design</w:t>
            </w:r>
          </w:p>
        </w:tc>
      </w:tr>
    </w:tbl>
    <w:p>
      <w:pPr>
        <w:spacing w:before="80" w:after="80"/>
      </w:pPr>
      <w:r>
        <w:t xml:space="preserve"/>
      </w:r>
    </w:p>
    <w:p>
      <w:pPr>
        <w:pStyle w:val="Heading1"/>
        <w:spacing w:before="440" w:after="160"/>
      </w:pPr>
      <w:r>
        <w:rPr>
          <w:rFonts w:ascii="Calibri" w:cs="Calibri" w:eastAsia="Calibri" w:hAnsi="Calibri"/>
          <w:b/>
          <w:bCs/>
          <w:color w:val="1F3864"/>
          <w:sz w:val="34"/>
          <w:szCs w:val="34"/>
        </w:rPr>
        <w:t xml:space="preserve">3. Data Flow Design</w:t>
      </w:r>
    </w:p>
    <w:p>
      <w:pPr>
        <w:pBdr>
          <w:bottom w:val="single" w:color="2E5496" w:sz="6" w:space="1"/>
        </w:pBdr>
        <w:spacing w:before="100" w:after="100"/>
      </w:pPr>
      <w:r>
        <w:t xml:space="preserve"/>
      </w:r>
    </w:p>
    <w:p>
      <w:pPr>
        <w:spacing w:before="60" w:after="80"/>
      </w:pPr>
      <w:r>
        <w:t xml:space="preserve"/>
      </w:r>
    </w:p>
    <w:p>
      <w:pPr>
        <w:spacing w:line="360" w:lineRule="auto" w:before="80" w:after="160"/>
        <w:ind w:firstLine="720"/>
        <w:jc w:val="both"/>
      </w:pPr>
      <w:r>
        <w:rPr>
          <w:rFonts w:ascii="Calibri" w:cs="Calibri" w:eastAsia="Calibri" w:hAnsi="Calibri"/>
          <w:sz w:val="24"/>
          <w:szCs w:val="24"/>
        </w:rPr>
        <w:t xml:space="preserve">The data flow design specifies the precise sequence in which data moves through the system from its point of origin in the external spreadsheet application to its final presentation within the ServiceNow Incident form. Understanding the data flow is essential for ensuring that each component in the architecture is configured correctly and that the dependencies between components are respected during implementation.</w:t>
      </w:r>
    </w:p>
    <w:p>
      <w:pPr>
        <w:spacing w:line="360" w:lineRule="auto" w:before="80" w:after="160"/>
        <w:ind w:firstLine="720"/>
        <w:jc w:val="both"/>
      </w:pPr>
      <w:r>
        <w:rPr>
          <w:rFonts w:ascii="Calibri" w:cs="Calibri" w:eastAsia="Calibri" w:hAnsi="Calibri"/>
          <w:sz w:val="24"/>
          <w:szCs w:val="24"/>
        </w:rPr>
        <w:t xml:space="preserve">The data flow is linear and unidirectional: data originates externally, enters ServiceNow through the Import Sets module, is staged and transformed, stored permanently in the User table, and is subsequently consumed by the Incident Management module. The following step descriptions detail each stage of this flow.</w:t>
      </w:r>
    </w:p>
    <w:p>
      <w:pPr>
        <w:spacing w:before="80" w:after="80"/>
      </w:pPr>
      <w:r>
        <w:t xml:space="preserve"/>
      </w:r>
    </w:p>
    <w:p>
      <w:pPr>
        <w:pStyle w:val="Heading2"/>
        <w:spacing w:before="300" w:after="140"/>
      </w:pPr>
      <w:r>
        <w:rPr>
          <w:rFonts w:ascii="Calibri" w:cs="Calibri" w:eastAsia="Calibri" w:hAnsi="Calibri"/>
          <w:b/>
          <w:bCs/>
          <w:color w:val="2E5496"/>
          <w:sz w:val="28"/>
          <w:szCs w:val="28"/>
        </w:rPr>
        <w:t xml:space="preserve">3.1 Data Flow Steps</w:t>
      </w:r>
    </w:p>
    <w:p>
      <w:pPr>
        <w:spacing w:before="60" w:after="80"/>
      </w:pPr>
      <w: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100"/>
        <w:gridCol w:w="8548"/>
      </w:tblGrid>
      <w:tr>
        <w:tc>
          <w:tcPr>
            <w:tcW w:type="dxa" w:w="1100"/>
            <w:tcBorders>
              <w:top w:val="single" w:color="2E5496" w:sz="1"/>
              <w:left w:val="single" w:color="2E5496" w:sz="1"/>
              <w:bottom w:val="single" w:color="2E5496" w:sz="1"/>
              <w:right w:val="single" w:color="2E5496" w:sz="1"/>
            </w:tcBorders>
            <w:shd w:fill="2E5496" w:val="clear"/>
            <w:tcMar>
              <w:top w:type="dxa" w:w="120"/>
              <w:left w:type="dxa" w:w="100"/>
              <w:bottom w:type="dxa" w:w="120"/>
              <w:right w:type="dxa" w:w="100"/>
            </w:tcMar>
            <w:vAlign w:val="center"/>
          </w:tcPr>
          <w:p>
            <w:pPr>
              <w:jc w:val="center"/>
            </w:pPr>
            <w:r>
              <w:rPr>
                <w:rFonts w:ascii="Calibri" w:cs="Calibri" w:eastAsia="Calibri" w:hAnsi="Calibri"/>
                <w:b/>
                <w:bCs/>
                <w:color w:val="CCDDF0"/>
                <w:sz w:val="20"/>
                <w:szCs w:val="20"/>
              </w:rPr>
              <w:t xml:space="preserve">STEP</w:t>
            </w:r>
          </w:p>
          <w:p>
            <w:pPr>
              <w:spacing w:before="30" w:after="30"/>
              <w:jc w:val="center"/>
            </w:pPr>
            <w:r>
              <w:rPr>
                <w:rFonts w:ascii="Calibri" w:cs="Calibri" w:eastAsia="Calibri" w:hAnsi="Calibri"/>
                <w:b/>
                <w:bCs/>
                <w:color w:val="FFFFFF"/>
                <w:sz w:val="44"/>
                <w:szCs w:val="44"/>
              </w:rPr>
              <w:t xml:space="preserve">01</w:t>
            </w:r>
          </w:p>
          <w:p>
            <w:pPr>
              <w:jc w:val="center"/>
            </w:pPr>
            <w:r>
              <w:rPr>
                <w:rFonts w:ascii="Calibri" w:cs="Calibri" w:eastAsia="Calibri" w:hAnsi="Calibri"/>
                <w:i/>
                <w:iCs/>
                <w:color w:val="CCDDF0"/>
                <w:sz w:val="16"/>
                <w:szCs w:val="16"/>
              </w:rPr>
              <w:t xml:space="preserve">External Source</w:t>
            </w:r>
          </w:p>
        </w:tc>
        <w:tc>
          <w:tcPr>
            <w:tcW w:type="dxa" w:w="8548"/>
            <w:tcBorders>
              <w:top w:val="single" w:color="B0C4DE" w:sz="1"/>
              <w:left w:val="single" w:color="B0C4DE" w:sz="1"/>
              <w:bottom w:val="single" w:color="B0C4DE" w:sz="1"/>
              <w:right w:val="single" w:color="B0C4DE" w:sz="1"/>
            </w:tcBorders>
            <w:shd w:fill="EBF3FB" w:val="clear"/>
            <w:tcMar>
              <w:top w:type="dxa" w:w="120"/>
              <w:left w:type="dxa" w:w="200"/>
              <w:bottom w:type="dxa" w:w="120"/>
              <w:right w:type="dxa" w:w="200"/>
            </w:tcMar>
          </w:tcPr>
          <w:p>
            <w:pPr>
              <w:spacing w:before="0" w:after="80"/>
            </w:pPr>
            <w:r>
              <w:rPr>
                <w:rFonts w:ascii="Calibri" w:cs="Calibri" w:eastAsia="Calibri" w:hAnsi="Calibri"/>
                <w:b/>
                <w:bCs/>
                <w:color w:val="1F3864"/>
                <w:sz w:val="26"/>
                <w:szCs w:val="26"/>
              </w:rPr>
              <w:t xml:space="preserve">Employee Data Preparation</w:t>
            </w:r>
          </w:p>
          <w:p>
            <w:pPr>
              <w:spacing w:line="360" w:lineRule="auto" w:before="0" w:after="0"/>
              <w:jc w:val="both"/>
            </w:pPr>
            <w:r>
              <w:rPr>
                <w:rFonts w:ascii="Calibri" w:cs="Calibri" w:eastAsia="Calibri" w:hAnsi="Calibri"/>
                <w:sz w:val="24"/>
                <w:szCs w:val="24"/>
              </w:rPr>
              <w:t xml:space="preserve">Employee records are created and organised in Google Sheets or Microsoft Excel. The dataset is structured with five defined column headers: Name, Email, Department, Manager, and Manager Email. Each row represents one employee record. The file is validated for completeness and formatting accuracy, then exported in XLSX or CSV format.</w:t>
            </w:r>
          </w:p>
        </w:tc>
      </w:tr>
    </w:tbl>
    <w:p>
      <w:pPr>
        <w:spacing w:before="30" w:after="80"/>
      </w:pPr>
      <w: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100"/>
        <w:gridCol w:w="8548"/>
      </w:tblGrid>
      <w:tr>
        <w:tc>
          <w:tcPr>
            <w:tcW w:type="dxa" w:w="1100"/>
            <w:tcBorders>
              <w:top w:val="single" w:color="1F6B6B" w:sz="1"/>
              <w:left w:val="single" w:color="1F6B6B" w:sz="1"/>
              <w:bottom w:val="single" w:color="1F6B6B" w:sz="1"/>
              <w:right w:val="single" w:color="1F6B6B" w:sz="1"/>
            </w:tcBorders>
            <w:shd w:fill="1F6B6B" w:val="clear"/>
            <w:tcMar>
              <w:top w:type="dxa" w:w="120"/>
              <w:left w:type="dxa" w:w="100"/>
              <w:bottom w:type="dxa" w:w="120"/>
              <w:right w:type="dxa" w:w="100"/>
            </w:tcMar>
            <w:vAlign w:val="center"/>
          </w:tcPr>
          <w:p>
            <w:pPr>
              <w:jc w:val="center"/>
            </w:pPr>
            <w:r>
              <w:rPr>
                <w:rFonts w:ascii="Calibri" w:cs="Calibri" w:eastAsia="Calibri" w:hAnsi="Calibri"/>
                <w:b/>
                <w:bCs/>
                <w:color w:val="CCDDF0"/>
                <w:sz w:val="20"/>
                <w:szCs w:val="20"/>
              </w:rPr>
              <w:t xml:space="preserve">STEP</w:t>
            </w:r>
          </w:p>
          <w:p>
            <w:pPr>
              <w:spacing w:before="30" w:after="30"/>
              <w:jc w:val="center"/>
            </w:pPr>
            <w:r>
              <w:rPr>
                <w:rFonts w:ascii="Calibri" w:cs="Calibri" w:eastAsia="Calibri" w:hAnsi="Calibri"/>
                <w:b/>
                <w:bCs/>
                <w:color w:val="FFFFFF"/>
                <w:sz w:val="44"/>
                <w:szCs w:val="44"/>
              </w:rPr>
              <w:t xml:space="preserve">02</w:t>
            </w:r>
          </w:p>
          <w:p>
            <w:pPr>
              <w:jc w:val="center"/>
            </w:pPr>
            <w:r>
              <w:rPr>
                <w:rFonts w:ascii="Calibri" w:cs="Calibri" w:eastAsia="Calibri" w:hAnsi="Calibri"/>
                <w:i/>
                <w:iCs/>
                <w:color w:val="CCDDF0"/>
                <w:sz w:val="16"/>
                <w:szCs w:val="16"/>
              </w:rPr>
              <w:t xml:space="preserve">Source → ServiceNow</w:t>
            </w:r>
          </w:p>
        </w:tc>
        <w:tc>
          <w:tcPr>
            <w:tcW w:type="dxa" w:w="8548"/>
            <w:tcBorders>
              <w:top w:val="single" w:color="B0C4DE" w:sz="1"/>
              <w:left w:val="single" w:color="B0C4DE" w:sz="1"/>
              <w:bottom w:val="single" w:color="B0C4DE" w:sz="1"/>
              <w:right w:val="single" w:color="B0C4DE" w:sz="1"/>
            </w:tcBorders>
            <w:shd w:fill="FFFFFF" w:val="clear"/>
            <w:tcMar>
              <w:top w:type="dxa" w:w="120"/>
              <w:left w:type="dxa" w:w="200"/>
              <w:bottom w:type="dxa" w:w="120"/>
              <w:right w:type="dxa" w:w="200"/>
            </w:tcMar>
          </w:tcPr>
          <w:p>
            <w:pPr>
              <w:spacing w:before="0" w:after="80"/>
            </w:pPr>
            <w:r>
              <w:rPr>
                <w:rFonts w:ascii="Calibri" w:cs="Calibri" w:eastAsia="Calibri" w:hAnsi="Calibri"/>
                <w:b/>
                <w:bCs/>
                <w:color w:val="1F3864"/>
                <w:sz w:val="26"/>
                <w:szCs w:val="26"/>
              </w:rPr>
              <w:t xml:space="preserve">Data Upload via Import Sets</w:t>
            </w:r>
          </w:p>
          <w:p>
            <w:pPr>
              <w:spacing w:line="360" w:lineRule="auto" w:before="0" w:after="0"/>
              <w:jc w:val="both"/>
            </w:pPr>
            <w:r>
              <w:rPr>
                <w:rFonts w:ascii="Calibri" w:cs="Calibri" w:eastAsia="Calibri" w:hAnsi="Calibri"/>
                <w:sz w:val="24"/>
                <w:szCs w:val="24"/>
              </w:rPr>
              <w:t xml:space="preserve">The administrator logs into ServiceNow and navigates to the System Import Sets module. Using the Load Data function, the exported employee data file is uploaded to ServiceNow. The platform reads the file and creates a new Import Set record with a corresponding staging table that mirrors the uploaded file's column structure.</w:t>
            </w:r>
          </w:p>
        </w:tc>
      </w:tr>
    </w:tbl>
    <w:p>
      <w:pPr>
        <w:spacing w:before="30" w:after="80"/>
      </w:pPr>
      <w: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100"/>
        <w:gridCol w:w="8548"/>
      </w:tblGrid>
      <w:tr>
        <w:tc>
          <w:tcPr>
            <w:tcW w:type="dxa" w:w="1100"/>
            <w:tcBorders>
              <w:top w:val="single" w:color="2E5496" w:sz="1"/>
              <w:left w:val="single" w:color="2E5496" w:sz="1"/>
              <w:bottom w:val="single" w:color="2E5496" w:sz="1"/>
              <w:right w:val="single" w:color="2E5496" w:sz="1"/>
            </w:tcBorders>
            <w:shd w:fill="2E5496" w:val="clear"/>
            <w:tcMar>
              <w:top w:type="dxa" w:w="120"/>
              <w:left w:type="dxa" w:w="100"/>
              <w:bottom w:type="dxa" w:w="120"/>
              <w:right w:type="dxa" w:w="100"/>
            </w:tcMar>
            <w:vAlign w:val="center"/>
          </w:tcPr>
          <w:p>
            <w:pPr>
              <w:jc w:val="center"/>
            </w:pPr>
            <w:r>
              <w:rPr>
                <w:rFonts w:ascii="Calibri" w:cs="Calibri" w:eastAsia="Calibri" w:hAnsi="Calibri"/>
                <w:b/>
                <w:bCs/>
                <w:color w:val="CCDDF0"/>
                <w:sz w:val="20"/>
                <w:szCs w:val="20"/>
              </w:rPr>
              <w:t xml:space="preserve">STEP</w:t>
            </w:r>
          </w:p>
          <w:p>
            <w:pPr>
              <w:spacing w:before="30" w:after="30"/>
              <w:jc w:val="center"/>
            </w:pPr>
            <w:r>
              <w:rPr>
                <w:rFonts w:ascii="Calibri" w:cs="Calibri" w:eastAsia="Calibri" w:hAnsi="Calibri"/>
                <w:b/>
                <w:bCs/>
                <w:color w:val="FFFFFF"/>
                <w:sz w:val="44"/>
                <w:szCs w:val="44"/>
              </w:rPr>
              <w:t xml:space="preserve">03</w:t>
            </w:r>
          </w:p>
          <w:p>
            <w:pPr>
              <w:jc w:val="center"/>
            </w:pPr>
            <w:r>
              <w:rPr>
                <w:rFonts w:ascii="Calibri" w:cs="Calibri" w:eastAsia="Calibri" w:hAnsi="Calibri"/>
                <w:i/>
                <w:iCs/>
                <w:color w:val="CCDDF0"/>
                <w:sz w:val="16"/>
                <w:szCs w:val="16"/>
              </w:rPr>
              <w:t xml:space="preserve">Staging Layer</w:t>
            </w:r>
          </w:p>
        </w:tc>
        <w:tc>
          <w:tcPr>
            <w:tcW w:type="dxa" w:w="8548"/>
            <w:tcBorders>
              <w:top w:val="single" w:color="B0C4DE" w:sz="1"/>
              <w:left w:val="single" w:color="B0C4DE" w:sz="1"/>
              <w:bottom w:val="single" w:color="B0C4DE" w:sz="1"/>
              <w:right w:val="single" w:color="B0C4DE" w:sz="1"/>
            </w:tcBorders>
            <w:shd w:fill="EBF3FB" w:val="clear"/>
            <w:tcMar>
              <w:top w:type="dxa" w:w="120"/>
              <w:left w:type="dxa" w:w="200"/>
              <w:bottom w:type="dxa" w:w="120"/>
              <w:right w:type="dxa" w:w="200"/>
            </w:tcMar>
          </w:tcPr>
          <w:p>
            <w:pPr>
              <w:spacing w:before="0" w:after="80"/>
            </w:pPr>
            <w:r>
              <w:rPr>
                <w:rFonts w:ascii="Calibri" w:cs="Calibri" w:eastAsia="Calibri" w:hAnsi="Calibri"/>
                <w:b/>
                <w:bCs/>
                <w:color w:val="1F3864"/>
                <w:sz w:val="26"/>
                <w:szCs w:val="26"/>
              </w:rPr>
              <w:t xml:space="preserve">Data Staging in Import Set Table</w:t>
            </w:r>
          </w:p>
          <w:p>
            <w:pPr>
              <w:spacing w:line="360" w:lineRule="auto" w:before="0" w:after="0"/>
              <w:jc w:val="both"/>
            </w:pPr>
            <w:r>
              <w:rPr>
                <w:rFonts w:ascii="Calibri" w:cs="Calibri" w:eastAsia="Calibri" w:hAnsi="Calibri"/>
                <w:sz w:val="24"/>
                <w:szCs w:val="24"/>
              </w:rPr>
              <w:t xml:space="preserve">The uploaded records are stored in the Import Set staging table. This staging table acts as a temporary repository holding the raw data in its original format before any transformation is applied. Administrators can inspect the staged records at this point to verify that the data has been loaded correctly and completely before proceeding.</w:t>
            </w:r>
          </w:p>
        </w:tc>
      </w:tr>
    </w:tbl>
    <w:p>
      <w:pPr>
        <w:spacing w:before="30" w:after="80"/>
      </w:pPr>
      <w: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100"/>
        <w:gridCol w:w="8548"/>
      </w:tblGrid>
      <w:tr>
        <w:tc>
          <w:tcPr>
            <w:tcW w:type="dxa" w:w="1100"/>
            <w:tcBorders>
              <w:top w:val="single" w:color="1F6B6B" w:sz="1"/>
              <w:left w:val="single" w:color="1F6B6B" w:sz="1"/>
              <w:bottom w:val="single" w:color="1F6B6B" w:sz="1"/>
              <w:right w:val="single" w:color="1F6B6B" w:sz="1"/>
            </w:tcBorders>
            <w:shd w:fill="1F6B6B" w:val="clear"/>
            <w:tcMar>
              <w:top w:type="dxa" w:w="120"/>
              <w:left w:type="dxa" w:w="100"/>
              <w:bottom w:type="dxa" w:w="120"/>
              <w:right w:type="dxa" w:w="100"/>
            </w:tcMar>
            <w:vAlign w:val="center"/>
          </w:tcPr>
          <w:p>
            <w:pPr>
              <w:jc w:val="center"/>
            </w:pPr>
            <w:r>
              <w:rPr>
                <w:rFonts w:ascii="Calibri" w:cs="Calibri" w:eastAsia="Calibri" w:hAnsi="Calibri"/>
                <w:b/>
                <w:bCs/>
                <w:color w:val="CCDDF0"/>
                <w:sz w:val="20"/>
                <w:szCs w:val="20"/>
              </w:rPr>
              <w:t xml:space="preserve">STEP</w:t>
            </w:r>
          </w:p>
          <w:p>
            <w:pPr>
              <w:spacing w:before="30" w:after="30"/>
              <w:jc w:val="center"/>
            </w:pPr>
            <w:r>
              <w:rPr>
                <w:rFonts w:ascii="Calibri" w:cs="Calibri" w:eastAsia="Calibri" w:hAnsi="Calibri"/>
                <w:b/>
                <w:bCs/>
                <w:color w:val="FFFFFF"/>
                <w:sz w:val="44"/>
                <w:szCs w:val="44"/>
              </w:rPr>
              <w:t xml:space="preserve">04</w:t>
            </w:r>
          </w:p>
          <w:p>
            <w:pPr>
              <w:jc w:val="center"/>
            </w:pPr>
            <w:r>
              <w:rPr>
                <w:rFonts w:ascii="Calibri" w:cs="Calibri" w:eastAsia="Calibri" w:hAnsi="Calibri"/>
                <w:i/>
                <w:iCs/>
                <w:color w:val="CCDDF0"/>
                <w:sz w:val="16"/>
                <w:szCs w:val="16"/>
              </w:rPr>
              <w:t xml:space="preserve">Staging → sys_user</w:t>
            </w:r>
          </w:p>
        </w:tc>
        <w:tc>
          <w:tcPr>
            <w:tcW w:type="dxa" w:w="8548"/>
            <w:tcBorders>
              <w:top w:val="single" w:color="B0C4DE" w:sz="1"/>
              <w:left w:val="single" w:color="B0C4DE" w:sz="1"/>
              <w:bottom w:val="single" w:color="B0C4DE" w:sz="1"/>
              <w:right w:val="single" w:color="B0C4DE" w:sz="1"/>
            </w:tcBorders>
            <w:shd w:fill="FFFFFF" w:val="clear"/>
            <w:tcMar>
              <w:top w:type="dxa" w:w="120"/>
              <w:left w:type="dxa" w:w="200"/>
              <w:bottom w:type="dxa" w:w="120"/>
              <w:right w:type="dxa" w:w="200"/>
            </w:tcMar>
          </w:tcPr>
          <w:p>
            <w:pPr>
              <w:spacing w:before="0" w:after="80"/>
            </w:pPr>
            <w:r>
              <w:rPr>
                <w:rFonts w:ascii="Calibri" w:cs="Calibri" w:eastAsia="Calibri" w:hAnsi="Calibri"/>
                <w:b/>
                <w:bCs/>
                <w:color w:val="1F3864"/>
                <w:sz w:val="26"/>
                <w:szCs w:val="26"/>
              </w:rPr>
              <w:t xml:space="preserve">Data Transformation via Transform Map</w:t>
            </w:r>
          </w:p>
          <w:p>
            <w:pPr>
              <w:spacing w:line="360" w:lineRule="auto" w:before="0" w:after="0"/>
              <w:jc w:val="both"/>
            </w:pPr>
            <w:r>
              <w:rPr>
                <w:rFonts w:ascii="Calibri" w:cs="Calibri" w:eastAsia="Calibri" w:hAnsi="Calibri"/>
                <w:sz w:val="24"/>
                <w:szCs w:val="24"/>
              </w:rPr>
              <w:t xml:space="preserve">The Transform Map is executed against the Import Set staging table. For each record, the Transform Map reads the source field values, applies the defined field mappings, resolves reference fields such as Department and Manager to their correct sys_id values, and evaluates Dot Walking expressions. The transformed record is then inserted or used to update the corresponding entry in the sys_user target table.</w:t>
            </w:r>
          </w:p>
        </w:tc>
      </w:tr>
    </w:tbl>
    <w:p>
      <w:pPr>
        <w:spacing w:before="30" w:after="80"/>
      </w:pPr>
      <w: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100"/>
        <w:gridCol w:w="8548"/>
      </w:tblGrid>
      <w:tr>
        <w:tc>
          <w:tcPr>
            <w:tcW w:type="dxa" w:w="1100"/>
            <w:tcBorders>
              <w:top w:val="single" w:color="2E5496" w:sz="1"/>
              <w:left w:val="single" w:color="2E5496" w:sz="1"/>
              <w:bottom w:val="single" w:color="2E5496" w:sz="1"/>
              <w:right w:val="single" w:color="2E5496" w:sz="1"/>
            </w:tcBorders>
            <w:shd w:fill="2E5496" w:val="clear"/>
            <w:tcMar>
              <w:top w:type="dxa" w:w="120"/>
              <w:left w:type="dxa" w:w="100"/>
              <w:bottom w:type="dxa" w:w="120"/>
              <w:right w:type="dxa" w:w="100"/>
            </w:tcMar>
            <w:vAlign w:val="center"/>
          </w:tcPr>
          <w:p>
            <w:pPr>
              <w:jc w:val="center"/>
            </w:pPr>
            <w:r>
              <w:rPr>
                <w:rFonts w:ascii="Calibri" w:cs="Calibri" w:eastAsia="Calibri" w:hAnsi="Calibri"/>
                <w:b/>
                <w:bCs/>
                <w:color w:val="CCDDF0"/>
                <w:sz w:val="20"/>
                <w:szCs w:val="20"/>
              </w:rPr>
              <w:t xml:space="preserve">STEP</w:t>
            </w:r>
          </w:p>
          <w:p>
            <w:pPr>
              <w:spacing w:before="30" w:after="30"/>
              <w:jc w:val="center"/>
            </w:pPr>
            <w:r>
              <w:rPr>
                <w:rFonts w:ascii="Calibri" w:cs="Calibri" w:eastAsia="Calibri" w:hAnsi="Calibri"/>
                <w:b/>
                <w:bCs/>
                <w:color w:val="FFFFFF"/>
                <w:sz w:val="44"/>
                <w:szCs w:val="44"/>
              </w:rPr>
              <w:t xml:space="preserve">05</w:t>
            </w:r>
          </w:p>
          <w:p>
            <w:pPr>
              <w:jc w:val="center"/>
            </w:pPr>
            <w:r>
              <w:rPr>
                <w:rFonts w:ascii="Calibri" w:cs="Calibri" w:eastAsia="Calibri" w:hAnsi="Calibri"/>
                <w:i/>
                <w:iCs/>
                <w:color w:val="CCDDF0"/>
                <w:sz w:val="16"/>
                <w:szCs w:val="16"/>
              </w:rPr>
              <w:t xml:space="preserve">sys_user Table</w:t>
            </w:r>
          </w:p>
        </w:tc>
        <w:tc>
          <w:tcPr>
            <w:tcW w:type="dxa" w:w="8548"/>
            <w:tcBorders>
              <w:top w:val="single" w:color="B0C4DE" w:sz="1"/>
              <w:left w:val="single" w:color="B0C4DE" w:sz="1"/>
              <w:bottom w:val="single" w:color="B0C4DE" w:sz="1"/>
              <w:right w:val="single" w:color="B0C4DE" w:sz="1"/>
            </w:tcBorders>
            <w:shd w:fill="EBF3FB" w:val="clear"/>
            <w:tcMar>
              <w:top w:type="dxa" w:w="120"/>
              <w:left w:type="dxa" w:w="200"/>
              <w:bottom w:type="dxa" w:w="120"/>
              <w:right w:type="dxa" w:w="200"/>
            </w:tcMar>
          </w:tcPr>
          <w:p>
            <w:pPr>
              <w:spacing w:before="0" w:after="80"/>
            </w:pPr>
            <w:r>
              <w:rPr>
                <w:rFonts w:ascii="Calibri" w:cs="Calibri" w:eastAsia="Calibri" w:hAnsi="Calibri"/>
                <w:b/>
                <w:bCs/>
                <w:color w:val="1F3864"/>
                <w:sz w:val="26"/>
                <w:szCs w:val="26"/>
              </w:rPr>
              <w:t xml:space="preserve">Permanent Storage in User Table</w:t>
            </w:r>
          </w:p>
          <w:p>
            <w:pPr>
              <w:spacing w:line="360" w:lineRule="auto" w:before="0" w:after="0"/>
              <w:jc w:val="both"/>
            </w:pPr>
            <w:r>
              <w:rPr>
                <w:rFonts w:ascii="Calibri" w:cs="Calibri" w:eastAsia="Calibri" w:hAnsi="Calibri"/>
                <w:sz w:val="24"/>
                <w:szCs w:val="24"/>
              </w:rPr>
              <w:t xml:space="preserve">The transformed employee records are permanently stored in the ServiceNow User table (sys_user). Each record contains correctly populated values for all five required fields, with reference fields properly resolved. The coalesce setting on the Email field ensures that repeated import operations update existing records rather than creating duplicates.</w:t>
            </w:r>
          </w:p>
        </w:tc>
      </w:tr>
    </w:tbl>
    <w:p>
      <w:pPr>
        <w:spacing w:before="30" w:after="80"/>
      </w:pPr>
      <w: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100"/>
        <w:gridCol w:w="8548"/>
      </w:tblGrid>
      <w:tr>
        <w:tc>
          <w:tcPr>
            <w:tcW w:type="dxa" w:w="1100"/>
            <w:tcBorders>
              <w:top w:val="single" w:color="1F6B6B" w:sz="1"/>
              <w:left w:val="single" w:color="1F6B6B" w:sz="1"/>
              <w:bottom w:val="single" w:color="1F6B6B" w:sz="1"/>
              <w:right w:val="single" w:color="1F6B6B" w:sz="1"/>
            </w:tcBorders>
            <w:shd w:fill="1F6B6B" w:val="clear"/>
            <w:tcMar>
              <w:top w:type="dxa" w:w="120"/>
              <w:left w:type="dxa" w:w="100"/>
              <w:bottom w:type="dxa" w:w="120"/>
              <w:right w:type="dxa" w:w="100"/>
            </w:tcMar>
            <w:vAlign w:val="center"/>
          </w:tcPr>
          <w:p>
            <w:pPr>
              <w:jc w:val="center"/>
            </w:pPr>
            <w:r>
              <w:rPr>
                <w:rFonts w:ascii="Calibri" w:cs="Calibri" w:eastAsia="Calibri" w:hAnsi="Calibri"/>
                <w:b/>
                <w:bCs/>
                <w:color w:val="CCDDF0"/>
                <w:sz w:val="20"/>
                <w:szCs w:val="20"/>
              </w:rPr>
              <w:t xml:space="preserve">STEP</w:t>
            </w:r>
          </w:p>
          <w:p>
            <w:pPr>
              <w:spacing w:before="30" w:after="30"/>
              <w:jc w:val="center"/>
            </w:pPr>
            <w:r>
              <w:rPr>
                <w:rFonts w:ascii="Calibri" w:cs="Calibri" w:eastAsia="Calibri" w:hAnsi="Calibri"/>
                <w:b/>
                <w:bCs/>
                <w:color w:val="FFFFFF"/>
                <w:sz w:val="44"/>
                <w:szCs w:val="44"/>
              </w:rPr>
              <w:t xml:space="preserve">06</w:t>
            </w:r>
          </w:p>
          <w:p>
            <w:pPr>
              <w:jc w:val="center"/>
            </w:pPr>
            <w:r>
              <w:rPr>
                <w:rFonts w:ascii="Calibri" w:cs="Calibri" w:eastAsia="Calibri" w:hAnsi="Calibri"/>
                <w:i/>
                <w:iCs/>
                <w:color w:val="CCDDF0"/>
                <w:sz w:val="16"/>
                <w:szCs w:val="16"/>
              </w:rPr>
              <w:t xml:space="preserve">sys_user → Incident</w:t>
            </w:r>
          </w:p>
        </w:tc>
        <w:tc>
          <w:tcPr>
            <w:tcW w:type="dxa" w:w="8548"/>
            <w:tcBorders>
              <w:top w:val="single" w:color="B0C4DE" w:sz="1"/>
              <w:left w:val="single" w:color="B0C4DE" w:sz="1"/>
              <w:bottom w:val="single" w:color="B0C4DE" w:sz="1"/>
              <w:right w:val="single" w:color="B0C4DE" w:sz="1"/>
            </w:tcBorders>
            <w:shd w:fill="FFFFFF" w:val="clear"/>
            <w:tcMar>
              <w:top w:type="dxa" w:w="120"/>
              <w:left w:type="dxa" w:w="200"/>
              <w:bottom w:type="dxa" w:w="120"/>
              <w:right w:type="dxa" w:w="200"/>
            </w:tcMar>
          </w:tcPr>
          <w:p>
            <w:pPr>
              <w:spacing w:before="0" w:after="80"/>
            </w:pPr>
            <w:r>
              <w:rPr>
                <w:rFonts w:ascii="Calibri" w:cs="Calibri" w:eastAsia="Calibri" w:hAnsi="Calibri"/>
                <w:b/>
                <w:bCs/>
                <w:color w:val="1F3864"/>
                <w:sz w:val="26"/>
                <w:szCs w:val="26"/>
              </w:rPr>
              <w:t xml:space="preserve">Incident Assignment and Data Consumption</w:t>
            </w:r>
          </w:p>
          <w:p>
            <w:pPr>
              <w:spacing w:line="360" w:lineRule="auto" w:before="0" w:after="0"/>
              <w:jc w:val="both"/>
            </w:pPr>
            <w:r>
              <w:rPr>
                <w:rFonts w:ascii="Calibri" w:cs="Calibri" w:eastAsia="Calibri" w:hAnsi="Calibri"/>
                <w:sz w:val="24"/>
                <w:szCs w:val="24"/>
              </w:rPr>
              <w:t xml:space="preserve">When a new incident is created and an employee is selected in the Assigned To field, the Incident table retrieves the reference to the corresponding sys_user record. The Dot Walking expressions configured in the Incident form layout then traverse this reference to automatically retrieve and display the employee's Department, Email, Manager, and Manager Email within the incident record.</w:t>
            </w:r>
          </w:p>
        </w:tc>
      </w:tr>
    </w:tbl>
    <w:p>
      <w:pPr>
        <w:spacing w:before="30" w:after="80"/>
      </w:pPr>
      <w: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100"/>
        <w:gridCol w:w="8548"/>
      </w:tblGrid>
      <w:tr>
        <w:tc>
          <w:tcPr>
            <w:tcW w:type="dxa" w:w="1100"/>
            <w:tcBorders>
              <w:top w:val="single" w:color="5B3A8C" w:sz="1"/>
              <w:left w:val="single" w:color="5B3A8C" w:sz="1"/>
              <w:bottom w:val="single" w:color="5B3A8C" w:sz="1"/>
              <w:right w:val="single" w:color="5B3A8C" w:sz="1"/>
            </w:tcBorders>
            <w:shd w:fill="5B3A8C" w:val="clear"/>
            <w:tcMar>
              <w:top w:type="dxa" w:w="120"/>
              <w:left w:type="dxa" w:w="100"/>
              <w:bottom w:type="dxa" w:w="120"/>
              <w:right w:type="dxa" w:w="100"/>
            </w:tcMar>
            <w:vAlign w:val="center"/>
          </w:tcPr>
          <w:p>
            <w:pPr>
              <w:jc w:val="center"/>
            </w:pPr>
            <w:r>
              <w:rPr>
                <w:rFonts w:ascii="Calibri" w:cs="Calibri" w:eastAsia="Calibri" w:hAnsi="Calibri"/>
                <w:b/>
                <w:bCs/>
                <w:color w:val="CCDDF0"/>
                <w:sz w:val="20"/>
                <w:szCs w:val="20"/>
              </w:rPr>
              <w:t xml:space="preserve">STEP</w:t>
            </w:r>
          </w:p>
          <w:p>
            <w:pPr>
              <w:spacing w:before="30" w:after="30"/>
              <w:jc w:val="center"/>
            </w:pPr>
            <w:r>
              <w:rPr>
                <w:rFonts w:ascii="Calibri" w:cs="Calibri" w:eastAsia="Calibri" w:hAnsi="Calibri"/>
                <w:b/>
                <w:bCs/>
                <w:color w:val="FFFFFF"/>
                <w:sz w:val="44"/>
                <w:szCs w:val="44"/>
              </w:rPr>
              <w:t xml:space="preserve">07</w:t>
            </w:r>
          </w:p>
          <w:p>
            <w:pPr>
              <w:jc w:val="center"/>
            </w:pPr>
            <w:r>
              <w:rPr>
                <w:rFonts w:ascii="Calibri" w:cs="Calibri" w:eastAsia="Calibri" w:hAnsi="Calibri"/>
                <w:i/>
                <w:iCs/>
                <w:color w:val="CCDDF0"/>
                <w:sz w:val="16"/>
                <w:szCs w:val="16"/>
              </w:rPr>
              <w:t xml:space="preserve">Reference Traversal</w:t>
            </w:r>
          </w:p>
        </w:tc>
        <w:tc>
          <w:tcPr>
            <w:tcW w:type="dxa" w:w="8548"/>
            <w:tcBorders>
              <w:top w:val="single" w:color="B0C4DE" w:sz="1"/>
              <w:left w:val="single" w:color="B0C4DE" w:sz="1"/>
              <w:bottom w:val="single" w:color="B0C4DE" w:sz="1"/>
              <w:right w:val="single" w:color="B0C4DE" w:sz="1"/>
            </w:tcBorders>
            <w:shd w:fill="EBF3FB" w:val="clear"/>
            <w:tcMar>
              <w:top w:type="dxa" w:w="120"/>
              <w:left w:type="dxa" w:w="200"/>
              <w:bottom w:type="dxa" w:w="120"/>
              <w:right w:type="dxa" w:w="200"/>
            </w:tcMar>
          </w:tcPr>
          <w:p>
            <w:pPr>
              <w:spacing w:before="0" w:after="80"/>
            </w:pPr>
            <w:r>
              <w:rPr>
                <w:rFonts w:ascii="Calibri" w:cs="Calibri" w:eastAsia="Calibri" w:hAnsi="Calibri"/>
                <w:b/>
                <w:bCs/>
                <w:color w:val="1F3864"/>
                <w:sz w:val="26"/>
                <w:szCs w:val="26"/>
              </w:rPr>
              <w:t xml:space="preserve">Automatic Retrieval via Dot Walking</w:t>
            </w:r>
          </w:p>
          <w:p>
            <w:pPr>
              <w:spacing w:line="360" w:lineRule="auto" w:before="0" w:after="0"/>
              <w:jc w:val="both"/>
            </w:pPr>
            <w:r>
              <w:rPr>
                <w:rFonts w:ascii="Calibri" w:cs="Calibri" w:eastAsia="Calibri" w:hAnsi="Calibri"/>
                <w:sz w:val="24"/>
                <w:szCs w:val="24"/>
              </w:rPr>
              <w:t xml:space="preserve">Dot Walking expressions on the Incident form dynamically follow the chain of reference field relationships from the Incident table through to the sys_user table and its related tables. The retrieved values are displayed in the Incident form in real time when an employee is selected, with no manual input required from the incident agent.</w:t>
            </w:r>
          </w:p>
        </w:tc>
      </w:tr>
    </w:tbl>
    <w:p>
      <w:pPr>
        <w:spacing w:before="100" w:after="80"/>
      </w:pPr>
      <w: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F3864" w:sz="1"/>
              <w:left w:val="single" w:color="1F3864" w:sz="1"/>
              <w:bottom w:val="single" w:color="1F3864" w:sz="1"/>
              <w:right w:val="single" w:color="1F3864" w:sz="1"/>
            </w:tcBorders>
            <w:shd w:fill="1F3864" w:val="clear"/>
            <w:tcMar>
              <w:top w:type="dxa" w:w="120"/>
              <w:left w:type="dxa" w:w="240"/>
              <w:bottom w:type="dxa" w:w="120"/>
              <w:right w:type="dxa" w:w="240"/>
            </w:tcMar>
          </w:tcPr>
          <w:p>
            <w:r>
              <w:rPr>
                <w:rFonts w:ascii="Calibri" w:cs="Calibri" w:eastAsia="Calibri" w:hAnsi="Calibri"/>
                <w:b/>
                <w:bCs/>
                <w:color w:val="FFFFFF"/>
                <w:sz w:val="22"/>
                <w:szCs w:val="22"/>
              </w:rPr>
              <w:t xml:space="preserve">Section 4  —  Database Design</w:t>
            </w:r>
          </w:p>
        </w:tc>
      </w:tr>
    </w:tbl>
    <w:p>
      <w:pPr>
        <w:spacing w:before="80" w:after="80"/>
      </w:pPr>
      <w:r>
        <w:t xml:space="preserve"/>
      </w:r>
    </w:p>
    <w:p>
      <w:pPr>
        <w:pStyle w:val="Heading1"/>
        <w:spacing w:before="440" w:after="160"/>
      </w:pPr>
      <w:r>
        <w:rPr>
          <w:rFonts w:ascii="Calibri" w:cs="Calibri" w:eastAsia="Calibri" w:hAnsi="Calibri"/>
          <w:b/>
          <w:bCs/>
          <w:color w:val="1F3864"/>
          <w:sz w:val="34"/>
          <w:szCs w:val="34"/>
        </w:rPr>
        <w:t xml:space="preserve">4. Database Design</w:t>
      </w:r>
    </w:p>
    <w:p>
      <w:pPr>
        <w:pBdr>
          <w:bottom w:val="single" w:color="2E5496" w:sz="6" w:space="1"/>
        </w:pBdr>
        <w:spacing w:before="100" w:after="100"/>
      </w:pPr>
      <w:r>
        <w:t xml:space="preserve"/>
      </w:r>
    </w:p>
    <w:p>
      <w:pPr>
        <w:spacing w:before="60" w:after="80"/>
      </w:pPr>
      <w:r>
        <w:t xml:space="preserve"/>
      </w:r>
    </w:p>
    <w:p>
      <w:pPr>
        <w:spacing w:line="360" w:lineRule="auto" w:before="80" w:after="160"/>
        <w:ind w:firstLine="720"/>
        <w:jc w:val="both"/>
      </w:pPr>
      <w:r>
        <w:rPr>
          <w:rFonts w:ascii="Calibri" w:cs="Calibri" w:eastAsia="Calibri" w:hAnsi="Calibri"/>
          <w:sz w:val="24"/>
          <w:szCs w:val="24"/>
        </w:rPr>
        <w:t xml:space="preserve">The database design defines the tables involved in the project, the fields they contain that are relevant to the import and incident management workflow, and the relationships between those tables. ServiceNow uses a relational database model where tables are interconnected through reference fields. Understanding these relationships is critical to designing the field mappings and Dot Walking expressions correctly, as incorrect assumptions about the relational structure will result in failed reference resolutions and missing data in the target records.</w:t>
      </w:r>
    </w:p>
    <w:p>
      <w:pPr>
        <w:pStyle w:val="Heading2"/>
        <w:spacing w:before="300" w:after="140"/>
      </w:pPr>
      <w:r>
        <w:rPr>
          <w:rFonts w:ascii="Calibri" w:cs="Calibri" w:eastAsia="Calibri" w:hAnsi="Calibri"/>
          <w:b/>
          <w:bCs/>
          <w:color w:val="2E5496"/>
          <w:sz w:val="28"/>
          <w:szCs w:val="28"/>
        </w:rPr>
        <w:t xml:space="preserve">4.1 Table Descriptions</w:t>
      </w:r>
    </w:p>
    <w:p>
      <w:pPr>
        <w:spacing w:before="60" w:after="80"/>
      </w:pPr>
      <w: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00"/>
        <w:gridCol w:w="7048"/>
      </w:tblGrid>
      <w:tr>
        <w:trPr>
          <w:tblHeader/>
        </w:trPr>
        <w:tc>
          <w:tcPr>
            <w:tcW w:type="dxa" w:w="2600"/>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jc w:val="center"/>
            </w:pPr>
            <w:r>
              <w:rPr>
                <w:rFonts w:ascii="Calibri" w:cs="Calibri" w:eastAsia="Calibri" w:hAnsi="Calibri"/>
                <w:b/>
                <w:bCs/>
                <w:color w:val="FFFFFF"/>
                <w:sz w:val="24"/>
                <w:szCs w:val="24"/>
              </w:rPr>
              <w:t xml:space="preserve">Table</w:t>
            </w:r>
          </w:p>
        </w:tc>
        <w:tc>
          <w:tcPr>
            <w:tcW w:type="dxa" w:w="7048"/>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jc w:val="center"/>
            </w:pPr>
            <w:r>
              <w:rPr>
                <w:rFonts w:ascii="Calibri" w:cs="Calibri" w:eastAsia="Calibri" w:hAnsi="Calibri"/>
                <w:b/>
                <w:bCs/>
                <w:color w:val="FFFFFF"/>
                <w:sz w:val="24"/>
                <w:szCs w:val="24"/>
              </w:rPr>
              <w:t xml:space="preserve">Description and Role in the Project</w:t>
            </w:r>
          </w:p>
        </w:tc>
      </w:tr>
      <w:tr>
        <w:tc>
          <w:tcPr>
            <w:tcW w:type="dxa" w:w="2600"/>
            <w:tcBorders>
              <w:top w:val="single" w:color="B0C4DE" w:sz="1"/>
              <w:left w:val="single" w:color="B0C4DE" w:sz="1"/>
              <w:bottom w:val="single" w:color="B0C4DE" w:sz="1"/>
              <w:right w:val="single" w:color="B0C4DE" w:sz="1"/>
            </w:tcBorders>
            <w:shd w:fill="EBF3FB" w:val="clear"/>
            <w:tcMar>
              <w:top w:type="dxa" w:w="90"/>
              <w:left w:type="dxa" w:w="160"/>
              <w:bottom w:type="dxa" w:w="90"/>
              <w:right w:type="dxa" w:w="160"/>
            </w:tcMar>
          </w:tcPr>
          <w:p>
            <w:pPr>
              <w:jc w:val="both"/>
            </w:pPr>
            <w:r>
              <w:rPr>
                <w:rFonts w:ascii="Calibri" w:cs="Calibri" w:eastAsia="Calibri" w:hAnsi="Calibri"/>
                <w:b/>
                <w:bCs/>
                <w:sz w:val="24"/>
                <w:szCs w:val="24"/>
              </w:rPr>
              <w:t xml:space="preserve">Import Set Table
(u_import_employee_data)</w:t>
            </w:r>
          </w:p>
        </w:tc>
        <w:tc>
          <w:tcPr>
            <w:tcW w:type="dxa" w:w="7048"/>
            <w:tcBorders>
              <w:top w:val="single" w:color="B0C4DE" w:sz="1"/>
              <w:left w:val="single" w:color="B0C4DE" w:sz="1"/>
              <w:bottom w:val="single" w:color="B0C4DE" w:sz="1"/>
              <w:right w:val="single" w:color="B0C4DE" w:sz="1"/>
            </w:tcBorders>
            <w:shd w:fill="EBF3FB" w:val="clear"/>
            <w:tcMar>
              <w:top w:type="dxa" w:w="90"/>
              <w:left w:type="dxa" w:w="160"/>
              <w:bottom w:type="dxa" w:w="90"/>
              <w:right w:type="dxa" w:w="160"/>
            </w:tcMar>
          </w:tcPr>
          <w:p>
            <w:pPr>
              <w:jc w:val="both"/>
            </w:pPr>
            <w:r>
              <w:rPr>
                <w:rFonts w:ascii="Calibri" w:cs="Calibri" w:eastAsia="Calibri" w:hAnsi="Calibri"/>
                <w:b w:val="false"/>
                <w:bCs w:val="false"/>
                <w:sz w:val="24"/>
                <w:szCs w:val="24"/>
              </w:rPr>
              <w:t xml:space="preserve">A temporary staging table automatically created by ServiceNow's Import Sets module when the employee data file is uploaded. This table mirrors the column structure of the source file and holds raw imported records before transformation. It is not a permanent production table and exists solely to facilitate the import and transformation process.</w:t>
            </w:r>
          </w:p>
        </w:tc>
      </w:tr>
      <w:tr>
        <w:tc>
          <w:tcPr>
            <w:tcW w:type="dxa" w:w="2600"/>
            <w:tcBorders>
              <w:top w:val="single" w:color="B0C4DE" w:sz="1"/>
              <w:left w:val="single" w:color="B0C4DE" w:sz="1"/>
              <w:bottom w:val="single" w:color="B0C4DE" w:sz="1"/>
              <w:right w:val="single" w:color="B0C4DE" w:sz="1"/>
            </w:tcBorders>
            <w:shd w:fill="FFFFFF" w:val="clear"/>
            <w:tcMar>
              <w:top w:type="dxa" w:w="90"/>
              <w:left w:type="dxa" w:w="160"/>
              <w:bottom w:type="dxa" w:w="90"/>
              <w:right w:type="dxa" w:w="160"/>
            </w:tcMar>
          </w:tcPr>
          <w:p>
            <w:pPr>
              <w:jc w:val="both"/>
            </w:pPr>
            <w:r>
              <w:rPr>
                <w:rFonts w:ascii="Calibri" w:cs="Calibri" w:eastAsia="Calibri" w:hAnsi="Calibri"/>
                <w:b/>
                <w:bCs/>
                <w:sz w:val="24"/>
                <w:szCs w:val="24"/>
              </w:rPr>
              <w:t xml:space="preserve">User Table
(sys_user)</w:t>
            </w:r>
          </w:p>
        </w:tc>
        <w:tc>
          <w:tcPr>
            <w:tcW w:type="dxa" w:w="7048"/>
            <w:tcBorders>
              <w:top w:val="single" w:color="B0C4DE" w:sz="1"/>
              <w:left w:val="single" w:color="B0C4DE" w:sz="1"/>
              <w:bottom w:val="single" w:color="B0C4DE" w:sz="1"/>
              <w:right w:val="single" w:color="B0C4DE" w:sz="1"/>
            </w:tcBorders>
            <w:shd w:fill="FFFFFF" w:val="clear"/>
            <w:tcMar>
              <w:top w:type="dxa" w:w="90"/>
              <w:left w:type="dxa" w:w="160"/>
              <w:bottom w:type="dxa" w:w="90"/>
              <w:right w:type="dxa" w:w="160"/>
            </w:tcMar>
          </w:tcPr>
          <w:p>
            <w:pPr>
              <w:jc w:val="both"/>
            </w:pPr>
            <w:r>
              <w:rPr>
                <w:rFonts w:ascii="Calibri" w:cs="Calibri" w:eastAsia="Calibri" w:hAnsi="Calibri"/>
                <w:b w:val="false"/>
                <w:bCs w:val="false"/>
                <w:sz w:val="24"/>
                <w:szCs w:val="24"/>
              </w:rPr>
              <w:t xml:space="preserve">The primary production table that permanently stores all user records in ServiceNow and serves as the target table for the Transform Map. Key fields relevant to this project include: name, email, department (reference to cmn_department), manager (self-referencing to another sys_user record), and the derived manager email field accessed via Dot Walking.</w:t>
            </w:r>
          </w:p>
        </w:tc>
      </w:tr>
      <w:tr>
        <w:tc>
          <w:tcPr>
            <w:tcW w:type="dxa" w:w="2600"/>
            <w:tcBorders>
              <w:top w:val="single" w:color="B0C4DE" w:sz="1"/>
              <w:left w:val="single" w:color="B0C4DE" w:sz="1"/>
              <w:bottom w:val="single" w:color="B0C4DE" w:sz="1"/>
              <w:right w:val="single" w:color="B0C4DE" w:sz="1"/>
            </w:tcBorders>
            <w:shd w:fill="EBF3FB" w:val="clear"/>
            <w:tcMar>
              <w:top w:type="dxa" w:w="90"/>
              <w:left w:type="dxa" w:w="160"/>
              <w:bottom w:type="dxa" w:w="90"/>
              <w:right w:type="dxa" w:w="160"/>
            </w:tcMar>
          </w:tcPr>
          <w:p>
            <w:pPr>
              <w:jc w:val="both"/>
            </w:pPr>
            <w:r>
              <w:rPr>
                <w:rFonts w:ascii="Calibri" w:cs="Calibri" w:eastAsia="Calibri" w:hAnsi="Calibri"/>
                <w:b/>
                <w:bCs/>
                <w:sz w:val="24"/>
                <w:szCs w:val="24"/>
              </w:rPr>
              <w:t xml:space="preserve">Department Table
(cmn_department)</w:t>
            </w:r>
          </w:p>
        </w:tc>
        <w:tc>
          <w:tcPr>
            <w:tcW w:type="dxa" w:w="7048"/>
            <w:tcBorders>
              <w:top w:val="single" w:color="B0C4DE" w:sz="1"/>
              <w:left w:val="single" w:color="B0C4DE" w:sz="1"/>
              <w:bottom w:val="single" w:color="B0C4DE" w:sz="1"/>
              <w:right w:val="single" w:color="B0C4DE" w:sz="1"/>
            </w:tcBorders>
            <w:shd w:fill="EBF3FB" w:val="clear"/>
            <w:tcMar>
              <w:top w:type="dxa" w:w="90"/>
              <w:left w:type="dxa" w:w="160"/>
              <w:bottom w:type="dxa" w:w="90"/>
              <w:right w:type="dxa" w:w="160"/>
            </w:tcMar>
          </w:tcPr>
          <w:p>
            <w:pPr>
              <w:jc w:val="both"/>
            </w:pPr>
            <w:r>
              <w:rPr>
                <w:rFonts w:ascii="Calibri" w:cs="Calibri" w:eastAsia="Calibri" w:hAnsi="Calibri"/>
                <w:b w:val="false"/>
                <w:bCs w:val="false"/>
                <w:sz w:val="24"/>
                <w:szCs w:val="24"/>
              </w:rPr>
              <w:t xml:space="preserve">A reference table storing all department records in ServiceNow. The department field in sys_user is a reference field that points to records in this table. During the Transform Map execution, the department name string from the import file is resolved to the corresponding sys_id in cmn_department. If a matching department does not exist in this table, the reference will not resolve correctly.</w:t>
            </w:r>
          </w:p>
        </w:tc>
      </w:tr>
      <w:tr>
        <w:tc>
          <w:tcPr>
            <w:tcW w:type="dxa" w:w="2600"/>
            <w:tcBorders>
              <w:top w:val="single" w:color="B0C4DE" w:sz="1"/>
              <w:left w:val="single" w:color="B0C4DE" w:sz="1"/>
              <w:bottom w:val="single" w:color="B0C4DE" w:sz="1"/>
              <w:right w:val="single" w:color="B0C4DE" w:sz="1"/>
            </w:tcBorders>
            <w:shd w:fill="FFFFFF" w:val="clear"/>
            <w:tcMar>
              <w:top w:type="dxa" w:w="90"/>
              <w:left w:type="dxa" w:w="160"/>
              <w:bottom w:type="dxa" w:w="90"/>
              <w:right w:type="dxa" w:w="160"/>
            </w:tcMar>
          </w:tcPr>
          <w:p>
            <w:pPr>
              <w:jc w:val="both"/>
            </w:pPr>
            <w:r>
              <w:rPr>
                <w:rFonts w:ascii="Calibri" w:cs="Calibri" w:eastAsia="Calibri" w:hAnsi="Calibri"/>
                <w:b/>
                <w:bCs/>
                <w:sz w:val="24"/>
                <w:szCs w:val="24"/>
              </w:rPr>
              <w:t xml:space="preserve">Incident Table
(incident)</w:t>
            </w:r>
          </w:p>
        </w:tc>
        <w:tc>
          <w:tcPr>
            <w:tcW w:type="dxa" w:w="7048"/>
            <w:tcBorders>
              <w:top w:val="single" w:color="B0C4DE" w:sz="1"/>
              <w:left w:val="single" w:color="B0C4DE" w:sz="1"/>
              <w:bottom w:val="single" w:color="B0C4DE" w:sz="1"/>
              <w:right w:val="single" w:color="B0C4DE" w:sz="1"/>
            </w:tcBorders>
            <w:shd w:fill="FFFFFF" w:val="clear"/>
            <w:tcMar>
              <w:top w:type="dxa" w:w="90"/>
              <w:left w:type="dxa" w:w="160"/>
              <w:bottom w:type="dxa" w:w="90"/>
              <w:right w:type="dxa" w:w="160"/>
            </w:tcMar>
          </w:tcPr>
          <w:p>
            <w:pPr>
              <w:jc w:val="both"/>
            </w:pPr>
            <w:r>
              <w:rPr>
                <w:rFonts w:ascii="Calibri" w:cs="Calibri" w:eastAsia="Calibri" w:hAnsi="Calibri"/>
                <w:b w:val="false"/>
                <w:bCs w:val="false"/>
                <w:sz w:val="24"/>
                <w:szCs w:val="24"/>
              </w:rPr>
              <w:t xml:space="preserve">Stores all incident records in ServiceNow. Extends the Task table and inherits its fields, including Priority. Consumes employee data from sys_user through the assigned_to and caller_id reference fields. Dot Walking expressions on the Incident form traverse these references to automatically display employee department and manager information.</w:t>
            </w:r>
          </w:p>
        </w:tc>
      </w:tr>
      <w:tr>
        <w:tc>
          <w:tcPr>
            <w:tcW w:type="dxa" w:w="2600"/>
            <w:tcBorders>
              <w:top w:val="single" w:color="B0C4DE" w:sz="1"/>
              <w:left w:val="single" w:color="B0C4DE" w:sz="1"/>
              <w:bottom w:val="single" w:color="B0C4DE" w:sz="1"/>
              <w:right w:val="single" w:color="B0C4DE" w:sz="1"/>
            </w:tcBorders>
            <w:shd w:fill="EBF3FB" w:val="clear"/>
            <w:tcMar>
              <w:top w:type="dxa" w:w="90"/>
              <w:left w:type="dxa" w:w="160"/>
              <w:bottom w:type="dxa" w:w="90"/>
              <w:right w:type="dxa" w:w="160"/>
            </w:tcMar>
          </w:tcPr>
          <w:p>
            <w:pPr>
              <w:jc w:val="both"/>
            </w:pPr>
            <w:r>
              <w:rPr>
                <w:rFonts w:ascii="Calibri" w:cs="Calibri" w:eastAsia="Calibri" w:hAnsi="Calibri"/>
                <w:b/>
                <w:bCs/>
                <w:sz w:val="24"/>
                <w:szCs w:val="24"/>
              </w:rPr>
              <w:t xml:space="preserve">Task Table
(task)</w:t>
            </w:r>
          </w:p>
        </w:tc>
        <w:tc>
          <w:tcPr>
            <w:tcW w:type="dxa" w:w="7048"/>
            <w:tcBorders>
              <w:top w:val="single" w:color="B0C4DE" w:sz="1"/>
              <w:left w:val="single" w:color="B0C4DE" w:sz="1"/>
              <w:bottom w:val="single" w:color="B0C4DE" w:sz="1"/>
              <w:right w:val="single" w:color="B0C4DE" w:sz="1"/>
            </w:tcBorders>
            <w:shd w:fill="EBF3FB" w:val="clear"/>
            <w:tcMar>
              <w:top w:type="dxa" w:w="90"/>
              <w:left w:type="dxa" w:w="160"/>
              <w:bottom w:type="dxa" w:w="90"/>
              <w:right w:type="dxa" w:w="160"/>
            </w:tcMar>
          </w:tcPr>
          <w:p>
            <w:pPr>
              <w:jc w:val="both"/>
            </w:pPr>
            <w:r>
              <w:rPr>
                <w:rFonts w:ascii="Calibri" w:cs="Calibri" w:eastAsia="Calibri" w:hAnsi="Calibri"/>
                <w:b w:val="false"/>
                <w:bCs w:val="false"/>
                <w:sz w:val="24"/>
                <w:szCs w:val="24"/>
              </w:rPr>
              <w:t xml:space="preserve">The parent table from which the Incident table inherits common fields, including Priority, State, and Assignment Group. The Priority field is defined in the Task table's data dictionary and inherited by the Incident table. The Dictionary Override in this project targets the priority field at the Incident level only, overriding the inherited default without modifying the parent table definition.</w:t>
            </w:r>
          </w:p>
        </w:tc>
      </w:tr>
    </w:tbl>
    <w:p>
      <w:pPr>
        <w:spacing w:before="120" w:after="80"/>
      </w:pPr>
      <w:r>
        <w:t xml:space="preserve"/>
      </w:r>
    </w:p>
    <w:p>
      <w:pPr>
        <w:pStyle w:val="Heading2"/>
        <w:spacing w:before="300" w:after="140"/>
      </w:pPr>
      <w:r>
        <w:rPr>
          <w:rFonts w:ascii="Calibri" w:cs="Calibri" w:eastAsia="Calibri" w:hAnsi="Calibri"/>
          <w:b/>
          <w:bCs/>
          <w:color w:val="2E5496"/>
          <w:sz w:val="28"/>
          <w:szCs w:val="28"/>
        </w:rPr>
        <w:t xml:space="preserve">4.2 Table Relationship Reference</w:t>
      </w:r>
    </w:p>
    <w:p>
      <w:pPr>
        <w:spacing w:before="60" w:after="80"/>
      </w:pPr>
      <w: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2600"/>
        <w:gridCol w:w="2648"/>
      </w:tblGrid>
      <w:tr>
        <w:trPr>
          <w:tblHeader/>
        </w:trPr>
        <w:tc>
          <w:tcPr>
            <w:tcW w:type="dxa" w:w="26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jc w:val="center"/>
            </w:pPr>
            <w:r>
              <w:rPr>
                <w:rFonts w:ascii="Calibri" w:cs="Calibri" w:eastAsia="Calibri" w:hAnsi="Calibri"/>
                <w:b/>
                <w:bCs/>
                <w:color w:val="FFFFFF"/>
                <w:sz w:val="24"/>
                <w:szCs w:val="24"/>
              </w:rPr>
              <w:t xml:space="preserve">Source Table</w:t>
            </w:r>
          </w:p>
        </w:tc>
        <w:tc>
          <w:tcPr>
            <w:tcW w:type="dxa" w:w="18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jc w:val="center"/>
            </w:pPr>
            <w:r>
              <w:rPr>
                <w:rFonts w:ascii="Calibri" w:cs="Calibri" w:eastAsia="Calibri" w:hAnsi="Calibri"/>
                <w:b/>
                <w:bCs/>
                <w:color w:val="FFFFFF"/>
                <w:sz w:val="24"/>
                <w:szCs w:val="24"/>
              </w:rPr>
              <w:t xml:space="preserve">Relationship</w:t>
            </w:r>
          </w:p>
        </w:tc>
        <w:tc>
          <w:tcPr>
            <w:tcW w:type="dxa" w:w="26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jc w:val="center"/>
            </w:pPr>
            <w:r>
              <w:rPr>
                <w:rFonts w:ascii="Calibri" w:cs="Calibri" w:eastAsia="Calibri" w:hAnsi="Calibri"/>
                <w:b/>
                <w:bCs/>
                <w:color w:val="FFFFFF"/>
                <w:sz w:val="24"/>
                <w:szCs w:val="24"/>
              </w:rPr>
              <w:t xml:space="preserve">Target Table</w:t>
            </w:r>
          </w:p>
        </w:tc>
        <w:tc>
          <w:tcPr>
            <w:tcW w:type="dxa" w:w="2648"/>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jc w:val="center"/>
            </w:pPr>
            <w:r>
              <w:rPr>
                <w:rFonts w:ascii="Calibri" w:cs="Calibri" w:eastAsia="Calibri" w:hAnsi="Calibri"/>
                <w:b/>
                <w:bCs/>
                <w:color w:val="FFFFFF"/>
                <w:sz w:val="24"/>
                <w:szCs w:val="24"/>
              </w:rPr>
              <w:t xml:space="preserve">Fields Involved</w:t>
            </w:r>
          </w:p>
        </w:tc>
      </w:tr>
      <w:tr>
        <w:tc>
          <w:tcPr>
            <w:tcW w:type="dxa" w:w="2600"/>
            <w:tcBorders>
              <w:top w:val="single" w:color="B0C4DE" w:sz="1"/>
              <w:left w:val="single" w:color="B0C4DE" w:sz="1"/>
              <w:bottom w:val="single" w:color="B0C4DE" w:sz="1"/>
              <w:right w:val="single" w:color="B0C4DE" w:sz="1"/>
            </w:tcBorders>
            <w:shd w:fill="EBF3FB" w:val="clear"/>
            <w:tcMar>
              <w:top w:type="dxa" w:w="90"/>
              <w:left w:type="dxa" w:w="140"/>
              <w:bottom w:type="dxa" w:w="90"/>
              <w:right w:type="dxa" w:w="140"/>
            </w:tcMar>
          </w:tcPr>
          <w:p>
            <w:r>
              <w:rPr>
                <w:rFonts w:ascii="Courier New" w:cs="Courier New" w:eastAsia="Courier New" w:hAnsi="Courier New"/>
                <w:b/>
                <w:bCs/>
                <w:color w:val="1F3864"/>
                <w:sz w:val="20"/>
                <w:szCs w:val="20"/>
              </w:rPr>
              <w:t xml:space="preserve">u_import_employee_data</w:t>
            </w:r>
          </w:p>
        </w:tc>
        <w:tc>
          <w:tcPr>
            <w:tcW w:type="dxa" w:w="1800"/>
            <w:tcBorders>
              <w:top w:val="single" w:color="B0C4DE" w:sz="1"/>
              <w:left w:val="single" w:color="B0C4DE" w:sz="1"/>
              <w:bottom w:val="single" w:color="B0C4DE" w:sz="1"/>
              <w:right w:val="single" w:color="B0C4DE" w:sz="1"/>
            </w:tcBorders>
            <w:shd w:fill="EBF3FB" w:val="clear"/>
            <w:tcMar>
              <w:top w:type="dxa" w:w="90"/>
              <w:left w:type="dxa" w:w="140"/>
              <w:bottom w:type="dxa" w:w="90"/>
              <w:right w:type="dxa" w:w="140"/>
            </w:tcMar>
          </w:tcPr>
          <w:p>
            <w:pPr>
              <w:jc w:val="center"/>
            </w:pPr>
            <w:r>
              <w:rPr>
                <w:rFonts w:ascii="Calibri" w:cs="Calibri" w:eastAsia="Calibri" w:hAnsi="Calibri"/>
                <w:b/>
                <w:bCs/>
                <w:color w:val="375A8C"/>
                <w:sz w:val="24"/>
                <w:szCs w:val="24"/>
              </w:rPr>
              <w:t xml:space="preserve">transforms into →</w:t>
            </w:r>
          </w:p>
        </w:tc>
        <w:tc>
          <w:tcPr>
            <w:tcW w:type="dxa" w:w="2600"/>
            <w:tcBorders>
              <w:top w:val="single" w:color="B0C4DE" w:sz="1"/>
              <w:left w:val="single" w:color="B0C4DE" w:sz="1"/>
              <w:bottom w:val="single" w:color="B0C4DE" w:sz="1"/>
              <w:right w:val="single" w:color="B0C4DE" w:sz="1"/>
            </w:tcBorders>
            <w:shd w:fill="EBF3FB" w:val="clear"/>
            <w:tcMar>
              <w:top w:type="dxa" w:w="90"/>
              <w:left w:type="dxa" w:w="140"/>
              <w:bottom w:type="dxa" w:w="90"/>
              <w:right w:type="dxa" w:w="140"/>
            </w:tcMar>
          </w:tcPr>
          <w:p>
            <w:r>
              <w:rPr>
                <w:rFonts w:ascii="Courier New" w:cs="Courier New" w:eastAsia="Courier New" w:hAnsi="Courier New"/>
                <w:b/>
                <w:bCs/>
                <w:color w:val="1F3864"/>
                <w:sz w:val="20"/>
                <w:szCs w:val="20"/>
              </w:rPr>
              <w:t xml:space="preserve">sys_user</w:t>
            </w:r>
          </w:p>
        </w:tc>
        <w:tc>
          <w:tcPr>
            <w:tcW w:type="dxa" w:w="2648"/>
            <w:tcBorders>
              <w:top w:val="single" w:color="B0C4DE" w:sz="1"/>
              <w:left w:val="single" w:color="B0C4DE" w:sz="1"/>
              <w:bottom w:val="single" w:color="B0C4DE" w:sz="1"/>
              <w:right w:val="single" w:color="B0C4DE" w:sz="1"/>
            </w:tcBorders>
            <w:shd w:fill="EBF3FB" w:val="clear"/>
            <w:tcMar>
              <w:top w:type="dxa" w:w="90"/>
              <w:left w:type="dxa" w:w="140"/>
              <w:bottom w:type="dxa" w:w="90"/>
              <w:right w:type="dxa" w:w="140"/>
            </w:tcMar>
          </w:tcPr>
          <w:p>
            <w:r>
              <w:rPr>
                <w:rFonts w:ascii="Courier New" w:cs="Courier New" w:eastAsia="Courier New" w:hAnsi="Courier New"/>
                <w:color w:val="4A5568"/>
                <w:sz w:val="20"/>
                <w:szCs w:val="20"/>
              </w:rPr>
              <w:t xml:space="preserve">All five fields (Name, Email, Department, Manager, Manager Email)</w:t>
            </w:r>
          </w:p>
        </w:tc>
      </w:tr>
      <w:tr>
        <w:tc>
          <w:tcPr>
            <w:tcW w:type="dxa" w:w="2600"/>
            <w:tcBorders>
              <w:top w:val="single" w:color="B0C4DE" w:sz="1"/>
              <w:left w:val="single" w:color="B0C4DE" w:sz="1"/>
              <w:bottom w:val="single" w:color="B0C4DE" w:sz="1"/>
              <w:right w:val="single" w:color="B0C4DE" w:sz="1"/>
            </w:tcBorders>
            <w:shd w:fill="FFFFFF" w:val="clear"/>
            <w:tcMar>
              <w:top w:type="dxa" w:w="90"/>
              <w:left w:type="dxa" w:w="140"/>
              <w:bottom w:type="dxa" w:w="90"/>
              <w:right w:type="dxa" w:w="140"/>
            </w:tcMar>
          </w:tcPr>
          <w:p>
            <w:r>
              <w:rPr>
                <w:rFonts w:ascii="Courier New" w:cs="Courier New" w:eastAsia="Courier New" w:hAnsi="Courier New"/>
                <w:b/>
                <w:bCs/>
                <w:color w:val="1F3864"/>
                <w:sz w:val="20"/>
                <w:szCs w:val="20"/>
              </w:rPr>
              <w:t xml:space="preserve">sys_user</w:t>
            </w:r>
          </w:p>
        </w:tc>
        <w:tc>
          <w:tcPr>
            <w:tcW w:type="dxa" w:w="1800"/>
            <w:tcBorders>
              <w:top w:val="single" w:color="B0C4DE" w:sz="1"/>
              <w:left w:val="single" w:color="B0C4DE" w:sz="1"/>
              <w:bottom w:val="single" w:color="B0C4DE" w:sz="1"/>
              <w:right w:val="single" w:color="B0C4DE" w:sz="1"/>
            </w:tcBorders>
            <w:shd w:fill="FFFFFF" w:val="clear"/>
            <w:tcMar>
              <w:top w:type="dxa" w:w="90"/>
              <w:left w:type="dxa" w:w="140"/>
              <w:bottom w:type="dxa" w:w="90"/>
              <w:right w:type="dxa" w:w="140"/>
            </w:tcMar>
          </w:tcPr>
          <w:p>
            <w:pPr>
              <w:jc w:val="center"/>
            </w:pPr>
            <w:r>
              <w:rPr>
                <w:rFonts w:ascii="Calibri" w:cs="Calibri" w:eastAsia="Calibri" w:hAnsi="Calibri"/>
                <w:b/>
                <w:bCs/>
                <w:color w:val="375A8C"/>
                <w:sz w:val="24"/>
                <w:szCs w:val="24"/>
              </w:rPr>
              <w:t xml:space="preserve">referenced by →</w:t>
            </w:r>
          </w:p>
        </w:tc>
        <w:tc>
          <w:tcPr>
            <w:tcW w:type="dxa" w:w="2600"/>
            <w:tcBorders>
              <w:top w:val="single" w:color="B0C4DE" w:sz="1"/>
              <w:left w:val="single" w:color="B0C4DE" w:sz="1"/>
              <w:bottom w:val="single" w:color="B0C4DE" w:sz="1"/>
              <w:right w:val="single" w:color="B0C4DE" w:sz="1"/>
            </w:tcBorders>
            <w:shd w:fill="FFFFFF" w:val="clear"/>
            <w:tcMar>
              <w:top w:type="dxa" w:w="90"/>
              <w:left w:type="dxa" w:w="140"/>
              <w:bottom w:type="dxa" w:w="90"/>
              <w:right w:type="dxa" w:w="140"/>
            </w:tcMar>
          </w:tcPr>
          <w:p>
            <w:r>
              <w:rPr>
                <w:rFonts w:ascii="Courier New" w:cs="Courier New" w:eastAsia="Courier New" w:hAnsi="Courier New"/>
                <w:b/>
                <w:bCs/>
                <w:color w:val="1F3864"/>
                <w:sz w:val="20"/>
                <w:szCs w:val="20"/>
              </w:rPr>
              <w:t xml:space="preserve">incident</w:t>
            </w:r>
          </w:p>
        </w:tc>
        <w:tc>
          <w:tcPr>
            <w:tcW w:type="dxa" w:w="2648"/>
            <w:tcBorders>
              <w:top w:val="single" w:color="B0C4DE" w:sz="1"/>
              <w:left w:val="single" w:color="B0C4DE" w:sz="1"/>
              <w:bottom w:val="single" w:color="B0C4DE" w:sz="1"/>
              <w:right w:val="single" w:color="B0C4DE" w:sz="1"/>
            </w:tcBorders>
            <w:shd w:fill="FFFFFF" w:val="clear"/>
            <w:tcMar>
              <w:top w:type="dxa" w:w="90"/>
              <w:left w:type="dxa" w:w="140"/>
              <w:bottom w:type="dxa" w:w="90"/>
              <w:right w:type="dxa" w:w="140"/>
            </w:tcMar>
          </w:tcPr>
          <w:p>
            <w:r>
              <w:rPr>
                <w:rFonts w:ascii="Courier New" w:cs="Courier New" w:eastAsia="Courier New" w:hAnsi="Courier New"/>
                <w:color w:val="4A5568"/>
                <w:sz w:val="20"/>
                <w:szCs w:val="20"/>
              </w:rPr>
              <w:t xml:space="preserve">assigned_to (sys_id), caller_id (sys_id)</w:t>
            </w:r>
          </w:p>
        </w:tc>
      </w:tr>
      <w:tr>
        <w:tc>
          <w:tcPr>
            <w:tcW w:type="dxa" w:w="2600"/>
            <w:tcBorders>
              <w:top w:val="single" w:color="B0C4DE" w:sz="1"/>
              <w:left w:val="single" w:color="B0C4DE" w:sz="1"/>
              <w:bottom w:val="single" w:color="B0C4DE" w:sz="1"/>
              <w:right w:val="single" w:color="B0C4DE" w:sz="1"/>
            </w:tcBorders>
            <w:shd w:fill="EBF3FB" w:val="clear"/>
            <w:tcMar>
              <w:top w:type="dxa" w:w="90"/>
              <w:left w:type="dxa" w:w="140"/>
              <w:bottom w:type="dxa" w:w="90"/>
              <w:right w:type="dxa" w:w="140"/>
            </w:tcMar>
          </w:tcPr>
          <w:p>
            <w:r>
              <w:rPr>
                <w:rFonts w:ascii="Courier New" w:cs="Courier New" w:eastAsia="Courier New" w:hAnsi="Courier New"/>
                <w:b/>
                <w:bCs/>
                <w:color w:val="1F3864"/>
                <w:sz w:val="20"/>
                <w:szCs w:val="20"/>
              </w:rPr>
              <w:t xml:space="preserve">sys_user</w:t>
            </w:r>
          </w:p>
        </w:tc>
        <w:tc>
          <w:tcPr>
            <w:tcW w:type="dxa" w:w="1800"/>
            <w:tcBorders>
              <w:top w:val="single" w:color="B0C4DE" w:sz="1"/>
              <w:left w:val="single" w:color="B0C4DE" w:sz="1"/>
              <w:bottom w:val="single" w:color="B0C4DE" w:sz="1"/>
              <w:right w:val="single" w:color="B0C4DE" w:sz="1"/>
            </w:tcBorders>
            <w:shd w:fill="EBF3FB" w:val="clear"/>
            <w:tcMar>
              <w:top w:type="dxa" w:w="90"/>
              <w:left w:type="dxa" w:w="140"/>
              <w:bottom w:type="dxa" w:w="90"/>
              <w:right w:type="dxa" w:w="140"/>
            </w:tcMar>
          </w:tcPr>
          <w:p>
            <w:pPr>
              <w:jc w:val="center"/>
            </w:pPr>
            <w:r>
              <w:rPr>
                <w:rFonts w:ascii="Calibri" w:cs="Calibri" w:eastAsia="Calibri" w:hAnsi="Calibri"/>
                <w:b/>
                <w:bCs/>
                <w:color w:val="375A8C"/>
                <w:sz w:val="24"/>
                <w:szCs w:val="24"/>
              </w:rPr>
              <w:t xml:space="preserve">self-references →</w:t>
            </w:r>
          </w:p>
        </w:tc>
        <w:tc>
          <w:tcPr>
            <w:tcW w:type="dxa" w:w="2600"/>
            <w:tcBorders>
              <w:top w:val="single" w:color="B0C4DE" w:sz="1"/>
              <w:left w:val="single" w:color="B0C4DE" w:sz="1"/>
              <w:bottom w:val="single" w:color="B0C4DE" w:sz="1"/>
              <w:right w:val="single" w:color="B0C4DE" w:sz="1"/>
            </w:tcBorders>
            <w:shd w:fill="EBF3FB" w:val="clear"/>
            <w:tcMar>
              <w:top w:type="dxa" w:w="90"/>
              <w:left w:type="dxa" w:w="140"/>
              <w:bottom w:type="dxa" w:w="90"/>
              <w:right w:type="dxa" w:w="140"/>
            </w:tcMar>
          </w:tcPr>
          <w:p>
            <w:r>
              <w:rPr>
                <w:rFonts w:ascii="Courier New" w:cs="Courier New" w:eastAsia="Courier New" w:hAnsi="Courier New"/>
                <w:b/>
                <w:bCs/>
                <w:color w:val="1F3864"/>
                <w:sz w:val="20"/>
                <w:szCs w:val="20"/>
              </w:rPr>
              <w:t xml:space="preserve">sys_user</w:t>
            </w:r>
          </w:p>
        </w:tc>
        <w:tc>
          <w:tcPr>
            <w:tcW w:type="dxa" w:w="2648"/>
            <w:tcBorders>
              <w:top w:val="single" w:color="B0C4DE" w:sz="1"/>
              <w:left w:val="single" w:color="B0C4DE" w:sz="1"/>
              <w:bottom w:val="single" w:color="B0C4DE" w:sz="1"/>
              <w:right w:val="single" w:color="B0C4DE" w:sz="1"/>
            </w:tcBorders>
            <w:shd w:fill="EBF3FB" w:val="clear"/>
            <w:tcMar>
              <w:top w:type="dxa" w:w="90"/>
              <w:left w:type="dxa" w:w="140"/>
              <w:bottom w:type="dxa" w:w="90"/>
              <w:right w:type="dxa" w:w="140"/>
            </w:tcMar>
          </w:tcPr>
          <w:p>
            <w:r>
              <w:rPr>
                <w:rFonts w:ascii="Courier New" w:cs="Courier New" w:eastAsia="Courier New" w:hAnsi="Courier New"/>
                <w:color w:val="4A5568"/>
                <w:sz w:val="20"/>
                <w:szCs w:val="20"/>
              </w:rPr>
              <w:t xml:space="preserve">manager field (references another sys_user record)</w:t>
            </w:r>
          </w:p>
        </w:tc>
      </w:tr>
      <w:tr>
        <w:tc>
          <w:tcPr>
            <w:tcW w:type="dxa" w:w="2600"/>
            <w:tcBorders>
              <w:top w:val="single" w:color="B0C4DE" w:sz="1"/>
              <w:left w:val="single" w:color="B0C4DE" w:sz="1"/>
              <w:bottom w:val="single" w:color="B0C4DE" w:sz="1"/>
              <w:right w:val="single" w:color="B0C4DE" w:sz="1"/>
            </w:tcBorders>
            <w:shd w:fill="FFFFFF" w:val="clear"/>
            <w:tcMar>
              <w:top w:type="dxa" w:w="90"/>
              <w:left w:type="dxa" w:w="140"/>
              <w:bottom w:type="dxa" w:w="90"/>
              <w:right w:type="dxa" w:w="140"/>
            </w:tcMar>
          </w:tcPr>
          <w:p>
            <w:r>
              <w:rPr>
                <w:rFonts w:ascii="Courier New" w:cs="Courier New" w:eastAsia="Courier New" w:hAnsi="Courier New"/>
                <w:b/>
                <w:bCs/>
                <w:color w:val="1F3864"/>
                <w:sz w:val="20"/>
                <w:szCs w:val="20"/>
              </w:rPr>
              <w:t xml:space="preserve">cmn_department</w:t>
            </w:r>
          </w:p>
        </w:tc>
        <w:tc>
          <w:tcPr>
            <w:tcW w:type="dxa" w:w="1800"/>
            <w:tcBorders>
              <w:top w:val="single" w:color="B0C4DE" w:sz="1"/>
              <w:left w:val="single" w:color="B0C4DE" w:sz="1"/>
              <w:bottom w:val="single" w:color="B0C4DE" w:sz="1"/>
              <w:right w:val="single" w:color="B0C4DE" w:sz="1"/>
            </w:tcBorders>
            <w:shd w:fill="FFFFFF" w:val="clear"/>
            <w:tcMar>
              <w:top w:type="dxa" w:w="90"/>
              <w:left w:type="dxa" w:w="140"/>
              <w:bottom w:type="dxa" w:w="90"/>
              <w:right w:type="dxa" w:w="140"/>
            </w:tcMar>
          </w:tcPr>
          <w:p>
            <w:pPr>
              <w:jc w:val="center"/>
            </w:pPr>
            <w:r>
              <w:rPr>
                <w:rFonts w:ascii="Calibri" w:cs="Calibri" w:eastAsia="Calibri" w:hAnsi="Calibri"/>
                <w:b/>
                <w:bCs/>
                <w:color w:val="375A8C"/>
                <w:sz w:val="24"/>
                <w:szCs w:val="24"/>
              </w:rPr>
              <w:t xml:space="preserve">referenced by →</w:t>
            </w:r>
          </w:p>
        </w:tc>
        <w:tc>
          <w:tcPr>
            <w:tcW w:type="dxa" w:w="2600"/>
            <w:tcBorders>
              <w:top w:val="single" w:color="B0C4DE" w:sz="1"/>
              <w:left w:val="single" w:color="B0C4DE" w:sz="1"/>
              <w:bottom w:val="single" w:color="B0C4DE" w:sz="1"/>
              <w:right w:val="single" w:color="B0C4DE" w:sz="1"/>
            </w:tcBorders>
            <w:shd w:fill="FFFFFF" w:val="clear"/>
            <w:tcMar>
              <w:top w:type="dxa" w:w="90"/>
              <w:left w:type="dxa" w:w="140"/>
              <w:bottom w:type="dxa" w:w="90"/>
              <w:right w:type="dxa" w:w="140"/>
            </w:tcMar>
          </w:tcPr>
          <w:p>
            <w:r>
              <w:rPr>
                <w:rFonts w:ascii="Courier New" w:cs="Courier New" w:eastAsia="Courier New" w:hAnsi="Courier New"/>
                <w:b/>
                <w:bCs/>
                <w:color w:val="1F3864"/>
                <w:sz w:val="20"/>
                <w:szCs w:val="20"/>
              </w:rPr>
              <w:t xml:space="preserve">sys_user</w:t>
            </w:r>
          </w:p>
        </w:tc>
        <w:tc>
          <w:tcPr>
            <w:tcW w:type="dxa" w:w="2648"/>
            <w:tcBorders>
              <w:top w:val="single" w:color="B0C4DE" w:sz="1"/>
              <w:left w:val="single" w:color="B0C4DE" w:sz="1"/>
              <w:bottom w:val="single" w:color="B0C4DE" w:sz="1"/>
              <w:right w:val="single" w:color="B0C4DE" w:sz="1"/>
            </w:tcBorders>
            <w:shd w:fill="FFFFFF" w:val="clear"/>
            <w:tcMar>
              <w:top w:type="dxa" w:w="90"/>
              <w:left w:type="dxa" w:w="140"/>
              <w:bottom w:type="dxa" w:w="90"/>
              <w:right w:type="dxa" w:w="140"/>
            </w:tcMar>
          </w:tcPr>
          <w:p>
            <w:r>
              <w:rPr>
                <w:rFonts w:ascii="Courier New" w:cs="Courier New" w:eastAsia="Courier New" w:hAnsi="Courier New"/>
                <w:color w:val="4A5568"/>
                <w:sz w:val="20"/>
                <w:szCs w:val="20"/>
              </w:rPr>
              <w:t xml:space="preserve">department field (sys_id of department record)</w:t>
            </w:r>
          </w:p>
        </w:tc>
      </w:tr>
      <w:tr>
        <w:tc>
          <w:tcPr>
            <w:tcW w:type="dxa" w:w="2600"/>
            <w:tcBorders>
              <w:top w:val="single" w:color="B0C4DE" w:sz="1"/>
              <w:left w:val="single" w:color="B0C4DE" w:sz="1"/>
              <w:bottom w:val="single" w:color="B0C4DE" w:sz="1"/>
              <w:right w:val="single" w:color="B0C4DE" w:sz="1"/>
            </w:tcBorders>
            <w:shd w:fill="EBF3FB" w:val="clear"/>
            <w:tcMar>
              <w:top w:type="dxa" w:w="90"/>
              <w:left w:type="dxa" w:w="140"/>
              <w:bottom w:type="dxa" w:w="90"/>
              <w:right w:type="dxa" w:w="140"/>
            </w:tcMar>
          </w:tcPr>
          <w:p>
            <w:r>
              <w:rPr>
                <w:rFonts w:ascii="Courier New" w:cs="Courier New" w:eastAsia="Courier New" w:hAnsi="Courier New"/>
                <w:b/>
                <w:bCs/>
                <w:color w:val="1F3864"/>
                <w:sz w:val="20"/>
                <w:szCs w:val="20"/>
              </w:rPr>
              <w:t xml:space="preserve">task</w:t>
            </w:r>
          </w:p>
        </w:tc>
        <w:tc>
          <w:tcPr>
            <w:tcW w:type="dxa" w:w="1800"/>
            <w:tcBorders>
              <w:top w:val="single" w:color="B0C4DE" w:sz="1"/>
              <w:left w:val="single" w:color="B0C4DE" w:sz="1"/>
              <w:bottom w:val="single" w:color="B0C4DE" w:sz="1"/>
              <w:right w:val="single" w:color="B0C4DE" w:sz="1"/>
            </w:tcBorders>
            <w:shd w:fill="EBF3FB" w:val="clear"/>
            <w:tcMar>
              <w:top w:type="dxa" w:w="90"/>
              <w:left w:type="dxa" w:w="140"/>
              <w:bottom w:type="dxa" w:w="90"/>
              <w:right w:type="dxa" w:w="140"/>
            </w:tcMar>
          </w:tcPr>
          <w:p>
            <w:pPr>
              <w:jc w:val="center"/>
            </w:pPr>
            <w:r>
              <w:rPr>
                <w:rFonts w:ascii="Calibri" w:cs="Calibri" w:eastAsia="Calibri" w:hAnsi="Calibri"/>
                <w:b/>
                <w:bCs/>
                <w:color w:val="375A8C"/>
                <w:sz w:val="24"/>
                <w:szCs w:val="24"/>
              </w:rPr>
              <w:t xml:space="preserve">extended by →</w:t>
            </w:r>
          </w:p>
        </w:tc>
        <w:tc>
          <w:tcPr>
            <w:tcW w:type="dxa" w:w="2600"/>
            <w:tcBorders>
              <w:top w:val="single" w:color="B0C4DE" w:sz="1"/>
              <w:left w:val="single" w:color="B0C4DE" w:sz="1"/>
              <w:bottom w:val="single" w:color="B0C4DE" w:sz="1"/>
              <w:right w:val="single" w:color="B0C4DE" w:sz="1"/>
            </w:tcBorders>
            <w:shd w:fill="EBF3FB" w:val="clear"/>
            <w:tcMar>
              <w:top w:type="dxa" w:w="90"/>
              <w:left w:type="dxa" w:w="140"/>
              <w:bottom w:type="dxa" w:w="90"/>
              <w:right w:type="dxa" w:w="140"/>
            </w:tcMar>
          </w:tcPr>
          <w:p>
            <w:r>
              <w:rPr>
                <w:rFonts w:ascii="Courier New" w:cs="Courier New" w:eastAsia="Courier New" w:hAnsi="Courier New"/>
                <w:b/>
                <w:bCs/>
                <w:color w:val="1F3864"/>
                <w:sz w:val="20"/>
                <w:szCs w:val="20"/>
              </w:rPr>
              <w:t xml:space="preserve">incident</w:t>
            </w:r>
          </w:p>
        </w:tc>
        <w:tc>
          <w:tcPr>
            <w:tcW w:type="dxa" w:w="2648"/>
            <w:tcBorders>
              <w:top w:val="single" w:color="B0C4DE" w:sz="1"/>
              <w:left w:val="single" w:color="B0C4DE" w:sz="1"/>
              <w:bottom w:val="single" w:color="B0C4DE" w:sz="1"/>
              <w:right w:val="single" w:color="B0C4DE" w:sz="1"/>
            </w:tcBorders>
            <w:shd w:fill="EBF3FB" w:val="clear"/>
            <w:tcMar>
              <w:top w:type="dxa" w:w="90"/>
              <w:left w:type="dxa" w:w="140"/>
              <w:bottom w:type="dxa" w:w="90"/>
              <w:right w:type="dxa" w:w="140"/>
            </w:tcMar>
          </w:tcPr>
          <w:p>
            <w:r>
              <w:rPr>
                <w:rFonts w:ascii="Courier New" w:cs="Courier New" w:eastAsia="Courier New" w:hAnsi="Courier New"/>
                <w:color w:val="4A5568"/>
                <w:sz w:val="20"/>
                <w:szCs w:val="20"/>
              </w:rPr>
              <w:t xml:space="preserve">All inherited fields including priority</w:t>
            </w:r>
          </w:p>
        </w:tc>
      </w:tr>
      <w:tr>
        <w:tc>
          <w:tcPr>
            <w:tcW w:type="dxa" w:w="2600"/>
            <w:tcBorders>
              <w:top w:val="single" w:color="B0C4DE" w:sz="1"/>
              <w:left w:val="single" w:color="B0C4DE" w:sz="1"/>
              <w:bottom w:val="single" w:color="B0C4DE" w:sz="1"/>
              <w:right w:val="single" w:color="B0C4DE" w:sz="1"/>
            </w:tcBorders>
            <w:shd w:fill="FFFFFF" w:val="clear"/>
            <w:tcMar>
              <w:top w:type="dxa" w:w="90"/>
              <w:left w:type="dxa" w:w="140"/>
              <w:bottom w:type="dxa" w:w="90"/>
              <w:right w:type="dxa" w:w="140"/>
            </w:tcMar>
          </w:tcPr>
          <w:p>
            <w:r>
              <w:rPr>
                <w:rFonts w:ascii="Courier New" w:cs="Courier New" w:eastAsia="Courier New" w:hAnsi="Courier New"/>
                <w:b/>
                <w:bCs/>
                <w:color w:val="1F3864"/>
                <w:sz w:val="20"/>
                <w:szCs w:val="20"/>
              </w:rPr>
              <w:t xml:space="preserve">incident</w:t>
            </w:r>
          </w:p>
        </w:tc>
        <w:tc>
          <w:tcPr>
            <w:tcW w:type="dxa" w:w="1800"/>
            <w:tcBorders>
              <w:top w:val="single" w:color="B0C4DE" w:sz="1"/>
              <w:left w:val="single" w:color="B0C4DE" w:sz="1"/>
              <w:bottom w:val="single" w:color="B0C4DE" w:sz="1"/>
              <w:right w:val="single" w:color="B0C4DE" w:sz="1"/>
            </w:tcBorders>
            <w:shd w:fill="FFFFFF" w:val="clear"/>
            <w:tcMar>
              <w:top w:type="dxa" w:w="90"/>
              <w:left w:type="dxa" w:w="140"/>
              <w:bottom w:type="dxa" w:w="90"/>
              <w:right w:type="dxa" w:w="140"/>
            </w:tcMar>
          </w:tcPr>
          <w:p>
            <w:pPr>
              <w:jc w:val="center"/>
            </w:pPr>
            <w:r>
              <w:rPr>
                <w:rFonts w:ascii="Calibri" w:cs="Calibri" w:eastAsia="Calibri" w:hAnsi="Calibri"/>
                <w:b/>
                <w:bCs/>
                <w:color w:val="375A8C"/>
                <w:sz w:val="24"/>
                <w:szCs w:val="24"/>
              </w:rPr>
              <w:t xml:space="preserve">overridden by →</w:t>
            </w:r>
          </w:p>
        </w:tc>
        <w:tc>
          <w:tcPr>
            <w:tcW w:type="dxa" w:w="2600"/>
            <w:tcBorders>
              <w:top w:val="single" w:color="B0C4DE" w:sz="1"/>
              <w:left w:val="single" w:color="B0C4DE" w:sz="1"/>
              <w:bottom w:val="single" w:color="B0C4DE" w:sz="1"/>
              <w:right w:val="single" w:color="B0C4DE" w:sz="1"/>
            </w:tcBorders>
            <w:shd w:fill="FFFFFF" w:val="clear"/>
            <w:tcMar>
              <w:top w:type="dxa" w:w="90"/>
              <w:left w:type="dxa" w:w="140"/>
              <w:bottom w:type="dxa" w:w="90"/>
              <w:right w:type="dxa" w:w="140"/>
            </w:tcMar>
          </w:tcPr>
          <w:p>
            <w:r>
              <w:rPr>
                <w:rFonts w:ascii="Courier New" w:cs="Courier New" w:eastAsia="Courier New" w:hAnsi="Courier New"/>
                <w:b/>
                <w:bCs/>
                <w:color w:val="1F3864"/>
                <w:sz w:val="20"/>
                <w:szCs w:val="20"/>
              </w:rPr>
              <w:t xml:space="preserve">Dictionary</w:t>
            </w:r>
          </w:p>
        </w:tc>
        <w:tc>
          <w:tcPr>
            <w:tcW w:type="dxa" w:w="2648"/>
            <w:tcBorders>
              <w:top w:val="single" w:color="B0C4DE" w:sz="1"/>
              <w:left w:val="single" w:color="B0C4DE" w:sz="1"/>
              <w:bottom w:val="single" w:color="B0C4DE" w:sz="1"/>
              <w:right w:val="single" w:color="B0C4DE" w:sz="1"/>
            </w:tcBorders>
            <w:shd w:fill="FFFFFF" w:val="clear"/>
            <w:tcMar>
              <w:top w:type="dxa" w:w="90"/>
              <w:left w:type="dxa" w:w="140"/>
              <w:bottom w:type="dxa" w:w="90"/>
              <w:right w:type="dxa" w:w="140"/>
            </w:tcMar>
          </w:tcPr>
          <w:p>
            <w:r>
              <w:rPr>
                <w:rFonts w:ascii="Courier New" w:cs="Courier New" w:eastAsia="Courier New" w:hAnsi="Courier New"/>
                <w:color w:val="4A5568"/>
                <w:sz w:val="20"/>
                <w:szCs w:val="20"/>
              </w:rPr>
              <w:t xml:space="preserve">priority field (default value: 4 changed to 3)</w:t>
            </w:r>
          </w:p>
        </w:tc>
      </w:tr>
    </w:tbl>
    <w:p>
      <w:pPr>
        <w:spacing w:before="120" w:after="80"/>
      </w:pPr>
      <w:r>
        <w:t xml:space="preserve"/>
      </w:r>
    </w:p>
    <w:p>
      <w:pPr>
        <w:pStyle w:val="Heading2"/>
        <w:spacing w:before="300" w:after="140"/>
      </w:pPr>
      <w:r>
        <w:rPr>
          <w:rFonts w:ascii="Calibri" w:cs="Calibri" w:eastAsia="Calibri" w:hAnsi="Calibri"/>
          <w:b/>
          <w:bCs/>
          <w:color w:val="2E5496"/>
          <w:sz w:val="28"/>
          <w:szCs w:val="28"/>
        </w:rPr>
        <w:t xml:space="preserve">4.3 Relationship Design Rationale</w:t>
      </w:r>
    </w:p>
    <w:p>
      <w:pPr>
        <w:spacing w:line="360" w:lineRule="auto" w:before="80" w:after="160"/>
        <w:ind w:firstLine="720"/>
        <w:jc w:val="both"/>
      </w:pPr>
      <w:r>
        <w:rPr>
          <w:rFonts w:ascii="Calibri" w:cs="Calibri" w:eastAsia="Calibri" w:hAnsi="Calibri"/>
          <w:sz w:val="24"/>
          <w:szCs w:val="24"/>
        </w:rPr>
        <w:t xml:space="preserve">The relational design of the ServiceNow database means that the success of the import automation depends on the correct resolution of reference fields during the transformation process. The department field in sys_user stores the sys_id of the corresponding department record rather than the department name as a plain text string. Similarly, the manager field stores the sys_id of the manager's user record in sys_user.</w:t>
      </w:r>
    </w:p>
    <w:p>
      <w:pPr>
        <w:spacing w:line="360" w:lineRule="auto" w:before="80" w:after="160"/>
        <w:ind w:firstLine="720"/>
        <w:jc w:val="both"/>
      </w:pPr>
      <w:r>
        <w:rPr>
          <w:rFonts w:ascii="Calibri" w:cs="Calibri" w:eastAsia="Calibri" w:hAnsi="Calibri"/>
          <w:sz w:val="24"/>
          <w:szCs w:val="24"/>
        </w:rPr>
        <w:t xml:space="preserve">This relational structure is precisely what enables Dot Walking to function effectively. Because the manager field is a reference to another sys_user record, Dot Walking can follow this reference and retrieve any field from that referenced record simply by constructing the appropriate expression. The design explicitly accounts for these relational dependencies by confirming that all referenced records exist in their respective tables before the import transformation is executed.</w:t>
      </w:r>
    </w:p>
    <w:p>
      <w:pPr>
        <w:spacing w:before="100" w:after="80"/>
      </w:pPr>
      <w: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F3864" w:sz="1"/>
              <w:left w:val="single" w:color="1F3864" w:sz="1"/>
              <w:bottom w:val="single" w:color="1F3864" w:sz="1"/>
              <w:right w:val="single" w:color="1F3864" w:sz="1"/>
            </w:tcBorders>
            <w:shd w:fill="1F3864" w:val="clear"/>
            <w:tcMar>
              <w:top w:type="dxa" w:w="120"/>
              <w:left w:type="dxa" w:w="240"/>
              <w:bottom w:type="dxa" w:w="120"/>
              <w:right w:type="dxa" w:w="240"/>
            </w:tcMar>
          </w:tcPr>
          <w:p>
            <w:r>
              <w:rPr>
                <w:rFonts w:ascii="Calibri" w:cs="Calibri" w:eastAsia="Calibri" w:hAnsi="Calibri"/>
                <w:b/>
                <w:bCs/>
                <w:color w:val="FFFFFF"/>
                <w:sz w:val="22"/>
                <w:szCs w:val="22"/>
              </w:rPr>
              <w:t xml:space="preserve">Section 5  —  Field Design</w:t>
            </w:r>
          </w:p>
        </w:tc>
      </w:tr>
    </w:tbl>
    <w:p>
      <w:pPr>
        <w:spacing w:before="80" w:after="80"/>
      </w:pPr>
      <w:r>
        <w:t xml:space="preserve"/>
      </w:r>
    </w:p>
    <w:p>
      <w:pPr>
        <w:pStyle w:val="Heading1"/>
        <w:spacing w:before="440" w:after="160"/>
      </w:pPr>
      <w:r>
        <w:rPr>
          <w:rFonts w:ascii="Calibri" w:cs="Calibri" w:eastAsia="Calibri" w:hAnsi="Calibri"/>
          <w:b/>
          <w:bCs/>
          <w:color w:val="1F3864"/>
          <w:sz w:val="34"/>
          <w:szCs w:val="34"/>
        </w:rPr>
        <w:t xml:space="preserve">5. Field Design</w:t>
      </w:r>
    </w:p>
    <w:p>
      <w:pPr>
        <w:pBdr>
          <w:bottom w:val="single" w:color="2E5496" w:sz="6" w:space="1"/>
        </w:pBdr>
        <w:spacing w:before="100" w:after="100"/>
      </w:pPr>
      <w:r>
        <w:t xml:space="preserve"/>
      </w:r>
    </w:p>
    <w:p>
      <w:pPr>
        <w:spacing w:before="60" w:after="80"/>
      </w:pPr>
      <w:r>
        <w:t xml:space="preserve"/>
      </w:r>
    </w:p>
    <w:p>
      <w:pPr>
        <w:spacing w:line="360" w:lineRule="auto" w:before="80" w:after="160"/>
        <w:ind w:firstLine="720"/>
        <w:jc w:val="both"/>
      </w:pPr>
      <w:r>
        <w:rPr>
          <w:rFonts w:ascii="Calibri" w:cs="Calibri" w:eastAsia="Calibri" w:hAnsi="Calibri"/>
          <w:sz w:val="24"/>
          <w:szCs w:val="24"/>
        </w:rPr>
        <w:t xml:space="preserve">The field design specifies each data attribute involved in the import process, its data type, the manner in which it is mapped between the source and target tables, and any special handling requirements. A precise field design is the foundation of an accurate Transform Map configuration and directly determines the quality of the employee records stored in sys_user after transformation.</w:t>
      </w:r>
    </w:p>
    <w:p>
      <w:pPr>
        <w:pStyle w:val="Heading2"/>
        <w:spacing w:before="300" w:after="140"/>
      </w:pPr>
      <w:r>
        <w:rPr>
          <w:rFonts w:ascii="Calibri" w:cs="Calibri" w:eastAsia="Calibri" w:hAnsi="Calibri"/>
          <w:b/>
          <w:bCs/>
          <w:color w:val="2E5496"/>
          <w:sz w:val="28"/>
          <w:szCs w:val="28"/>
        </w:rPr>
        <w:t xml:space="preserve">5.1 Field Mapping Specification</w:t>
      </w:r>
    </w:p>
    <w:p>
      <w:pPr>
        <w:spacing w:before="60" w:after="80"/>
      </w:pPr>
      <w: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700"/>
        <w:gridCol w:w="1800"/>
        <w:gridCol w:w="2000"/>
        <w:gridCol w:w="1800"/>
        <w:gridCol w:w="2348"/>
      </w:tblGrid>
      <w:tr>
        <w:trPr>
          <w:tblHeader/>
        </w:trPr>
        <w:tc>
          <w:tcPr>
            <w:tcW w:type="dxa" w:w="1700"/>
            <w:tcBorders>
              <w:top w:val="single" w:color="1F3864" w:sz="1"/>
              <w:left w:val="single" w:color="1F3864" w:sz="1"/>
              <w:bottom w:val="single" w:color="1F3864" w:sz="1"/>
              <w:right w:val="single" w:color="1F3864" w:sz="1"/>
            </w:tcBorders>
            <w:shd w:fill="1F3864" w:val="clear"/>
            <w:tcMar>
              <w:top w:type="dxa" w:w="100"/>
              <w:left w:type="dxa" w:w="130"/>
              <w:bottom w:type="dxa" w:w="100"/>
              <w:right w:type="dxa" w:w="130"/>
            </w:tcMar>
          </w:tcPr>
          <w:p>
            <w:pPr>
              <w:jc w:val="center"/>
            </w:pPr>
            <w:r>
              <w:rPr>
                <w:rFonts w:ascii="Calibri" w:cs="Calibri" w:eastAsia="Calibri" w:hAnsi="Calibri"/>
                <w:b/>
                <w:bCs/>
                <w:color w:val="FFFFFF"/>
                <w:sz w:val="24"/>
                <w:szCs w:val="24"/>
              </w:rPr>
              <w:t xml:space="preserve">Source Field</w:t>
            </w:r>
          </w:p>
        </w:tc>
        <w:tc>
          <w:tcPr>
            <w:tcW w:type="dxa" w:w="1800"/>
            <w:tcBorders>
              <w:top w:val="single" w:color="1F3864" w:sz="1"/>
              <w:left w:val="single" w:color="1F3864" w:sz="1"/>
              <w:bottom w:val="single" w:color="1F3864" w:sz="1"/>
              <w:right w:val="single" w:color="1F3864" w:sz="1"/>
            </w:tcBorders>
            <w:shd w:fill="1F3864" w:val="clear"/>
            <w:tcMar>
              <w:top w:type="dxa" w:w="100"/>
              <w:left w:type="dxa" w:w="130"/>
              <w:bottom w:type="dxa" w:w="100"/>
              <w:right w:type="dxa" w:w="130"/>
            </w:tcMar>
          </w:tcPr>
          <w:p>
            <w:pPr>
              <w:jc w:val="center"/>
            </w:pPr>
            <w:r>
              <w:rPr>
                <w:rFonts w:ascii="Calibri" w:cs="Calibri" w:eastAsia="Calibri" w:hAnsi="Calibri"/>
                <w:b/>
                <w:bCs/>
                <w:color w:val="FFFFFF"/>
                <w:sz w:val="24"/>
                <w:szCs w:val="24"/>
              </w:rPr>
              <w:t xml:space="preserve">Data Type</w:t>
            </w:r>
          </w:p>
        </w:tc>
        <w:tc>
          <w:tcPr>
            <w:tcW w:type="dxa" w:w="2000"/>
            <w:tcBorders>
              <w:top w:val="single" w:color="1F3864" w:sz="1"/>
              <w:left w:val="single" w:color="1F3864" w:sz="1"/>
              <w:bottom w:val="single" w:color="1F3864" w:sz="1"/>
              <w:right w:val="single" w:color="1F3864" w:sz="1"/>
            </w:tcBorders>
            <w:shd w:fill="1F3864" w:val="clear"/>
            <w:tcMar>
              <w:top w:type="dxa" w:w="100"/>
              <w:left w:type="dxa" w:w="130"/>
              <w:bottom w:type="dxa" w:w="100"/>
              <w:right w:type="dxa" w:w="130"/>
            </w:tcMar>
          </w:tcPr>
          <w:p>
            <w:pPr>
              <w:jc w:val="center"/>
            </w:pPr>
            <w:r>
              <w:rPr>
                <w:rFonts w:ascii="Calibri" w:cs="Calibri" w:eastAsia="Calibri" w:hAnsi="Calibri"/>
                <w:b/>
                <w:bCs/>
                <w:color w:val="FFFFFF"/>
                <w:sz w:val="24"/>
                <w:szCs w:val="24"/>
              </w:rPr>
              <w:t xml:space="preserve">Target Field (sys_user)</w:t>
            </w:r>
          </w:p>
        </w:tc>
        <w:tc>
          <w:tcPr>
            <w:tcW w:type="dxa" w:w="1800"/>
            <w:tcBorders>
              <w:top w:val="single" w:color="1F3864" w:sz="1"/>
              <w:left w:val="single" w:color="1F3864" w:sz="1"/>
              <w:bottom w:val="single" w:color="1F3864" w:sz="1"/>
              <w:right w:val="single" w:color="1F3864" w:sz="1"/>
            </w:tcBorders>
            <w:shd w:fill="1F3864" w:val="clear"/>
            <w:tcMar>
              <w:top w:type="dxa" w:w="100"/>
              <w:left w:type="dxa" w:w="130"/>
              <w:bottom w:type="dxa" w:w="100"/>
              <w:right w:type="dxa" w:w="130"/>
            </w:tcMar>
          </w:tcPr>
          <w:p>
            <w:pPr>
              <w:jc w:val="center"/>
            </w:pPr>
            <w:r>
              <w:rPr>
                <w:rFonts w:ascii="Calibri" w:cs="Calibri" w:eastAsia="Calibri" w:hAnsi="Calibri"/>
                <w:b/>
                <w:bCs/>
                <w:color w:val="FFFFFF"/>
                <w:sz w:val="24"/>
                <w:szCs w:val="24"/>
              </w:rPr>
              <w:t xml:space="preserve">Mapping Method</w:t>
            </w:r>
          </w:p>
        </w:tc>
        <w:tc>
          <w:tcPr>
            <w:tcW w:type="dxa" w:w="2348"/>
            <w:tcBorders>
              <w:top w:val="single" w:color="1F3864" w:sz="1"/>
              <w:left w:val="single" w:color="1F3864" w:sz="1"/>
              <w:bottom w:val="single" w:color="1F3864" w:sz="1"/>
              <w:right w:val="single" w:color="1F3864" w:sz="1"/>
            </w:tcBorders>
            <w:shd w:fill="1F3864" w:val="clear"/>
            <w:tcMar>
              <w:top w:type="dxa" w:w="100"/>
              <w:left w:type="dxa" w:w="130"/>
              <w:bottom w:type="dxa" w:w="100"/>
              <w:right w:type="dxa" w:w="130"/>
            </w:tcMar>
          </w:tcPr>
          <w:p>
            <w:pPr>
              <w:jc w:val="center"/>
            </w:pPr>
            <w:r>
              <w:rPr>
                <w:rFonts w:ascii="Calibri" w:cs="Calibri" w:eastAsia="Calibri" w:hAnsi="Calibri"/>
                <w:b/>
                <w:bCs/>
                <w:color w:val="FFFFFF"/>
                <w:sz w:val="24"/>
                <w:szCs w:val="24"/>
              </w:rPr>
              <w:t xml:space="preserve">Special Handling</w:t>
            </w:r>
          </w:p>
        </w:tc>
      </w:tr>
      <w:tr>
        <w:tc>
          <w:tcPr>
            <w:tcW w:type="dxa" w:w="1700"/>
            <w:tcBorders>
              <w:top w:val="single" w:color="B0C4DE" w:sz="1"/>
              <w:left w:val="single" w:color="B0C4DE" w:sz="1"/>
              <w:bottom w:val="single" w:color="B0C4DE" w:sz="1"/>
              <w:right w:val="single" w:color="B0C4DE" w:sz="1"/>
            </w:tcBorders>
            <w:shd w:fill="EBF3FB" w:val="clear"/>
            <w:tcMar>
              <w:top w:type="dxa" w:w="90"/>
              <w:left w:type="dxa" w:w="130"/>
              <w:bottom w:type="dxa" w:w="90"/>
              <w:right w:type="dxa" w:w="130"/>
            </w:tcMar>
          </w:tcPr>
          <w:p>
            <w:r>
              <w:rPr>
                <w:rFonts w:ascii="Courier New" w:cs="Courier New" w:eastAsia="Courier New" w:hAnsi="Courier New"/>
                <w:b/>
                <w:bCs/>
                <w:color w:val="1F3864"/>
                <w:sz w:val="20"/>
                <w:szCs w:val="20"/>
              </w:rPr>
              <w:t xml:space="preserve">Name</w:t>
            </w:r>
          </w:p>
        </w:tc>
        <w:tc>
          <w:tcPr>
            <w:tcW w:type="dxa" w:w="1800"/>
            <w:tcBorders>
              <w:top w:val="single" w:color="B0C4DE" w:sz="1"/>
              <w:left w:val="single" w:color="B0C4DE" w:sz="1"/>
              <w:bottom w:val="single" w:color="B0C4DE" w:sz="1"/>
              <w:right w:val="single" w:color="B0C4DE" w:sz="1"/>
            </w:tcBorders>
            <w:shd w:fill="EBF3FB" w:val="clear"/>
            <w:tcMar>
              <w:top w:type="dxa" w:w="90"/>
              <w:left w:type="dxa" w:w="130"/>
              <w:bottom w:type="dxa" w:w="90"/>
              <w:right w:type="dxa" w:w="130"/>
            </w:tcMar>
          </w:tcPr>
          <w:p>
            <w:pPr>
              <w:jc w:val="center"/>
            </w:pPr>
            <w:r>
              <w:rPr>
                <w:rFonts w:ascii="Calibri" w:cs="Calibri" w:eastAsia="Calibri" w:hAnsi="Calibri"/>
                <w:sz w:val="24"/>
                <w:szCs w:val="24"/>
              </w:rPr>
              <w:t xml:space="preserve">String</w:t>
            </w:r>
          </w:p>
        </w:tc>
        <w:tc>
          <w:tcPr>
            <w:tcW w:type="dxa" w:w="2000"/>
            <w:tcBorders>
              <w:top w:val="single" w:color="B0C4DE" w:sz="1"/>
              <w:left w:val="single" w:color="B0C4DE" w:sz="1"/>
              <w:bottom w:val="single" w:color="B0C4DE" w:sz="1"/>
              <w:right w:val="single" w:color="B0C4DE" w:sz="1"/>
            </w:tcBorders>
            <w:shd w:fill="EBF3FB" w:val="clear"/>
            <w:tcMar>
              <w:top w:type="dxa" w:w="90"/>
              <w:left w:type="dxa" w:w="130"/>
              <w:bottom w:type="dxa" w:w="90"/>
              <w:right w:type="dxa" w:w="130"/>
            </w:tcMar>
          </w:tcPr>
          <w:p>
            <w:r>
              <w:rPr>
                <w:rFonts w:ascii="Courier New" w:cs="Courier New" w:eastAsia="Courier New" w:hAnsi="Courier New"/>
                <w:b/>
                <w:bCs/>
                <w:color w:val="375A8C"/>
                <w:sz w:val="20"/>
                <w:szCs w:val="20"/>
              </w:rPr>
              <w:t xml:space="preserve">name</w:t>
            </w:r>
          </w:p>
        </w:tc>
        <w:tc>
          <w:tcPr>
            <w:tcW w:type="dxa" w:w="1800"/>
            <w:tcBorders>
              <w:top w:val="single" w:color="B0C4DE" w:sz="1"/>
              <w:left w:val="single" w:color="B0C4DE" w:sz="1"/>
              <w:bottom w:val="single" w:color="B0C4DE" w:sz="1"/>
              <w:right w:val="single" w:color="B0C4DE" w:sz="1"/>
            </w:tcBorders>
            <w:shd w:fill="EBF3FB" w:val="clear"/>
            <w:tcMar>
              <w:top w:type="dxa" w:w="90"/>
              <w:left w:type="dxa" w:w="130"/>
              <w:bottom w:type="dxa" w:w="90"/>
              <w:right w:type="dxa" w:w="130"/>
            </w:tcMar>
          </w:tcPr>
          <w:p>
            <w:pPr>
              <w:jc w:val="center"/>
            </w:pPr>
            <w:r>
              <w:rPr>
                <w:rFonts w:ascii="Calibri" w:cs="Calibri" w:eastAsia="Calibri" w:hAnsi="Calibri"/>
                <w:b w:val="false"/>
                <w:bCs w:val="false"/>
                <w:sz w:val="24"/>
                <w:szCs w:val="24"/>
              </w:rPr>
              <w:t xml:space="preserve">Auto-Mapped</w:t>
            </w:r>
          </w:p>
        </w:tc>
        <w:tc>
          <w:tcPr>
            <w:tcW w:type="dxa" w:w="2348"/>
            <w:tcBorders>
              <w:top w:val="single" w:color="B0C4DE" w:sz="1"/>
              <w:left w:val="single" w:color="B0C4DE" w:sz="1"/>
              <w:bottom w:val="single" w:color="B0C4DE" w:sz="1"/>
              <w:right w:val="single" w:color="B0C4DE" w:sz="1"/>
            </w:tcBorders>
            <w:shd w:fill="EBF3FB" w:val="clear"/>
            <w:tcMar>
              <w:top w:type="dxa" w:w="90"/>
              <w:left w:type="dxa" w:w="130"/>
              <w:bottom w:type="dxa" w:w="90"/>
              <w:right w:type="dxa" w:w="130"/>
            </w:tcMar>
          </w:tcPr>
          <w:p>
            <w:pPr>
              <w:jc w:val="both"/>
            </w:pPr>
            <w:r>
              <w:rPr>
                <w:rFonts w:ascii="Calibri" w:cs="Calibri" w:eastAsia="Calibri" w:hAnsi="Calibri"/>
                <w:sz w:val="24"/>
                <w:szCs w:val="24"/>
              </w:rPr>
              <w:t xml:space="preserve">Mapped directly as a plain text string to the full name field in sys_user. No special handling required.</w:t>
            </w:r>
          </w:p>
        </w:tc>
      </w:tr>
      <w:tr>
        <w:tc>
          <w:tcPr>
            <w:tcW w:type="dxa" w:w="1700"/>
            <w:tcBorders>
              <w:top w:val="single" w:color="B0C4DE" w:sz="1"/>
              <w:left w:val="single" w:color="B0C4DE" w:sz="1"/>
              <w:bottom w:val="single" w:color="B0C4DE" w:sz="1"/>
              <w:right w:val="single" w:color="B0C4DE" w:sz="1"/>
            </w:tcBorders>
            <w:shd w:fill="FFFFFF" w:val="clear"/>
            <w:tcMar>
              <w:top w:type="dxa" w:w="90"/>
              <w:left w:type="dxa" w:w="130"/>
              <w:bottom w:type="dxa" w:w="90"/>
              <w:right w:type="dxa" w:w="130"/>
            </w:tcMar>
          </w:tcPr>
          <w:p>
            <w:r>
              <w:rPr>
                <w:rFonts w:ascii="Courier New" w:cs="Courier New" w:eastAsia="Courier New" w:hAnsi="Courier New"/>
                <w:b/>
                <w:bCs/>
                <w:color w:val="1F3864"/>
                <w:sz w:val="20"/>
                <w:szCs w:val="20"/>
              </w:rPr>
              <w:t xml:space="preserve">Email</w:t>
            </w:r>
          </w:p>
        </w:tc>
        <w:tc>
          <w:tcPr>
            <w:tcW w:type="dxa" w:w="1800"/>
            <w:tcBorders>
              <w:top w:val="single" w:color="B0C4DE" w:sz="1"/>
              <w:left w:val="single" w:color="B0C4DE" w:sz="1"/>
              <w:bottom w:val="single" w:color="B0C4DE" w:sz="1"/>
              <w:right w:val="single" w:color="B0C4DE" w:sz="1"/>
            </w:tcBorders>
            <w:shd w:fill="FFFFFF" w:val="clear"/>
            <w:tcMar>
              <w:top w:type="dxa" w:w="90"/>
              <w:left w:type="dxa" w:w="130"/>
              <w:bottom w:type="dxa" w:w="90"/>
              <w:right w:type="dxa" w:w="130"/>
            </w:tcMar>
          </w:tcPr>
          <w:p>
            <w:pPr>
              <w:jc w:val="center"/>
            </w:pPr>
            <w:r>
              <w:rPr>
                <w:rFonts w:ascii="Calibri" w:cs="Calibri" w:eastAsia="Calibri" w:hAnsi="Calibri"/>
                <w:sz w:val="24"/>
                <w:szCs w:val="24"/>
              </w:rPr>
              <w:t xml:space="preserve">String</w:t>
            </w:r>
          </w:p>
        </w:tc>
        <w:tc>
          <w:tcPr>
            <w:tcW w:type="dxa" w:w="2000"/>
            <w:tcBorders>
              <w:top w:val="single" w:color="B0C4DE" w:sz="1"/>
              <w:left w:val="single" w:color="B0C4DE" w:sz="1"/>
              <w:bottom w:val="single" w:color="B0C4DE" w:sz="1"/>
              <w:right w:val="single" w:color="B0C4DE" w:sz="1"/>
            </w:tcBorders>
            <w:shd w:fill="FFFFFF" w:val="clear"/>
            <w:tcMar>
              <w:top w:type="dxa" w:w="90"/>
              <w:left w:type="dxa" w:w="130"/>
              <w:bottom w:type="dxa" w:w="90"/>
              <w:right w:type="dxa" w:w="130"/>
            </w:tcMar>
          </w:tcPr>
          <w:p>
            <w:r>
              <w:rPr>
                <w:rFonts w:ascii="Courier New" w:cs="Courier New" w:eastAsia="Courier New" w:hAnsi="Courier New"/>
                <w:b/>
                <w:bCs/>
                <w:color w:val="375A8C"/>
                <w:sz w:val="20"/>
                <w:szCs w:val="20"/>
              </w:rPr>
              <w:t xml:space="preserve">email</w:t>
            </w:r>
          </w:p>
        </w:tc>
        <w:tc>
          <w:tcPr>
            <w:tcW w:type="dxa" w:w="1800"/>
            <w:tcBorders>
              <w:top w:val="single" w:color="B0C4DE" w:sz="1"/>
              <w:left w:val="single" w:color="B0C4DE" w:sz="1"/>
              <w:bottom w:val="single" w:color="B0C4DE" w:sz="1"/>
              <w:right w:val="single" w:color="B0C4DE" w:sz="1"/>
            </w:tcBorders>
            <w:shd w:fill="FFFFFF" w:val="clear"/>
            <w:tcMar>
              <w:top w:type="dxa" w:w="90"/>
              <w:left w:type="dxa" w:w="130"/>
              <w:bottom w:type="dxa" w:w="90"/>
              <w:right w:type="dxa" w:w="130"/>
            </w:tcMar>
          </w:tcPr>
          <w:p>
            <w:pPr>
              <w:jc w:val="center"/>
            </w:pPr>
            <w:r>
              <w:rPr>
                <w:rFonts w:ascii="Calibri" w:cs="Calibri" w:eastAsia="Calibri" w:hAnsi="Calibri"/>
                <w:b w:val="false"/>
                <w:bCs w:val="false"/>
                <w:sz w:val="24"/>
                <w:szCs w:val="24"/>
              </w:rPr>
              <w:t xml:space="preserve">Auto-Mapped</w:t>
            </w:r>
          </w:p>
        </w:tc>
        <w:tc>
          <w:tcPr>
            <w:tcW w:type="dxa" w:w="2348"/>
            <w:tcBorders>
              <w:top w:val="single" w:color="B0C4DE" w:sz="1"/>
              <w:left w:val="single" w:color="B0C4DE" w:sz="1"/>
              <w:bottom w:val="single" w:color="B0C4DE" w:sz="1"/>
              <w:right w:val="single" w:color="B0C4DE" w:sz="1"/>
            </w:tcBorders>
            <w:shd w:fill="FFFFFF" w:val="clear"/>
            <w:tcMar>
              <w:top w:type="dxa" w:w="90"/>
              <w:left w:type="dxa" w:w="130"/>
              <w:bottom w:type="dxa" w:w="90"/>
              <w:right w:type="dxa" w:w="130"/>
            </w:tcMar>
          </w:tcPr>
          <w:p>
            <w:pPr>
              <w:jc w:val="both"/>
            </w:pPr>
            <w:r>
              <w:rPr>
                <w:rFonts w:ascii="Calibri" w:cs="Calibri" w:eastAsia="Calibri" w:hAnsi="Calibri"/>
                <w:sz w:val="24"/>
                <w:szCs w:val="24"/>
              </w:rPr>
              <w:t xml:space="preserve">Designated as the coalesce field. Used as the unique record identifier to prevent duplicate entries during repeated import operations.</w:t>
            </w:r>
          </w:p>
        </w:tc>
      </w:tr>
      <w:tr>
        <w:tc>
          <w:tcPr>
            <w:tcW w:type="dxa" w:w="1700"/>
            <w:tcBorders>
              <w:top w:val="single" w:color="B0C4DE" w:sz="1"/>
              <w:left w:val="single" w:color="B0C4DE" w:sz="1"/>
              <w:bottom w:val="single" w:color="B0C4DE" w:sz="1"/>
              <w:right w:val="single" w:color="B0C4DE" w:sz="1"/>
            </w:tcBorders>
            <w:shd w:fill="EBF3FB" w:val="clear"/>
            <w:tcMar>
              <w:top w:type="dxa" w:w="90"/>
              <w:left w:type="dxa" w:w="130"/>
              <w:bottom w:type="dxa" w:w="90"/>
              <w:right w:type="dxa" w:w="130"/>
            </w:tcMar>
          </w:tcPr>
          <w:p>
            <w:r>
              <w:rPr>
                <w:rFonts w:ascii="Courier New" w:cs="Courier New" w:eastAsia="Courier New" w:hAnsi="Courier New"/>
                <w:b/>
                <w:bCs/>
                <w:color w:val="1F3864"/>
                <w:sz w:val="20"/>
                <w:szCs w:val="20"/>
              </w:rPr>
              <w:t xml:space="preserve">Department</w:t>
            </w:r>
          </w:p>
        </w:tc>
        <w:tc>
          <w:tcPr>
            <w:tcW w:type="dxa" w:w="1800"/>
            <w:tcBorders>
              <w:top w:val="single" w:color="B0C4DE" w:sz="1"/>
              <w:left w:val="single" w:color="B0C4DE" w:sz="1"/>
              <w:bottom w:val="single" w:color="B0C4DE" w:sz="1"/>
              <w:right w:val="single" w:color="B0C4DE" w:sz="1"/>
            </w:tcBorders>
            <w:shd w:fill="EBF3FB" w:val="clear"/>
            <w:tcMar>
              <w:top w:type="dxa" w:w="90"/>
              <w:left w:type="dxa" w:w="130"/>
              <w:bottom w:type="dxa" w:w="90"/>
              <w:right w:type="dxa" w:w="130"/>
            </w:tcMar>
          </w:tcPr>
          <w:p>
            <w:pPr>
              <w:jc w:val="center"/>
            </w:pPr>
            <w:r>
              <w:rPr>
                <w:rFonts w:ascii="Calibri" w:cs="Calibri" w:eastAsia="Calibri" w:hAnsi="Calibri"/>
                <w:sz w:val="24"/>
                <w:szCs w:val="24"/>
              </w:rPr>
              <w:t xml:space="preserve">String</w:t>
            </w:r>
          </w:p>
        </w:tc>
        <w:tc>
          <w:tcPr>
            <w:tcW w:type="dxa" w:w="2000"/>
            <w:tcBorders>
              <w:top w:val="single" w:color="B0C4DE" w:sz="1"/>
              <w:left w:val="single" w:color="B0C4DE" w:sz="1"/>
              <w:bottom w:val="single" w:color="B0C4DE" w:sz="1"/>
              <w:right w:val="single" w:color="B0C4DE" w:sz="1"/>
            </w:tcBorders>
            <w:shd w:fill="EBF3FB" w:val="clear"/>
            <w:tcMar>
              <w:top w:type="dxa" w:w="90"/>
              <w:left w:type="dxa" w:w="130"/>
              <w:bottom w:type="dxa" w:w="90"/>
              <w:right w:type="dxa" w:w="130"/>
            </w:tcMar>
          </w:tcPr>
          <w:p>
            <w:r>
              <w:rPr>
                <w:rFonts w:ascii="Courier New" w:cs="Courier New" w:eastAsia="Courier New" w:hAnsi="Courier New"/>
                <w:b/>
                <w:bCs/>
                <w:color w:val="375A8C"/>
                <w:sz w:val="20"/>
                <w:szCs w:val="20"/>
              </w:rPr>
              <w:t xml:space="preserve">department</w:t>
            </w:r>
          </w:p>
        </w:tc>
        <w:tc>
          <w:tcPr>
            <w:tcW w:type="dxa" w:w="1800"/>
            <w:tcBorders>
              <w:top w:val="single" w:color="B0C4DE" w:sz="1"/>
              <w:left w:val="single" w:color="B0C4DE" w:sz="1"/>
              <w:bottom w:val="single" w:color="B0C4DE" w:sz="1"/>
              <w:right w:val="single" w:color="B0C4DE" w:sz="1"/>
            </w:tcBorders>
            <w:shd w:fill="EBF3FB" w:val="clear"/>
            <w:tcMar>
              <w:top w:type="dxa" w:w="90"/>
              <w:left w:type="dxa" w:w="130"/>
              <w:bottom w:type="dxa" w:w="90"/>
              <w:right w:type="dxa" w:w="130"/>
            </w:tcMar>
          </w:tcPr>
          <w:p>
            <w:pPr>
              <w:jc w:val="center"/>
            </w:pPr>
            <w:r>
              <w:rPr>
                <w:rFonts w:ascii="Calibri" w:cs="Calibri" w:eastAsia="Calibri" w:hAnsi="Calibri"/>
                <w:b w:val="false"/>
                <w:bCs w:val="false"/>
                <w:sz w:val="24"/>
                <w:szCs w:val="24"/>
              </w:rPr>
              <w:t xml:space="preserve">Auto / Manual</w:t>
            </w:r>
          </w:p>
        </w:tc>
        <w:tc>
          <w:tcPr>
            <w:tcW w:type="dxa" w:w="2348"/>
            <w:tcBorders>
              <w:top w:val="single" w:color="B0C4DE" w:sz="1"/>
              <w:left w:val="single" w:color="B0C4DE" w:sz="1"/>
              <w:bottom w:val="single" w:color="B0C4DE" w:sz="1"/>
              <w:right w:val="single" w:color="B0C4DE" w:sz="1"/>
            </w:tcBorders>
            <w:shd w:fill="EBF3FB" w:val="clear"/>
            <w:tcMar>
              <w:top w:type="dxa" w:w="90"/>
              <w:left w:type="dxa" w:w="130"/>
              <w:bottom w:type="dxa" w:w="90"/>
              <w:right w:type="dxa" w:w="130"/>
            </w:tcMar>
          </w:tcPr>
          <w:p>
            <w:pPr>
              <w:jc w:val="both"/>
            </w:pPr>
            <w:r>
              <w:rPr>
                <w:rFonts w:ascii="Calibri" w:cs="Calibri" w:eastAsia="Calibri" w:hAnsi="Calibri"/>
                <w:sz w:val="24"/>
                <w:szCs w:val="24"/>
              </w:rPr>
              <w:t xml:space="preserve">Reference field. The department name string is resolved to the corresponding sys_id in the cmn_department table during transformation.</w:t>
            </w:r>
          </w:p>
        </w:tc>
      </w:tr>
      <w:tr>
        <w:tc>
          <w:tcPr>
            <w:tcW w:type="dxa" w:w="1700"/>
            <w:tcBorders>
              <w:top w:val="single" w:color="B0C4DE" w:sz="1"/>
              <w:left w:val="single" w:color="B0C4DE" w:sz="1"/>
              <w:bottom w:val="single" w:color="B0C4DE" w:sz="1"/>
              <w:right w:val="single" w:color="B0C4DE" w:sz="1"/>
            </w:tcBorders>
            <w:shd w:fill="FFFFFF" w:val="clear"/>
            <w:tcMar>
              <w:top w:type="dxa" w:w="90"/>
              <w:left w:type="dxa" w:w="130"/>
              <w:bottom w:type="dxa" w:w="90"/>
              <w:right w:type="dxa" w:w="130"/>
            </w:tcMar>
          </w:tcPr>
          <w:p>
            <w:r>
              <w:rPr>
                <w:rFonts w:ascii="Courier New" w:cs="Courier New" w:eastAsia="Courier New" w:hAnsi="Courier New"/>
                <w:b/>
                <w:bCs/>
                <w:color w:val="1F3864"/>
                <w:sz w:val="20"/>
                <w:szCs w:val="20"/>
              </w:rPr>
              <w:t xml:space="preserve">Manager</w:t>
            </w:r>
          </w:p>
        </w:tc>
        <w:tc>
          <w:tcPr>
            <w:tcW w:type="dxa" w:w="1800"/>
            <w:tcBorders>
              <w:top w:val="single" w:color="B0C4DE" w:sz="1"/>
              <w:left w:val="single" w:color="B0C4DE" w:sz="1"/>
              <w:bottom w:val="single" w:color="B0C4DE" w:sz="1"/>
              <w:right w:val="single" w:color="B0C4DE" w:sz="1"/>
            </w:tcBorders>
            <w:shd w:fill="FFFFFF" w:val="clear"/>
            <w:tcMar>
              <w:top w:type="dxa" w:w="90"/>
              <w:left w:type="dxa" w:w="130"/>
              <w:bottom w:type="dxa" w:w="90"/>
              <w:right w:type="dxa" w:w="130"/>
            </w:tcMar>
          </w:tcPr>
          <w:p>
            <w:pPr>
              <w:jc w:val="center"/>
            </w:pPr>
            <w:r>
              <w:rPr>
                <w:rFonts w:ascii="Calibri" w:cs="Calibri" w:eastAsia="Calibri" w:hAnsi="Calibri"/>
                <w:sz w:val="24"/>
                <w:szCs w:val="24"/>
              </w:rPr>
              <w:t xml:space="preserve">String</w:t>
            </w:r>
          </w:p>
        </w:tc>
        <w:tc>
          <w:tcPr>
            <w:tcW w:type="dxa" w:w="2000"/>
            <w:tcBorders>
              <w:top w:val="single" w:color="B0C4DE" w:sz="1"/>
              <w:left w:val="single" w:color="B0C4DE" w:sz="1"/>
              <w:bottom w:val="single" w:color="B0C4DE" w:sz="1"/>
              <w:right w:val="single" w:color="B0C4DE" w:sz="1"/>
            </w:tcBorders>
            <w:shd w:fill="FFFFFF" w:val="clear"/>
            <w:tcMar>
              <w:top w:type="dxa" w:w="90"/>
              <w:left w:type="dxa" w:w="130"/>
              <w:bottom w:type="dxa" w:w="90"/>
              <w:right w:type="dxa" w:w="130"/>
            </w:tcMar>
          </w:tcPr>
          <w:p>
            <w:r>
              <w:rPr>
                <w:rFonts w:ascii="Courier New" w:cs="Courier New" w:eastAsia="Courier New" w:hAnsi="Courier New"/>
                <w:b/>
                <w:bCs/>
                <w:color w:val="375A8C"/>
                <w:sz w:val="20"/>
                <w:szCs w:val="20"/>
              </w:rPr>
              <w:t xml:space="preserve">manager</w:t>
            </w:r>
          </w:p>
        </w:tc>
        <w:tc>
          <w:tcPr>
            <w:tcW w:type="dxa" w:w="1800"/>
            <w:tcBorders>
              <w:top w:val="single" w:color="B0C4DE" w:sz="1"/>
              <w:left w:val="single" w:color="B0C4DE" w:sz="1"/>
              <w:bottom w:val="single" w:color="B0C4DE" w:sz="1"/>
              <w:right w:val="single" w:color="B0C4DE" w:sz="1"/>
            </w:tcBorders>
            <w:shd w:fill="FFFFFF" w:val="clear"/>
            <w:tcMar>
              <w:top w:type="dxa" w:w="90"/>
              <w:left w:type="dxa" w:w="130"/>
              <w:bottom w:type="dxa" w:w="90"/>
              <w:right w:type="dxa" w:w="130"/>
            </w:tcMar>
          </w:tcPr>
          <w:p>
            <w:pPr>
              <w:jc w:val="center"/>
            </w:pPr>
            <w:r>
              <w:rPr>
                <w:rFonts w:ascii="Calibri" w:cs="Calibri" w:eastAsia="Calibri" w:hAnsi="Calibri"/>
                <w:b w:val="false"/>
                <w:bCs w:val="false"/>
                <w:sz w:val="24"/>
                <w:szCs w:val="24"/>
              </w:rPr>
              <w:t xml:space="preserve">Manual</w:t>
            </w:r>
          </w:p>
        </w:tc>
        <w:tc>
          <w:tcPr>
            <w:tcW w:type="dxa" w:w="2348"/>
            <w:tcBorders>
              <w:top w:val="single" w:color="B0C4DE" w:sz="1"/>
              <w:left w:val="single" w:color="B0C4DE" w:sz="1"/>
              <w:bottom w:val="single" w:color="B0C4DE" w:sz="1"/>
              <w:right w:val="single" w:color="B0C4DE" w:sz="1"/>
            </w:tcBorders>
            <w:shd w:fill="FFFFFF" w:val="clear"/>
            <w:tcMar>
              <w:top w:type="dxa" w:w="90"/>
              <w:left w:type="dxa" w:w="130"/>
              <w:bottom w:type="dxa" w:w="90"/>
              <w:right w:type="dxa" w:w="130"/>
            </w:tcMar>
          </w:tcPr>
          <w:p>
            <w:pPr>
              <w:jc w:val="both"/>
            </w:pPr>
            <w:r>
              <w:rPr>
                <w:rFonts w:ascii="Calibri" w:cs="Calibri" w:eastAsia="Calibri" w:hAnsi="Calibri"/>
                <w:sz w:val="24"/>
                <w:szCs w:val="24"/>
              </w:rPr>
              <w:t xml:space="preserve">Self-referencing reference field. The manager's name is resolved to the sys_id of the corresponding sys_user record during transformation.</w:t>
            </w:r>
          </w:p>
        </w:tc>
      </w:tr>
      <w:tr>
        <w:tc>
          <w:tcPr>
            <w:tcW w:type="dxa" w:w="1700"/>
            <w:tcBorders>
              <w:top w:val="single" w:color="B0C4DE" w:sz="1"/>
              <w:left w:val="single" w:color="B0C4DE" w:sz="1"/>
              <w:bottom w:val="single" w:color="B0C4DE" w:sz="1"/>
              <w:right w:val="single" w:color="B0C4DE" w:sz="1"/>
            </w:tcBorders>
            <w:shd w:fill="EBF3FB" w:val="clear"/>
            <w:tcMar>
              <w:top w:type="dxa" w:w="90"/>
              <w:left w:type="dxa" w:w="130"/>
              <w:bottom w:type="dxa" w:w="90"/>
              <w:right w:type="dxa" w:w="130"/>
            </w:tcMar>
          </w:tcPr>
          <w:p>
            <w:r>
              <w:rPr>
                <w:rFonts w:ascii="Courier New" w:cs="Courier New" w:eastAsia="Courier New" w:hAnsi="Courier New"/>
                <w:b/>
                <w:bCs/>
                <w:color w:val="1F3864"/>
                <w:sz w:val="20"/>
                <w:szCs w:val="20"/>
              </w:rPr>
              <w:t xml:space="preserve">Manager Email</w:t>
            </w:r>
          </w:p>
        </w:tc>
        <w:tc>
          <w:tcPr>
            <w:tcW w:type="dxa" w:w="1800"/>
            <w:tcBorders>
              <w:top w:val="single" w:color="B0C4DE" w:sz="1"/>
              <w:left w:val="single" w:color="B0C4DE" w:sz="1"/>
              <w:bottom w:val="single" w:color="B0C4DE" w:sz="1"/>
              <w:right w:val="single" w:color="B0C4DE" w:sz="1"/>
            </w:tcBorders>
            <w:shd w:fill="EBF3FB" w:val="clear"/>
            <w:tcMar>
              <w:top w:type="dxa" w:w="90"/>
              <w:left w:type="dxa" w:w="130"/>
              <w:bottom w:type="dxa" w:w="90"/>
              <w:right w:type="dxa" w:w="130"/>
            </w:tcMar>
          </w:tcPr>
          <w:p>
            <w:pPr>
              <w:jc w:val="center"/>
            </w:pPr>
            <w:r>
              <w:rPr>
                <w:rFonts w:ascii="Calibri" w:cs="Calibri" w:eastAsia="Calibri" w:hAnsi="Calibri"/>
                <w:sz w:val="24"/>
                <w:szCs w:val="24"/>
              </w:rPr>
              <w:t xml:space="preserve">String</w:t>
            </w:r>
          </w:p>
        </w:tc>
        <w:tc>
          <w:tcPr>
            <w:tcW w:type="dxa" w:w="2000"/>
            <w:tcBorders>
              <w:top w:val="single" w:color="B0C4DE" w:sz="1"/>
              <w:left w:val="single" w:color="B0C4DE" w:sz="1"/>
              <w:bottom w:val="single" w:color="B0C4DE" w:sz="1"/>
              <w:right w:val="single" w:color="B0C4DE" w:sz="1"/>
            </w:tcBorders>
            <w:shd w:fill="EBF3FB" w:val="clear"/>
            <w:tcMar>
              <w:top w:type="dxa" w:w="90"/>
              <w:left w:type="dxa" w:w="130"/>
              <w:bottom w:type="dxa" w:w="90"/>
              <w:right w:type="dxa" w:w="130"/>
            </w:tcMar>
          </w:tcPr>
          <w:p>
            <w:r>
              <w:rPr>
                <w:rFonts w:ascii="Courier New" w:cs="Courier New" w:eastAsia="Courier New" w:hAnsi="Courier New"/>
                <w:b/>
                <w:bCs/>
                <w:color w:val="375A8C"/>
                <w:sz w:val="20"/>
                <w:szCs w:val="20"/>
              </w:rPr>
              <w:t xml:space="preserve">manager.email</w:t>
            </w:r>
          </w:p>
        </w:tc>
        <w:tc>
          <w:tcPr>
            <w:tcW w:type="dxa" w:w="1800"/>
            <w:tcBorders>
              <w:top w:val="single" w:color="B0C4DE" w:sz="1"/>
              <w:left w:val="single" w:color="B0C4DE" w:sz="1"/>
              <w:bottom w:val="single" w:color="B0C4DE" w:sz="1"/>
              <w:right w:val="single" w:color="B0C4DE" w:sz="1"/>
            </w:tcBorders>
            <w:shd w:fill="EBF3FB" w:val="clear"/>
            <w:tcMar>
              <w:top w:type="dxa" w:w="90"/>
              <w:left w:type="dxa" w:w="130"/>
              <w:bottom w:type="dxa" w:w="90"/>
              <w:right w:type="dxa" w:w="130"/>
            </w:tcMar>
          </w:tcPr>
          <w:p>
            <w:pPr>
              <w:jc w:val="center"/>
            </w:pPr>
            <w:r>
              <w:rPr>
                <w:rFonts w:ascii="Calibri" w:cs="Calibri" w:eastAsia="Calibri" w:hAnsi="Calibri"/>
                <w:b/>
                <w:bCs/>
                <w:sz w:val="24"/>
                <w:szCs w:val="24"/>
              </w:rPr>
              <w:t xml:space="preserve">Manual (Dot Walk)</w:t>
            </w:r>
          </w:p>
        </w:tc>
        <w:tc>
          <w:tcPr>
            <w:tcW w:type="dxa" w:w="2348"/>
            <w:tcBorders>
              <w:top w:val="single" w:color="B0C4DE" w:sz="1"/>
              <w:left w:val="single" w:color="B0C4DE" w:sz="1"/>
              <w:bottom w:val="single" w:color="B0C4DE" w:sz="1"/>
              <w:right w:val="single" w:color="B0C4DE" w:sz="1"/>
            </w:tcBorders>
            <w:shd w:fill="EBF3FB" w:val="clear"/>
            <w:tcMar>
              <w:top w:type="dxa" w:w="90"/>
              <w:left w:type="dxa" w:w="130"/>
              <w:bottom w:type="dxa" w:w="90"/>
              <w:right w:type="dxa" w:w="130"/>
            </w:tcMar>
          </w:tcPr>
          <w:p>
            <w:pPr>
              <w:jc w:val="both"/>
            </w:pPr>
            <w:r>
              <w:rPr>
                <w:rFonts w:ascii="Calibri" w:cs="Calibri" w:eastAsia="Calibri" w:hAnsi="Calibri"/>
                <w:sz w:val="24"/>
                <w:szCs w:val="24"/>
              </w:rPr>
              <w:t xml:space="preserve">Not a direct target field. Populated via the Dot Walk expression manager.email, traversing the manager reference to retrieve the email of the referenced manager record.</w:t>
            </w:r>
          </w:p>
        </w:tc>
      </w:tr>
    </w:tbl>
    <w:p>
      <w:pPr>
        <w:spacing w:before="120" w:after="80"/>
      </w:pPr>
      <w:r>
        <w:t xml:space="preserve"/>
      </w:r>
    </w:p>
    <w:p>
      <w:pPr>
        <w:pStyle w:val="Heading2"/>
        <w:spacing w:before="300" w:after="140"/>
      </w:pPr>
      <w:r>
        <w:rPr>
          <w:rFonts w:ascii="Calibri" w:cs="Calibri" w:eastAsia="Calibri" w:hAnsi="Calibri"/>
          <w:b/>
          <w:bCs/>
          <w:color w:val="2E5496"/>
          <w:sz w:val="28"/>
          <w:szCs w:val="28"/>
        </w:rPr>
        <w:t xml:space="preserve">5.2 Coalesce Field Design</w:t>
      </w:r>
    </w:p>
    <w:p>
      <w:pPr>
        <w:spacing w:line="360" w:lineRule="auto" w:before="80" w:after="160"/>
        <w:ind w:firstLine="720"/>
        <w:jc w:val="both"/>
      </w:pPr>
      <w:r>
        <w:rPr>
          <w:rFonts w:ascii="Calibri" w:cs="Calibri" w:eastAsia="Calibri" w:hAnsi="Calibri"/>
          <w:sz w:val="24"/>
          <w:szCs w:val="24"/>
        </w:rPr>
        <w:t xml:space="preserve">The designation of the Email field as the coalesce key is a critical design decision that determines how the Transform Map handles records during repeated import operations. When a coalesce field is specified, ServiceNow uses its value to search the target table for an existing matching record before deciding whether to insert a new record or update an existing one.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00"/>
        <w:gridCol w:w="9448"/>
      </w:tblGrid>
      <w:tr>
        <w:tc>
          <w:tcPr>
            <w:tcW w:type="dxa" w:w="200"/>
            <w:tcBorders>
              <w:top w:val="single" w:color="2E5496" w:sz="1"/>
              <w:left w:val="single" w:color="2E5496" w:sz="1"/>
              <w:bottom w:val="single" w:color="2E5496" w:sz="1"/>
              <w:right w:val="none" w:color="FFFFFF" w:sz="0"/>
            </w:tcBorders>
            <w:shd w:fill="2E5496" w:val="clear"/>
            <w:tcMar>
              <w:top w:type="dxa" w:w="0"/>
              <w:left w:type="dxa" w:w="0"/>
              <w:bottom w:type="dxa" w:w="0"/>
              <w:right w:type="dxa" w:w="0"/>
            </w:tcMar>
          </w:tcPr>
          <w:p>
            <w:r>
              <w:t xml:space="preserve"/>
            </w:r>
          </w:p>
        </w:tc>
        <w:tc>
          <w:tcPr>
            <w:tcW w:type="dxa" w:w="9448"/>
            <w:tcBorders>
              <w:top w:val="single" w:color="2E5496" w:sz="1"/>
              <w:left w:val="none" w:color="FFFFFF" w:sz="0"/>
              <w:bottom w:val="single" w:color="2E5496" w:sz="1"/>
              <w:right w:val="single" w:color="2E5496" w:sz="1"/>
            </w:tcBorders>
            <w:shd w:fill="EBF3FB" w:val="clear"/>
            <w:tcMar>
              <w:top w:type="dxa" w:w="120"/>
              <w:left w:type="dxa" w:w="200"/>
              <w:bottom w:type="dxa" w:w="120"/>
              <w:right w:type="dxa" w:w="200"/>
            </w:tcMar>
          </w:tcPr>
          <w:p>
            <w:pPr>
              <w:spacing w:before="0" w:after="80"/>
            </w:pPr>
            <w:r>
              <w:rPr>
                <w:rFonts w:ascii="Calibri" w:cs="Calibri" w:eastAsia="Calibri" w:hAnsi="Calibri"/>
                <w:b/>
                <w:bCs/>
                <w:color w:val="2E5496"/>
                <w:sz w:val="24"/>
                <w:szCs w:val="24"/>
              </w:rPr>
              <w:t xml:space="preserve">Coalesce Logic: Email Field as Unique Identifier</w:t>
            </w:r>
          </w:p>
          <w:p>
            <w:pPr>
              <w:spacing w:before="0" w:after="60"/>
              <w:jc w:val="both"/>
            </w:pPr>
            <w:r>
              <w:rPr>
                <w:rFonts w:ascii="Calibri" w:cs="Calibri" w:eastAsia="Calibri" w:hAnsi="Calibri"/>
                <w:sz w:val="24"/>
                <w:szCs w:val="24"/>
              </w:rPr>
              <w:t xml:space="preserve">When a record with the same email address already exists in sys_user:</w:t>
            </w:r>
          </w:p>
          <w:p>
            <w:pPr>
              <w:pStyle w:val="ListParagraph"/>
              <w:numPr>
                <w:ilvl w:val="1"/>
                <w:numId w:val="2"/>
              </w:numPr>
              <w:spacing w:line="360" w:lineRule="auto" w:before="40" w:after="40"/>
            </w:pPr>
            <w:r>
              <w:rPr>
                <w:rFonts w:ascii="Calibri" w:cs="Calibri" w:eastAsia="Calibri" w:hAnsi="Calibri"/>
                <w:sz w:val="24"/>
                <w:szCs w:val="24"/>
              </w:rPr>
              <w:t xml:space="preserve">The existing record is updated with the new field values from the import file.</w:t>
            </w:r>
          </w:p>
          <w:p>
            <w:pPr>
              <w:pStyle w:val="ListParagraph"/>
              <w:numPr>
                <w:ilvl w:val="1"/>
                <w:numId w:val="2"/>
              </w:numPr>
              <w:spacing w:line="360" w:lineRule="auto" w:before="40" w:after="60"/>
            </w:pPr>
            <w:r>
              <w:rPr>
                <w:rFonts w:ascii="Calibri" w:cs="Calibri" w:eastAsia="Calibri" w:hAnsi="Calibri"/>
                <w:sz w:val="24"/>
                <w:szCs w:val="24"/>
              </w:rPr>
              <w:t xml:space="preserve">No duplicate record is created in sys_user.</w:t>
            </w:r>
          </w:p>
          <w:p>
            <w:pPr>
              <w:spacing w:before="0" w:after="60"/>
              <w:jc w:val="both"/>
            </w:pPr>
            <w:r>
              <w:rPr>
                <w:rFonts w:ascii="Calibri" w:cs="Calibri" w:eastAsia="Calibri" w:hAnsi="Calibri"/>
                <w:sz w:val="24"/>
                <w:szCs w:val="24"/>
              </w:rPr>
              <w:t xml:space="preserve">When no matching email address is found in sys_user:</w:t>
            </w:r>
          </w:p>
          <w:p>
            <w:pPr>
              <w:pStyle w:val="ListParagraph"/>
              <w:numPr>
                <w:ilvl w:val="1"/>
                <w:numId w:val="2"/>
              </w:numPr>
              <w:spacing w:line="360" w:lineRule="auto" w:before="40" w:after="40"/>
            </w:pPr>
            <w:r>
              <w:rPr>
                <w:rFonts w:ascii="Calibri" w:cs="Calibri" w:eastAsia="Calibri" w:hAnsi="Calibri"/>
                <w:sz w:val="24"/>
                <w:szCs w:val="24"/>
              </w:rPr>
              <w:t xml:space="preserve">A new user record is inserted into sys_user.</w:t>
            </w:r>
          </w:p>
          <w:p>
            <w:pPr>
              <w:pStyle w:val="ListParagraph"/>
              <w:numPr>
                <w:ilvl w:val="1"/>
                <w:numId w:val="2"/>
              </w:numPr>
              <w:spacing w:line="360" w:lineRule="auto" w:before="40" w:after="40"/>
            </w:pPr>
            <w:r>
              <w:rPr>
                <w:rFonts w:ascii="Calibri" w:cs="Calibri" w:eastAsia="Calibri" w:hAnsi="Calibri"/>
                <w:sz w:val="24"/>
                <w:szCs w:val="24"/>
              </w:rPr>
              <w:t xml:space="preserve">All field values from the import file are populated in the new record.</w:t>
            </w:r>
          </w:p>
        </w:tc>
      </w:tr>
    </w:tbl>
    <w:p>
      <w:pPr>
        <w:spacing w:before="100" w:after="80"/>
      </w:pPr>
      <w: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F3864" w:sz="1"/>
              <w:left w:val="single" w:color="1F3864" w:sz="1"/>
              <w:bottom w:val="single" w:color="1F3864" w:sz="1"/>
              <w:right w:val="single" w:color="1F3864" w:sz="1"/>
            </w:tcBorders>
            <w:shd w:fill="1F3864" w:val="clear"/>
            <w:tcMar>
              <w:top w:type="dxa" w:w="120"/>
              <w:left w:type="dxa" w:w="240"/>
              <w:bottom w:type="dxa" w:w="120"/>
              <w:right w:type="dxa" w:w="240"/>
            </w:tcMar>
          </w:tcPr>
          <w:p>
            <w:r>
              <w:rPr>
                <w:rFonts w:ascii="Calibri" w:cs="Calibri" w:eastAsia="Calibri" w:hAnsi="Calibri"/>
                <w:b/>
                <w:bCs/>
                <w:color w:val="FFFFFF"/>
                <w:sz w:val="22"/>
                <w:szCs w:val="22"/>
              </w:rPr>
              <w:t xml:space="preserve">Section 6  —  Form Design</w:t>
            </w:r>
          </w:p>
        </w:tc>
      </w:tr>
    </w:tbl>
    <w:p>
      <w:pPr>
        <w:spacing w:before="80" w:after="80"/>
      </w:pPr>
      <w:r>
        <w:t xml:space="preserve"/>
      </w:r>
    </w:p>
    <w:p>
      <w:pPr>
        <w:pStyle w:val="Heading1"/>
        <w:spacing w:before="440" w:after="160"/>
      </w:pPr>
      <w:r>
        <w:rPr>
          <w:rFonts w:ascii="Calibri" w:cs="Calibri" w:eastAsia="Calibri" w:hAnsi="Calibri"/>
          <w:b/>
          <w:bCs/>
          <w:color w:val="1F3864"/>
          <w:sz w:val="34"/>
          <w:szCs w:val="34"/>
        </w:rPr>
        <w:t xml:space="preserve">6. Form Design</w:t>
      </w:r>
    </w:p>
    <w:p>
      <w:pPr>
        <w:pBdr>
          <w:bottom w:val="single" w:color="2E5496" w:sz="6" w:space="1"/>
        </w:pBdr>
        <w:spacing w:before="100" w:after="100"/>
      </w:pPr>
      <w:r>
        <w:t xml:space="preserve"/>
      </w:r>
    </w:p>
    <w:p>
      <w:pPr>
        <w:spacing w:before="60" w:after="80"/>
      </w:pPr>
      <w:r>
        <w:t xml:space="preserve"/>
      </w:r>
    </w:p>
    <w:p>
      <w:pPr>
        <w:spacing w:line="360" w:lineRule="auto" w:before="80" w:after="160"/>
        <w:ind w:firstLine="720"/>
        <w:jc w:val="both"/>
      </w:pPr>
      <w:r>
        <w:rPr>
          <w:rFonts w:ascii="Calibri" w:cs="Calibri" w:eastAsia="Calibri" w:hAnsi="Calibri"/>
          <w:sz w:val="24"/>
          <w:szCs w:val="24"/>
        </w:rPr>
        <w:t xml:space="preserve">The form design defines the customisations applied to the ServiceNow Incident form to enable it to display employee-related information automatically through Dot Walking. By default, the Incident form does not display the department or manager details of the assigned-to user. These fields must be explicitly added to the form layout using Dot Walking expressions so that they appear and auto-populate when an employee is selected in the Assigned To field.</w:t>
      </w:r>
    </w:p>
    <w:p>
      <w:pPr>
        <w:spacing w:line="360" w:lineRule="auto" w:before="80" w:after="160"/>
        <w:ind w:firstLine="720"/>
        <w:jc w:val="both"/>
      </w:pPr>
      <w:r>
        <w:rPr>
          <w:rFonts w:ascii="Calibri" w:cs="Calibri" w:eastAsia="Calibri" w:hAnsi="Calibri"/>
          <w:sz w:val="24"/>
          <w:szCs w:val="24"/>
        </w:rPr>
        <w:t xml:space="preserve">The form design is guided by two principles: relevance and automation. Only fields that provide meaningful value to the incident handling workflow are added, and all added fields are configured to populate automatically through Dot Walking. No manual input is required from the incident agent once the Assigned To field is selected.</w:t>
      </w:r>
    </w:p>
    <w:p>
      <w:pPr>
        <w:pStyle w:val="Heading2"/>
        <w:spacing w:before="300" w:after="140"/>
      </w:pPr>
      <w:r>
        <w:rPr>
          <w:rFonts w:ascii="Calibri" w:cs="Calibri" w:eastAsia="Calibri" w:hAnsi="Calibri"/>
          <w:b/>
          <w:bCs/>
          <w:color w:val="2E5496"/>
          <w:sz w:val="28"/>
          <w:szCs w:val="28"/>
        </w:rPr>
        <w:t xml:space="preserve">6.1 Dot Walking Field Specifications</w:t>
      </w:r>
    </w:p>
    <w:p>
      <w:pPr>
        <w:spacing w:before="60" w:after="80"/>
      </w:pPr>
      <w: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648"/>
      </w:tblGrid>
      <w:tr>
        <w:trPr>
          <w:tblHeader/>
        </w:trPr>
        <w:tc>
          <w:tcPr>
            <w:tcW w:type="dxa" w:w="28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jc w:val="center"/>
            </w:pPr>
            <w:r>
              <w:rPr>
                <w:rFonts w:ascii="Calibri" w:cs="Calibri" w:eastAsia="Calibri" w:hAnsi="Calibri"/>
                <w:b/>
                <w:bCs/>
                <w:color w:val="FFFFFF"/>
                <w:sz w:val="24"/>
                <w:szCs w:val="24"/>
              </w:rPr>
              <w:t xml:space="preserve">Dot Walk Expression</w:t>
            </w:r>
          </w:p>
        </w:tc>
        <w:tc>
          <w:tcPr>
            <w:tcW w:type="dxa" w:w="22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jc w:val="center"/>
            </w:pPr>
            <w:r>
              <w:rPr>
                <w:rFonts w:ascii="Calibri" w:cs="Calibri" w:eastAsia="Calibri" w:hAnsi="Calibri"/>
                <w:b/>
                <w:bCs/>
                <w:color w:val="FFFFFF"/>
                <w:sz w:val="24"/>
                <w:szCs w:val="24"/>
              </w:rPr>
              <w:t xml:space="preserve">Display Label on Form</w:t>
            </w:r>
          </w:p>
        </w:tc>
        <w:tc>
          <w:tcPr>
            <w:tcW w:type="dxa" w:w="4648"/>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jc w:val="center"/>
            </w:pPr>
            <w:r>
              <w:rPr>
                <w:rFonts w:ascii="Calibri" w:cs="Calibri" w:eastAsia="Calibri" w:hAnsi="Calibri"/>
                <w:b/>
                <w:bCs/>
                <w:color w:val="FFFFFF"/>
                <w:sz w:val="24"/>
                <w:szCs w:val="24"/>
              </w:rPr>
              <w:t xml:space="preserve">Purpose</w:t>
            </w:r>
          </w:p>
        </w:tc>
      </w:tr>
      <w:tr>
        <w:tc>
          <w:tcPr>
            <w:tcW w:type="dxa" w:w="2800"/>
            <w:tcBorders>
              <w:top w:val="single" w:color="B0C4DE" w:sz="1"/>
              <w:left w:val="single" w:color="B0C4DE" w:sz="1"/>
              <w:bottom w:val="single" w:color="B0C4DE" w:sz="1"/>
              <w:right w:val="single" w:color="B0C4DE" w:sz="1"/>
            </w:tcBorders>
            <w:shd w:fill="EBF3FB" w:val="clear"/>
            <w:tcMar>
              <w:top w:type="dxa" w:w="90"/>
              <w:left w:type="dxa" w:w="140"/>
              <w:bottom w:type="dxa" w:w="90"/>
              <w:right w:type="dxa" w:w="140"/>
            </w:tcMar>
          </w:tcPr>
          <w:p>
            <w:r>
              <w:rPr>
                <w:rFonts w:ascii="Courier New" w:cs="Courier New" w:eastAsia="Courier New" w:hAnsi="Courier New"/>
                <w:b/>
                <w:bCs/>
                <w:color w:val="1F3864"/>
                <w:sz w:val="20"/>
                <w:szCs w:val="20"/>
              </w:rPr>
              <w:t xml:space="preserve">assigned_to.department</w:t>
            </w:r>
          </w:p>
        </w:tc>
        <w:tc>
          <w:tcPr>
            <w:tcW w:type="dxa" w:w="2200"/>
            <w:tcBorders>
              <w:top w:val="single" w:color="B0C4DE" w:sz="1"/>
              <w:left w:val="single" w:color="B0C4DE" w:sz="1"/>
              <w:bottom w:val="single" w:color="B0C4DE" w:sz="1"/>
              <w:right w:val="single" w:color="B0C4DE" w:sz="1"/>
            </w:tcBorders>
            <w:shd w:fill="EBF3FB" w:val="clear"/>
            <w:tcMar>
              <w:top w:type="dxa" w:w="90"/>
              <w:left w:type="dxa" w:w="140"/>
              <w:bottom w:type="dxa" w:w="90"/>
              <w:right w:type="dxa" w:w="140"/>
            </w:tcMar>
          </w:tcPr>
          <w:p>
            <w:r>
              <w:rPr>
                <w:rFonts w:ascii="Calibri" w:cs="Calibri" w:eastAsia="Calibri" w:hAnsi="Calibri"/>
                <w:b/>
                <w:bCs/>
                <w:sz w:val="24"/>
                <w:szCs w:val="24"/>
              </w:rPr>
              <w:t xml:space="preserve">Assigned To: Department</w:t>
            </w:r>
          </w:p>
        </w:tc>
        <w:tc>
          <w:tcPr>
            <w:tcW w:type="dxa" w:w="4648"/>
            <w:tcBorders>
              <w:top w:val="single" w:color="B0C4DE" w:sz="1"/>
              <w:left w:val="single" w:color="B0C4DE" w:sz="1"/>
              <w:bottom w:val="single" w:color="B0C4DE" w:sz="1"/>
              <w:right w:val="single" w:color="B0C4DE" w:sz="1"/>
            </w:tcBorders>
            <w:shd w:fill="EBF3FB" w:val="clear"/>
            <w:tcMar>
              <w:top w:type="dxa" w:w="90"/>
              <w:left w:type="dxa" w:w="140"/>
              <w:bottom w:type="dxa" w:w="90"/>
              <w:right w:type="dxa" w:w="140"/>
            </w:tcMar>
          </w:tcPr>
          <w:p>
            <w:pPr>
              <w:jc w:val="both"/>
            </w:pPr>
            <w:r>
              <w:rPr>
                <w:rFonts w:ascii="Calibri" w:cs="Calibri" w:eastAsia="Calibri" w:hAnsi="Calibri"/>
                <w:sz w:val="24"/>
                <w:szCs w:val="24"/>
              </w:rPr>
              <w:t xml:space="preserve">Displays the name of the department to which the assigned employee belongs. Enables agents to identify the responsible business unit for incident routing and escalation.</w:t>
            </w:r>
          </w:p>
        </w:tc>
      </w:tr>
      <w:tr>
        <w:tc>
          <w:tcPr>
            <w:tcW w:type="dxa" w:w="2800"/>
            <w:tcBorders>
              <w:top w:val="single" w:color="B0C4DE" w:sz="1"/>
              <w:left w:val="single" w:color="B0C4DE" w:sz="1"/>
              <w:bottom w:val="single" w:color="B0C4DE" w:sz="1"/>
              <w:right w:val="single" w:color="B0C4DE" w:sz="1"/>
            </w:tcBorders>
            <w:shd w:fill="FFFFFF" w:val="clear"/>
            <w:tcMar>
              <w:top w:type="dxa" w:w="90"/>
              <w:left w:type="dxa" w:w="140"/>
              <w:bottom w:type="dxa" w:w="90"/>
              <w:right w:type="dxa" w:w="140"/>
            </w:tcMar>
          </w:tcPr>
          <w:p>
            <w:r>
              <w:rPr>
                <w:rFonts w:ascii="Courier New" w:cs="Courier New" w:eastAsia="Courier New" w:hAnsi="Courier New"/>
                <w:b/>
                <w:bCs/>
                <w:color w:val="1F3864"/>
                <w:sz w:val="20"/>
                <w:szCs w:val="20"/>
              </w:rPr>
              <w:t xml:space="preserve">assigned_to.email</w:t>
            </w:r>
          </w:p>
        </w:tc>
        <w:tc>
          <w:tcPr>
            <w:tcW w:type="dxa" w:w="2200"/>
            <w:tcBorders>
              <w:top w:val="single" w:color="B0C4DE" w:sz="1"/>
              <w:left w:val="single" w:color="B0C4DE" w:sz="1"/>
              <w:bottom w:val="single" w:color="B0C4DE" w:sz="1"/>
              <w:right w:val="single" w:color="B0C4DE" w:sz="1"/>
            </w:tcBorders>
            <w:shd w:fill="FFFFFF" w:val="clear"/>
            <w:tcMar>
              <w:top w:type="dxa" w:w="90"/>
              <w:left w:type="dxa" w:w="140"/>
              <w:bottom w:type="dxa" w:w="90"/>
              <w:right w:type="dxa" w:w="140"/>
            </w:tcMar>
          </w:tcPr>
          <w:p>
            <w:r>
              <w:rPr>
                <w:rFonts w:ascii="Calibri" w:cs="Calibri" w:eastAsia="Calibri" w:hAnsi="Calibri"/>
                <w:b/>
                <w:bCs/>
                <w:sz w:val="24"/>
                <w:szCs w:val="24"/>
              </w:rPr>
              <w:t xml:space="preserve">Assigned To: Email</w:t>
            </w:r>
          </w:p>
        </w:tc>
        <w:tc>
          <w:tcPr>
            <w:tcW w:type="dxa" w:w="4648"/>
            <w:tcBorders>
              <w:top w:val="single" w:color="B0C4DE" w:sz="1"/>
              <w:left w:val="single" w:color="B0C4DE" w:sz="1"/>
              <w:bottom w:val="single" w:color="B0C4DE" w:sz="1"/>
              <w:right w:val="single" w:color="B0C4DE" w:sz="1"/>
            </w:tcBorders>
            <w:shd w:fill="FFFFFF" w:val="clear"/>
            <w:tcMar>
              <w:top w:type="dxa" w:w="90"/>
              <w:left w:type="dxa" w:w="140"/>
              <w:bottom w:type="dxa" w:w="90"/>
              <w:right w:type="dxa" w:w="140"/>
            </w:tcMar>
          </w:tcPr>
          <w:p>
            <w:pPr>
              <w:jc w:val="both"/>
            </w:pPr>
            <w:r>
              <w:rPr>
                <w:rFonts w:ascii="Calibri" w:cs="Calibri" w:eastAsia="Calibri" w:hAnsi="Calibri"/>
                <w:sz w:val="24"/>
                <w:szCs w:val="24"/>
              </w:rPr>
              <w:t xml:space="preserve">Displays the official email address of the assigned employee. Provides direct contact information without requiring the agent to navigate to the employee's user profile separately.</w:t>
            </w:r>
          </w:p>
        </w:tc>
      </w:tr>
      <w:tr>
        <w:tc>
          <w:tcPr>
            <w:tcW w:type="dxa" w:w="2800"/>
            <w:tcBorders>
              <w:top w:val="single" w:color="B0C4DE" w:sz="1"/>
              <w:left w:val="single" w:color="B0C4DE" w:sz="1"/>
              <w:bottom w:val="single" w:color="B0C4DE" w:sz="1"/>
              <w:right w:val="single" w:color="B0C4DE" w:sz="1"/>
            </w:tcBorders>
            <w:shd w:fill="EBF3FB" w:val="clear"/>
            <w:tcMar>
              <w:top w:type="dxa" w:w="90"/>
              <w:left w:type="dxa" w:w="140"/>
              <w:bottom w:type="dxa" w:w="90"/>
              <w:right w:type="dxa" w:w="140"/>
            </w:tcMar>
          </w:tcPr>
          <w:p>
            <w:r>
              <w:rPr>
                <w:rFonts w:ascii="Courier New" w:cs="Courier New" w:eastAsia="Courier New" w:hAnsi="Courier New"/>
                <w:b/>
                <w:bCs/>
                <w:color w:val="1F3864"/>
                <w:sz w:val="20"/>
                <w:szCs w:val="20"/>
              </w:rPr>
              <w:t xml:space="preserve">assigned_to.manager</w:t>
            </w:r>
          </w:p>
        </w:tc>
        <w:tc>
          <w:tcPr>
            <w:tcW w:type="dxa" w:w="2200"/>
            <w:tcBorders>
              <w:top w:val="single" w:color="B0C4DE" w:sz="1"/>
              <w:left w:val="single" w:color="B0C4DE" w:sz="1"/>
              <w:bottom w:val="single" w:color="B0C4DE" w:sz="1"/>
              <w:right w:val="single" w:color="B0C4DE" w:sz="1"/>
            </w:tcBorders>
            <w:shd w:fill="EBF3FB" w:val="clear"/>
            <w:tcMar>
              <w:top w:type="dxa" w:w="90"/>
              <w:left w:type="dxa" w:w="140"/>
              <w:bottom w:type="dxa" w:w="90"/>
              <w:right w:type="dxa" w:w="140"/>
            </w:tcMar>
          </w:tcPr>
          <w:p>
            <w:r>
              <w:rPr>
                <w:rFonts w:ascii="Calibri" w:cs="Calibri" w:eastAsia="Calibri" w:hAnsi="Calibri"/>
                <w:b/>
                <w:bCs/>
                <w:sz w:val="24"/>
                <w:szCs w:val="24"/>
              </w:rPr>
              <w:t xml:space="preserve">Assigned To: Manager</w:t>
            </w:r>
          </w:p>
        </w:tc>
        <w:tc>
          <w:tcPr>
            <w:tcW w:type="dxa" w:w="4648"/>
            <w:tcBorders>
              <w:top w:val="single" w:color="B0C4DE" w:sz="1"/>
              <w:left w:val="single" w:color="B0C4DE" w:sz="1"/>
              <w:bottom w:val="single" w:color="B0C4DE" w:sz="1"/>
              <w:right w:val="single" w:color="B0C4DE" w:sz="1"/>
            </w:tcBorders>
            <w:shd w:fill="EBF3FB" w:val="clear"/>
            <w:tcMar>
              <w:top w:type="dxa" w:w="90"/>
              <w:left w:type="dxa" w:w="140"/>
              <w:bottom w:type="dxa" w:w="90"/>
              <w:right w:type="dxa" w:w="140"/>
            </w:tcMar>
          </w:tcPr>
          <w:p>
            <w:pPr>
              <w:jc w:val="both"/>
            </w:pPr>
            <w:r>
              <w:rPr>
                <w:rFonts w:ascii="Calibri" w:cs="Calibri" w:eastAsia="Calibri" w:hAnsi="Calibri"/>
                <w:sz w:val="24"/>
                <w:szCs w:val="24"/>
              </w:rPr>
              <w:t xml:space="preserve">Displays the full name of the direct line manager of the assigned employee. Enables agents to identify the correct escalation contact without additional lookup.</w:t>
            </w:r>
          </w:p>
        </w:tc>
      </w:tr>
      <w:tr>
        <w:tc>
          <w:tcPr>
            <w:tcW w:type="dxa" w:w="2800"/>
            <w:tcBorders>
              <w:top w:val="single" w:color="B0C4DE" w:sz="1"/>
              <w:left w:val="single" w:color="B0C4DE" w:sz="1"/>
              <w:bottom w:val="single" w:color="B0C4DE" w:sz="1"/>
              <w:right w:val="single" w:color="B0C4DE" w:sz="1"/>
            </w:tcBorders>
            <w:shd w:fill="FFFFFF" w:val="clear"/>
            <w:tcMar>
              <w:top w:type="dxa" w:w="90"/>
              <w:left w:type="dxa" w:w="140"/>
              <w:bottom w:type="dxa" w:w="90"/>
              <w:right w:type="dxa" w:w="140"/>
            </w:tcMar>
          </w:tcPr>
          <w:p>
            <w:r>
              <w:rPr>
                <w:rFonts w:ascii="Courier New" w:cs="Courier New" w:eastAsia="Courier New" w:hAnsi="Courier New"/>
                <w:b/>
                <w:bCs/>
                <w:color w:val="1F3864"/>
                <w:sz w:val="20"/>
                <w:szCs w:val="20"/>
              </w:rPr>
              <w:t xml:space="preserve">assigned_to.manager.email</w:t>
            </w:r>
          </w:p>
        </w:tc>
        <w:tc>
          <w:tcPr>
            <w:tcW w:type="dxa" w:w="2200"/>
            <w:tcBorders>
              <w:top w:val="single" w:color="B0C4DE" w:sz="1"/>
              <w:left w:val="single" w:color="B0C4DE" w:sz="1"/>
              <w:bottom w:val="single" w:color="B0C4DE" w:sz="1"/>
              <w:right w:val="single" w:color="B0C4DE" w:sz="1"/>
            </w:tcBorders>
            <w:shd w:fill="FFFFFF" w:val="clear"/>
            <w:tcMar>
              <w:top w:type="dxa" w:w="90"/>
              <w:left w:type="dxa" w:w="140"/>
              <w:bottom w:type="dxa" w:w="90"/>
              <w:right w:type="dxa" w:w="140"/>
            </w:tcMar>
          </w:tcPr>
          <w:p>
            <w:r>
              <w:rPr>
                <w:rFonts w:ascii="Calibri" w:cs="Calibri" w:eastAsia="Calibri" w:hAnsi="Calibri"/>
                <w:b/>
                <w:bCs/>
                <w:sz w:val="24"/>
                <w:szCs w:val="24"/>
              </w:rPr>
              <w:t xml:space="preserve">Assigned To: Manager Email</w:t>
            </w:r>
          </w:p>
        </w:tc>
        <w:tc>
          <w:tcPr>
            <w:tcW w:type="dxa" w:w="4648"/>
            <w:tcBorders>
              <w:top w:val="single" w:color="B0C4DE" w:sz="1"/>
              <w:left w:val="single" w:color="B0C4DE" w:sz="1"/>
              <w:bottom w:val="single" w:color="B0C4DE" w:sz="1"/>
              <w:right w:val="single" w:color="B0C4DE" w:sz="1"/>
            </w:tcBorders>
            <w:shd w:fill="FFFFFF" w:val="clear"/>
            <w:tcMar>
              <w:top w:type="dxa" w:w="90"/>
              <w:left w:type="dxa" w:w="140"/>
              <w:bottom w:type="dxa" w:w="90"/>
              <w:right w:type="dxa" w:w="140"/>
            </w:tcMar>
          </w:tcPr>
          <w:p>
            <w:pPr>
              <w:jc w:val="both"/>
            </w:pPr>
            <w:r>
              <w:rPr>
                <w:rFonts w:ascii="Calibri" w:cs="Calibri" w:eastAsia="Calibri" w:hAnsi="Calibri"/>
                <w:sz w:val="24"/>
                <w:szCs w:val="24"/>
              </w:rPr>
              <w:t xml:space="preserve">A two-level Dot Walk that displays the email address of the assigned employee's manager. Enables direct manager contact for escalation without additional research by the agent.</w:t>
            </w:r>
          </w:p>
        </w:tc>
      </w:tr>
    </w:tbl>
    <w:p>
      <w:pPr>
        <w:spacing w:before="120" w:after="80"/>
      </w:pPr>
      <w:r>
        <w:t xml:space="preserve"/>
      </w:r>
    </w:p>
    <w:p>
      <w:pPr>
        <w:pStyle w:val="Heading2"/>
        <w:spacing w:before="300" w:after="140"/>
      </w:pPr>
      <w:r>
        <w:rPr>
          <w:rFonts w:ascii="Calibri" w:cs="Calibri" w:eastAsia="Calibri" w:hAnsi="Calibri"/>
          <w:b/>
          <w:bCs/>
          <w:color w:val="2E5496"/>
          <w:sz w:val="28"/>
          <w:szCs w:val="28"/>
        </w:rPr>
        <w:t xml:space="preserve">6.2 Form Layout Design Decisions</w:t>
      </w:r>
    </w:p>
    <w:p>
      <w:pPr>
        <w:pStyle w:val="ListParagraph"/>
        <w:numPr>
          <w:ilvl w:val="0"/>
          <w:numId w:val="2"/>
        </w:numPr>
        <w:spacing w:line="360" w:lineRule="auto" w:before="60" w:after="60"/>
      </w:pPr>
      <w:r>
        <w:rPr>
          <w:rFonts w:ascii="Calibri" w:cs="Calibri" w:eastAsia="Calibri" w:hAnsi="Calibri"/>
          <w:sz w:val="24"/>
          <w:szCs w:val="24"/>
        </w:rPr>
        <w:t xml:space="preserve">The Dot Walking fields are grouped together in a dedicated section of the Incident form, positioned immediately below the Assigned To field to which they are logically related, reinforcing the visual association between the reference field and its derived display values.</w:t>
      </w:r>
    </w:p>
    <w:p>
      <w:pPr>
        <w:pStyle w:val="ListParagraph"/>
        <w:numPr>
          <w:ilvl w:val="0"/>
          <w:numId w:val="2"/>
        </w:numPr>
        <w:spacing w:line="360" w:lineRule="auto" w:before="60" w:after="60"/>
      </w:pPr>
      <w:r>
        <w:rPr>
          <w:rFonts w:ascii="Calibri" w:cs="Calibri" w:eastAsia="Calibri" w:hAnsi="Calibri"/>
          <w:sz w:val="24"/>
          <w:szCs w:val="24"/>
        </w:rPr>
        <w:t xml:space="preserve">All four Dot Walking fields are configured as read-only display fields, as their values are derived automatically from referenced records and must not be manually editable by incident agents.</w:t>
      </w:r>
    </w:p>
    <w:p>
      <w:pPr>
        <w:pStyle w:val="ListParagraph"/>
        <w:numPr>
          <w:ilvl w:val="0"/>
          <w:numId w:val="2"/>
        </w:numPr>
        <w:spacing w:line="360" w:lineRule="auto" w:before="60" w:after="60"/>
      </w:pPr>
      <w:r>
        <w:rPr>
          <w:rFonts w:ascii="Calibri" w:cs="Calibri" w:eastAsia="Calibri" w:hAnsi="Calibri"/>
          <w:sz w:val="24"/>
          <w:szCs w:val="24"/>
        </w:rPr>
        <w:t xml:space="preserve">The fields are assigned descriptive display labels that clearly communicate to agents the source and meaning of the displayed information (e.g., Assigned To: Department rather than simply Department).</w:t>
      </w:r>
    </w:p>
    <w:p>
      <w:pPr>
        <w:pStyle w:val="ListParagraph"/>
        <w:numPr>
          <w:ilvl w:val="0"/>
          <w:numId w:val="2"/>
        </w:numPr>
        <w:spacing w:line="360" w:lineRule="auto" w:before="60" w:after="60"/>
      </w:pPr>
      <w:r>
        <w:rPr>
          <w:rFonts w:ascii="Calibri" w:cs="Calibri" w:eastAsia="Calibri" w:hAnsi="Calibri"/>
          <w:sz w:val="24"/>
          <w:szCs w:val="24"/>
        </w:rPr>
        <w:t xml:space="preserve">The form layout is accessed through the Form Layout configuration tool via right-click Configure, which allows modifications to be made without impacting the underlying table schema or other views of the Incident form.</w:t>
      </w:r>
    </w:p>
    <w:p>
      <w:pPr>
        <w:spacing w:before="100" w:after="80"/>
      </w:pPr>
      <w: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F3864" w:sz="1"/>
              <w:left w:val="single" w:color="1F3864" w:sz="1"/>
              <w:bottom w:val="single" w:color="1F3864" w:sz="1"/>
              <w:right w:val="single" w:color="1F3864" w:sz="1"/>
            </w:tcBorders>
            <w:shd w:fill="1F3864" w:val="clear"/>
            <w:tcMar>
              <w:top w:type="dxa" w:w="120"/>
              <w:left w:type="dxa" w:w="240"/>
              <w:bottom w:type="dxa" w:w="120"/>
              <w:right w:type="dxa" w:w="240"/>
            </w:tcMar>
          </w:tcPr>
          <w:p>
            <w:r>
              <w:rPr>
                <w:rFonts w:ascii="Calibri" w:cs="Calibri" w:eastAsia="Calibri" w:hAnsi="Calibri"/>
                <w:b/>
                <w:bCs/>
                <w:color w:val="FFFFFF"/>
                <w:sz w:val="22"/>
                <w:szCs w:val="22"/>
              </w:rPr>
              <w:t xml:space="preserve">Section 7  —  Priority Configuration Design</w:t>
            </w:r>
          </w:p>
        </w:tc>
      </w:tr>
    </w:tbl>
    <w:p>
      <w:pPr>
        <w:spacing w:before="80" w:after="80"/>
      </w:pPr>
      <w:r>
        <w:t xml:space="preserve"/>
      </w:r>
    </w:p>
    <w:p>
      <w:pPr>
        <w:pStyle w:val="Heading1"/>
        <w:spacing w:before="440" w:after="160"/>
      </w:pPr>
      <w:r>
        <w:rPr>
          <w:rFonts w:ascii="Calibri" w:cs="Calibri" w:eastAsia="Calibri" w:hAnsi="Calibri"/>
          <w:b/>
          <w:bCs/>
          <w:color w:val="1F3864"/>
          <w:sz w:val="34"/>
          <w:szCs w:val="34"/>
        </w:rPr>
        <w:t xml:space="preserve">7. Priority Configuration Design</w:t>
      </w:r>
    </w:p>
    <w:p>
      <w:pPr>
        <w:pBdr>
          <w:bottom w:val="single" w:color="2E5496" w:sz="6" w:space="1"/>
        </w:pBdr>
        <w:spacing w:before="100" w:after="100"/>
      </w:pPr>
      <w:r>
        <w:t xml:space="preserve"/>
      </w:r>
    </w:p>
    <w:p>
      <w:pPr>
        <w:spacing w:before="60" w:after="80"/>
      </w:pPr>
      <w:r>
        <w:t xml:space="preserve"/>
      </w:r>
    </w:p>
    <w:p>
      <w:pPr>
        <w:spacing w:line="360" w:lineRule="auto" w:before="80" w:after="160"/>
        <w:ind w:firstLine="720"/>
        <w:jc w:val="both"/>
      </w:pPr>
      <w:r>
        <w:rPr>
          <w:rFonts w:ascii="Calibri" w:cs="Calibri" w:eastAsia="Calibri" w:hAnsi="Calibri"/>
          <w:sz w:val="24"/>
          <w:szCs w:val="24"/>
        </w:rPr>
        <w:t xml:space="preserve">In ServiceNow's standard data model, the Priority field is defined in the Task table's data dictionary and inherited by all tables that extend Task, including the Incident table. The Task table defines a default priority value of 4 (Low), meaning that all newly created incident records receive a default priority of Low unless the agent manually selects a different value during incident creation.</w:t>
      </w:r>
    </w:p>
    <w:p>
      <w:pPr>
        <w:spacing w:line="360" w:lineRule="auto" w:before="80" w:after="160"/>
        <w:ind w:firstLine="720"/>
        <w:jc w:val="both"/>
      </w:pPr>
      <w:r>
        <w:rPr>
          <w:rFonts w:ascii="Calibri" w:cs="Calibri" w:eastAsia="Calibri" w:hAnsi="Calibri"/>
          <w:sz w:val="24"/>
          <w:szCs w:val="24"/>
        </w:rPr>
        <w:t xml:space="preserve">The design decision for this project is to customise the default priority for incident records to 3 (Moderate) using ServiceNow's Dictionary Override mechanism. This decision is driven by the recognition that incidents represent unplanned disruptions to service, and a default priority of Low understates the urgency typically associated with incident creation. By setting the default to Moderate, the design ensures that newly created incidents receive a baseline priority that better reflects the organisation's expected response standard, while still permitting agents to adjust priority as required by individual incident circumstances.</w:t>
      </w:r>
    </w:p>
    <w:p>
      <w:pPr>
        <w:pStyle w:val="Heading2"/>
        <w:spacing w:before="300" w:after="140"/>
      </w:pPr>
      <w:r>
        <w:rPr>
          <w:rFonts w:ascii="Calibri" w:cs="Calibri" w:eastAsia="Calibri" w:hAnsi="Calibri"/>
          <w:b/>
          <w:bCs/>
          <w:color w:val="2E5496"/>
          <w:sz w:val="28"/>
          <w:szCs w:val="28"/>
        </w:rPr>
        <w:t xml:space="preserve">7.1 Priority Scale Reference</w:t>
      </w:r>
    </w:p>
    <w:p>
      <w:pPr>
        <w:spacing w:before="60" w:after="80"/>
      </w:pPr>
      <w: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200"/>
        <w:gridCol w:w="3648"/>
      </w:tblGrid>
      <w:tr>
        <w:trPr>
          <w:tblHeader/>
        </w:trPr>
        <w:tc>
          <w:tcPr>
            <w:tcW w:type="dxa" w:w="16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jc w:val="center"/>
            </w:pPr>
            <w:r>
              <w:rPr>
                <w:rFonts w:ascii="Calibri" w:cs="Calibri" w:eastAsia="Calibri" w:hAnsi="Calibri"/>
                <w:b/>
                <w:bCs/>
                <w:color w:val="FFFFFF"/>
                <w:sz w:val="24"/>
                <w:szCs w:val="24"/>
              </w:rPr>
              <w:t xml:space="preserve">Priority Value</w:t>
            </w:r>
          </w:p>
        </w:tc>
        <w:tc>
          <w:tcPr>
            <w:tcW w:type="dxa" w:w="22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jc w:val="center"/>
            </w:pPr>
            <w:r>
              <w:rPr>
                <w:rFonts w:ascii="Calibri" w:cs="Calibri" w:eastAsia="Calibri" w:hAnsi="Calibri"/>
                <w:b/>
                <w:bCs/>
                <w:color w:val="FFFFFF"/>
                <w:sz w:val="24"/>
                <w:szCs w:val="24"/>
              </w:rPr>
              <w:t xml:space="preserve">Priority Label</w:t>
            </w:r>
          </w:p>
        </w:tc>
        <w:tc>
          <w:tcPr>
            <w:tcW w:type="dxa" w:w="22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jc w:val="center"/>
            </w:pPr>
            <w:r>
              <w:rPr>
                <w:rFonts w:ascii="Calibri" w:cs="Calibri" w:eastAsia="Calibri" w:hAnsi="Calibri"/>
                <w:b/>
                <w:bCs/>
                <w:color w:val="FFFFFF"/>
                <w:sz w:val="24"/>
                <w:szCs w:val="24"/>
              </w:rPr>
              <w:t xml:space="preserve">Applies To</w:t>
            </w:r>
          </w:p>
        </w:tc>
        <w:tc>
          <w:tcPr>
            <w:tcW w:type="dxa" w:w="3648"/>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jc w:val="center"/>
            </w:pPr>
            <w:r>
              <w:rPr>
                <w:rFonts w:ascii="Calibri" w:cs="Calibri" w:eastAsia="Calibri" w:hAnsi="Calibri"/>
                <w:b/>
                <w:bCs/>
                <w:color w:val="FFFFFF"/>
                <w:sz w:val="24"/>
                <w:szCs w:val="24"/>
              </w:rPr>
              <w:t xml:space="preserve">Design Decision</w:t>
            </w:r>
          </w:p>
        </w:tc>
      </w:tr>
      <w:tr>
        <w:tc>
          <w:tcPr>
            <w:tcW w:type="dxa" w:w="1600"/>
            <w:tcBorders>
              <w:top w:val="single" w:color="B0C4DE" w:sz="1"/>
              <w:left w:val="single" w:color="B0C4DE" w:sz="1"/>
              <w:bottom w:val="single" w:color="B0C4DE" w:sz="1"/>
              <w:right w:val="single" w:color="B0C4DE" w:sz="1"/>
            </w:tcBorders>
            <w:shd w:fill="FFFFFF" w:val="clear"/>
            <w:tcMar>
              <w:top w:type="dxa" w:w="90"/>
              <w:left w:type="dxa" w:w="140"/>
              <w:bottom w:type="dxa" w:w="90"/>
              <w:right w:type="dxa" w:w="140"/>
            </w:tcMar>
          </w:tcPr>
          <w:p>
            <w:pPr>
              <w:jc w:val="center"/>
            </w:pPr>
            <w:r>
              <w:rPr>
                <w:rFonts w:ascii="Calibri" w:cs="Calibri" w:eastAsia="Calibri" w:hAnsi="Calibri"/>
                <w:b/>
                <w:bCs/>
                <w:color w:val="C00000"/>
                <w:sz w:val="24"/>
                <w:szCs w:val="24"/>
              </w:rPr>
              <w:t xml:space="preserve">1</w:t>
            </w:r>
          </w:p>
        </w:tc>
        <w:tc>
          <w:tcPr>
            <w:tcW w:type="dxa" w:w="2200"/>
            <w:tcBorders>
              <w:top w:val="single" w:color="B0C4DE" w:sz="1"/>
              <w:left w:val="single" w:color="B0C4DE" w:sz="1"/>
              <w:bottom w:val="single" w:color="B0C4DE" w:sz="1"/>
              <w:right w:val="single" w:color="B0C4DE" w:sz="1"/>
            </w:tcBorders>
            <w:shd w:fill="EBF3FB" w:val="clear"/>
            <w:tcMar>
              <w:top w:type="dxa" w:w="90"/>
              <w:left w:type="dxa" w:w="140"/>
              <w:bottom w:type="dxa" w:w="90"/>
              <w:right w:type="dxa" w:w="140"/>
            </w:tcMar>
          </w:tcPr>
          <w:p>
            <w:r>
              <w:rPr>
                <w:rFonts w:ascii="Calibri" w:cs="Calibri" w:eastAsia="Calibri" w:hAnsi="Calibri"/>
                <w:b w:val="false"/>
                <w:bCs w:val="false"/>
                <w:sz w:val="24"/>
                <w:szCs w:val="24"/>
              </w:rPr>
              <w:t xml:space="preserve">Critical</w:t>
            </w:r>
          </w:p>
        </w:tc>
        <w:tc>
          <w:tcPr>
            <w:tcW w:type="dxa" w:w="2200"/>
            <w:tcBorders>
              <w:top w:val="single" w:color="B0C4DE" w:sz="1"/>
              <w:left w:val="single" w:color="B0C4DE" w:sz="1"/>
              <w:bottom w:val="single" w:color="B0C4DE" w:sz="1"/>
              <w:right w:val="single" w:color="B0C4DE" w:sz="1"/>
            </w:tcBorders>
            <w:shd w:fill="FFFFFF" w:val="clear"/>
            <w:tcMar>
              <w:top w:type="dxa" w:w="90"/>
              <w:left w:type="dxa" w:w="140"/>
              <w:bottom w:type="dxa" w:w="90"/>
              <w:right w:type="dxa" w:w="140"/>
            </w:tcMar>
          </w:tcPr>
          <w:p>
            <w:r>
              <w:rPr>
                <w:rFonts w:ascii="Calibri" w:cs="Calibri" w:eastAsia="Calibri" w:hAnsi="Calibri"/>
                <w:b w:val="false"/>
                <w:bCs w:val="false"/>
                <w:sz w:val="24"/>
                <w:szCs w:val="24"/>
              </w:rPr>
              <w:t xml:space="preserve">All task-based tables</w:t>
            </w:r>
          </w:p>
        </w:tc>
        <w:tc>
          <w:tcPr>
            <w:tcW w:type="dxa" w:w="3648"/>
            <w:tcBorders>
              <w:top w:val="single" w:color="B0C4DE" w:sz="1"/>
              <w:left w:val="single" w:color="B0C4DE" w:sz="1"/>
              <w:bottom w:val="single" w:color="B0C4DE" w:sz="1"/>
              <w:right w:val="single" w:color="B0C4DE" w:sz="1"/>
            </w:tcBorders>
            <w:shd w:fill="EBF3FB" w:val="clear"/>
            <w:tcMar>
              <w:top w:type="dxa" w:w="90"/>
              <w:left w:type="dxa" w:w="140"/>
              <w:bottom w:type="dxa" w:w="90"/>
              <w:right w:type="dxa" w:w="140"/>
            </w:tcMar>
          </w:tcPr>
          <w:p>
            <w:pPr>
              <w:jc w:val="both"/>
            </w:pPr>
            <w:r>
              <w:rPr>
                <w:rFonts w:ascii="Calibri" w:cs="Calibri" w:eastAsia="Calibri" w:hAnsi="Calibri"/>
                <w:b w:val="false"/>
                <w:bCs w:val="false"/>
                <w:sz w:val="24"/>
                <w:szCs w:val="24"/>
              </w:rPr>
              <w:t xml:space="preserve">Inherited from Task — no override required.</w:t>
            </w:r>
          </w:p>
        </w:tc>
      </w:tr>
      <w:tr>
        <w:tc>
          <w:tcPr>
            <w:tcW w:type="dxa" w:w="1600"/>
            <w:tcBorders>
              <w:top w:val="single" w:color="B0C4DE" w:sz="1"/>
              <w:left w:val="single" w:color="B0C4DE" w:sz="1"/>
              <w:bottom w:val="single" w:color="B0C4DE" w:sz="1"/>
              <w:right w:val="single" w:color="B0C4DE" w:sz="1"/>
            </w:tcBorders>
            <w:shd w:fill="FFFFFF" w:val="clear"/>
            <w:tcMar>
              <w:top w:type="dxa" w:w="90"/>
              <w:left w:type="dxa" w:w="140"/>
              <w:bottom w:type="dxa" w:w="90"/>
              <w:right w:type="dxa" w:w="140"/>
            </w:tcMar>
          </w:tcPr>
          <w:p>
            <w:pPr>
              <w:jc w:val="center"/>
            </w:pPr>
            <w:r>
              <w:rPr>
                <w:rFonts w:ascii="Calibri" w:cs="Calibri" w:eastAsia="Calibri" w:hAnsi="Calibri"/>
                <w:b/>
                <w:bCs/>
                <w:color w:val="E36C0A"/>
                <w:sz w:val="24"/>
                <w:szCs w:val="24"/>
              </w:rPr>
              <w:t xml:space="preserve">2</w:t>
            </w:r>
          </w:p>
        </w:tc>
        <w:tc>
          <w:tcPr>
            <w:tcW w:type="dxa" w:w="2200"/>
            <w:tcBorders>
              <w:top w:val="single" w:color="B0C4DE" w:sz="1"/>
              <w:left w:val="single" w:color="B0C4DE" w:sz="1"/>
              <w:bottom w:val="single" w:color="B0C4DE" w:sz="1"/>
              <w:right w:val="single" w:color="B0C4DE" w:sz="1"/>
            </w:tcBorders>
            <w:shd w:fill="EBF3FB" w:val="clear"/>
            <w:tcMar>
              <w:top w:type="dxa" w:w="90"/>
              <w:left w:type="dxa" w:w="140"/>
              <w:bottom w:type="dxa" w:w="90"/>
              <w:right w:type="dxa" w:w="140"/>
            </w:tcMar>
          </w:tcPr>
          <w:p>
            <w:r>
              <w:rPr>
                <w:rFonts w:ascii="Calibri" w:cs="Calibri" w:eastAsia="Calibri" w:hAnsi="Calibri"/>
                <w:b w:val="false"/>
                <w:bCs w:val="false"/>
                <w:sz w:val="24"/>
                <w:szCs w:val="24"/>
              </w:rPr>
              <w:t xml:space="preserve">High</w:t>
            </w:r>
          </w:p>
        </w:tc>
        <w:tc>
          <w:tcPr>
            <w:tcW w:type="dxa" w:w="2200"/>
            <w:tcBorders>
              <w:top w:val="single" w:color="B0C4DE" w:sz="1"/>
              <w:left w:val="single" w:color="B0C4DE" w:sz="1"/>
              <w:bottom w:val="single" w:color="B0C4DE" w:sz="1"/>
              <w:right w:val="single" w:color="B0C4DE" w:sz="1"/>
            </w:tcBorders>
            <w:shd w:fill="FFFFFF" w:val="clear"/>
            <w:tcMar>
              <w:top w:type="dxa" w:w="90"/>
              <w:left w:type="dxa" w:w="140"/>
              <w:bottom w:type="dxa" w:w="90"/>
              <w:right w:type="dxa" w:w="140"/>
            </w:tcMar>
          </w:tcPr>
          <w:p>
            <w:r>
              <w:rPr>
                <w:rFonts w:ascii="Calibri" w:cs="Calibri" w:eastAsia="Calibri" w:hAnsi="Calibri"/>
                <w:b w:val="false"/>
                <w:bCs w:val="false"/>
                <w:sz w:val="24"/>
                <w:szCs w:val="24"/>
              </w:rPr>
              <w:t xml:space="preserve">All task-based tables</w:t>
            </w:r>
          </w:p>
        </w:tc>
        <w:tc>
          <w:tcPr>
            <w:tcW w:type="dxa" w:w="3648"/>
            <w:tcBorders>
              <w:top w:val="single" w:color="B0C4DE" w:sz="1"/>
              <w:left w:val="single" w:color="B0C4DE" w:sz="1"/>
              <w:bottom w:val="single" w:color="B0C4DE" w:sz="1"/>
              <w:right w:val="single" w:color="B0C4DE" w:sz="1"/>
            </w:tcBorders>
            <w:shd w:fill="EBF3FB" w:val="clear"/>
            <w:tcMar>
              <w:top w:type="dxa" w:w="90"/>
              <w:left w:type="dxa" w:w="140"/>
              <w:bottom w:type="dxa" w:w="90"/>
              <w:right w:type="dxa" w:w="140"/>
            </w:tcMar>
          </w:tcPr>
          <w:p>
            <w:pPr>
              <w:jc w:val="both"/>
            </w:pPr>
            <w:r>
              <w:rPr>
                <w:rFonts w:ascii="Calibri" w:cs="Calibri" w:eastAsia="Calibri" w:hAnsi="Calibri"/>
                <w:b w:val="false"/>
                <w:bCs w:val="false"/>
                <w:sz w:val="24"/>
                <w:szCs w:val="24"/>
              </w:rPr>
              <w:t xml:space="preserve">Inherited from Task — no override required.</w:t>
            </w:r>
          </w:p>
        </w:tc>
      </w:tr>
      <w:tr>
        <w:tc>
          <w:tcPr>
            <w:tcW w:type="dxa" w:w="1600"/>
            <w:tcBorders>
              <w:top w:val="single" w:color="B0C4DE" w:sz="1"/>
              <w:left w:val="single" w:color="B0C4DE" w:sz="1"/>
              <w:bottom w:val="single" w:color="B0C4DE" w:sz="1"/>
              <w:right w:val="single" w:color="B0C4DE" w:sz="1"/>
            </w:tcBorders>
            <w:shd w:fill="D4EDDA" w:val="clear"/>
            <w:tcMar>
              <w:top w:type="dxa" w:w="90"/>
              <w:left w:type="dxa" w:w="140"/>
              <w:bottom w:type="dxa" w:w="90"/>
              <w:right w:type="dxa" w:w="140"/>
            </w:tcMar>
          </w:tcPr>
          <w:p>
            <w:pPr>
              <w:jc w:val="center"/>
            </w:pPr>
            <w:r>
              <w:rPr>
                <w:rFonts w:ascii="Calibri" w:cs="Calibri" w:eastAsia="Calibri" w:hAnsi="Calibri"/>
                <w:b/>
                <w:bCs/>
                <w:color w:val="1A6B42"/>
                <w:sz w:val="24"/>
                <w:szCs w:val="24"/>
              </w:rPr>
              <w:t xml:space="preserve">3</w:t>
            </w:r>
          </w:p>
        </w:tc>
        <w:tc>
          <w:tcPr>
            <w:tcW w:type="dxa" w:w="2200"/>
            <w:tcBorders>
              <w:top w:val="single" w:color="B0C4DE" w:sz="1"/>
              <w:left w:val="single" w:color="B0C4DE" w:sz="1"/>
              <w:bottom w:val="single" w:color="B0C4DE" w:sz="1"/>
              <w:right w:val="single" w:color="B0C4DE" w:sz="1"/>
            </w:tcBorders>
            <w:shd w:fill="D4EDDA" w:val="clear"/>
            <w:tcMar>
              <w:top w:type="dxa" w:w="90"/>
              <w:left w:type="dxa" w:w="140"/>
              <w:bottom w:type="dxa" w:w="90"/>
              <w:right w:type="dxa" w:w="140"/>
            </w:tcMar>
          </w:tcPr>
          <w:p>
            <w:r>
              <w:rPr>
                <w:rFonts w:ascii="Calibri" w:cs="Calibri" w:eastAsia="Calibri" w:hAnsi="Calibri"/>
                <w:b/>
                <w:bCs/>
                <w:color w:val="1A6B42"/>
                <w:sz w:val="24"/>
                <w:szCs w:val="24"/>
              </w:rPr>
              <w:t xml:space="preserve">Moderate</w:t>
            </w:r>
          </w:p>
        </w:tc>
        <w:tc>
          <w:tcPr>
            <w:tcW w:type="dxa" w:w="2200"/>
            <w:tcBorders>
              <w:top w:val="single" w:color="B0C4DE" w:sz="1"/>
              <w:left w:val="single" w:color="B0C4DE" w:sz="1"/>
              <w:bottom w:val="single" w:color="B0C4DE" w:sz="1"/>
              <w:right w:val="single" w:color="B0C4DE" w:sz="1"/>
            </w:tcBorders>
            <w:shd w:fill="D4EDDA" w:val="clear"/>
            <w:tcMar>
              <w:top w:type="dxa" w:w="90"/>
              <w:left w:type="dxa" w:w="140"/>
              <w:bottom w:type="dxa" w:w="90"/>
              <w:right w:type="dxa" w:w="140"/>
            </w:tcMar>
          </w:tcPr>
          <w:p>
            <w:r>
              <w:rPr>
                <w:rFonts w:ascii="Calibri" w:cs="Calibri" w:eastAsia="Calibri" w:hAnsi="Calibri"/>
                <w:b/>
                <w:bCs/>
                <w:sz w:val="24"/>
                <w:szCs w:val="24"/>
              </w:rPr>
              <w:t xml:space="preserve">Incident table only</w:t>
            </w:r>
          </w:p>
        </w:tc>
        <w:tc>
          <w:tcPr>
            <w:tcW w:type="dxa" w:w="3648"/>
            <w:tcBorders>
              <w:top w:val="single" w:color="B0C4DE" w:sz="1"/>
              <w:left w:val="single" w:color="B0C4DE" w:sz="1"/>
              <w:bottom w:val="single" w:color="B0C4DE" w:sz="1"/>
              <w:right w:val="single" w:color="B0C4DE" w:sz="1"/>
            </w:tcBorders>
            <w:shd w:fill="D4EDDA" w:val="clear"/>
            <w:tcMar>
              <w:top w:type="dxa" w:w="90"/>
              <w:left w:type="dxa" w:w="140"/>
              <w:bottom w:type="dxa" w:w="90"/>
              <w:right w:type="dxa" w:w="140"/>
            </w:tcMar>
          </w:tcPr>
          <w:p>
            <w:pPr>
              <w:jc w:val="both"/>
            </w:pPr>
            <w:r>
              <w:rPr>
                <w:rFonts w:ascii="Calibri" w:cs="Calibri" w:eastAsia="Calibri" w:hAnsi="Calibri"/>
                <w:b/>
                <w:bCs/>
                <w:color w:val="1A6B42"/>
                <w:sz w:val="24"/>
                <w:szCs w:val="24"/>
              </w:rPr>
              <w:t xml:space="preserve">SELECTED — Dictionary Override applied for all new incidents.</w:t>
            </w:r>
          </w:p>
        </w:tc>
      </w:tr>
      <w:tr>
        <w:tc>
          <w:tcPr>
            <w:tcW w:type="dxa" w:w="1600"/>
            <w:tcBorders>
              <w:top w:val="single" w:color="B0C4DE" w:sz="1"/>
              <w:left w:val="single" w:color="B0C4DE" w:sz="1"/>
              <w:bottom w:val="single" w:color="B0C4DE" w:sz="1"/>
              <w:right w:val="single" w:color="B0C4DE" w:sz="1"/>
            </w:tcBorders>
            <w:shd w:fill="FFFFFF" w:val="clear"/>
            <w:tcMar>
              <w:top w:type="dxa" w:w="90"/>
              <w:left w:type="dxa" w:w="140"/>
              <w:bottom w:type="dxa" w:w="90"/>
              <w:right w:type="dxa" w:w="140"/>
            </w:tcMar>
          </w:tcPr>
          <w:p>
            <w:pPr>
              <w:jc w:val="center"/>
            </w:pPr>
            <w:r>
              <w:rPr>
                <w:rFonts w:ascii="Calibri" w:cs="Calibri" w:eastAsia="Calibri" w:hAnsi="Calibri"/>
                <w:b/>
                <w:bCs/>
                <w:color w:val="375A8C"/>
                <w:sz w:val="24"/>
                <w:szCs w:val="24"/>
              </w:rPr>
              <w:t xml:space="preserve">4</w:t>
            </w:r>
          </w:p>
        </w:tc>
        <w:tc>
          <w:tcPr>
            <w:tcW w:type="dxa" w:w="2200"/>
            <w:tcBorders>
              <w:top w:val="single" w:color="B0C4DE" w:sz="1"/>
              <w:left w:val="single" w:color="B0C4DE" w:sz="1"/>
              <w:bottom w:val="single" w:color="B0C4DE" w:sz="1"/>
              <w:right w:val="single" w:color="B0C4DE" w:sz="1"/>
            </w:tcBorders>
            <w:shd w:fill="EBF3FB" w:val="clear"/>
            <w:tcMar>
              <w:top w:type="dxa" w:w="90"/>
              <w:left w:type="dxa" w:w="140"/>
              <w:bottom w:type="dxa" w:w="90"/>
              <w:right w:type="dxa" w:w="140"/>
            </w:tcMar>
          </w:tcPr>
          <w:p>
            <w:r>
              <w:rPr>
                <w:rFonts w:ascii="Calibri" w:cs="Calibri" w:eastAsia="Calibri" w:hAnsi="Calibri"/>
                <w:b w:val="false"/>
                <w:bCs w:val="false"/>
                <w:sz w:val="24"/>
                <w:szCs w:val="24"/>
              </w:rPr>
              <w:t xml:space="preserve">Low</w:t>
            </w:r>
          </w:p>
        </w:tc>
        <w:tc>
          <w:tcPr>
            <w:tcW w:type="dxa" w:w="2200"/>
            <w:tcBorders>
              <w:top w:val="single" w:color="B0C4DE" w:sz="1"/>
              <w:left w:val="single" w:color="B0C4DE" w:sz="1"/>
              <w:bottom w:val="single" w:color="B0C4DE" w:sz="1"/>
              <w:right w:val="single" w:color="B0C4DE" w:sz="1"/>
            </w:tcBorders>
            <w:shd w:fill="FFFFFF" w:val="clear"/>
            <w:tcMar>
              <w:top w:type="dxa" w:w="90"/>
              <w:left w:type="dxa" w:w="140"/>
              <w:bottom w:type="dxa" w:w="90"/>
              <w:right w:type="dxa" w:w="140"/>
            </w:tcMar>
          </w:tcPr>
          <w:p>
            <w:r>
              <w:rPr>
                <w:rFonts w:ascii="Calibri" w:cs="Calibri" w:eastAsia="Calibri" w:hAnsi="Calibri"/>
                <w:b w:val="false"/>
                <w:bCs w:val="false"/>
                <w:sz w:val="24"/>
                <w:szCs w:val="24"/>
              </w:rPr>
              <w:t xml:space="preserve">Task (original default)</w:t>
            </w:r>
          </w:p>
        </w:tc>
        <w:tc>
          <w:tcPr>
            <w:tcW w:type="dxa" w:w="3648"/>
            <w:tcBorders>
              <w:top w:val="single" w:color="B0C4DE" w:sz="1"/>
              <w:left w:val="single" w:color="B0C4DE" w:sz="1"/>
              <w:bottom w:val="single" w:color="B0C4DE" w:sz="1"/>
              <w:right w:val="single" w:color="B0C4DE" w:sz="1"/>
            </w:tcBorders>
            <w:shd w:fill="EBF3FB" w:val="clear"/>
            <w:tcMar>
              <w:top w:type="dxa" w:w="90"/>
              <w:left w:type="dxa" w:w="140"/>
              <w:bottom w:type="dxa" w:w="90"/>
              <w:right w:type="dxa" w:w="140"/>
            </w:tcMar>
          </w:tcPr>
          <w:p>
            <w:pPr>
              <w:jc w:val="both"/>
            </w:pPr>
            <w:r>
              <w:rPr>
                <w:rFonts w:ascii="Calibri" w:cs="Calibri" w:eastAsia="Calibri" w:hAnsi="Calibri"/>
                <w:b w:val="false"/>
                <w:bCs w:val="false"/>
                <w:sz w:val="24"/>
                <w:szCs w:val="24"/>
              </w:rPr>
              <w:t xml:space="preserve">System default before override. Replaced for Incident table.</w:t>
            </w:r>
          </w:p>
        </w:tc>
      </w:tr>
      <w:tr>
        <w:tc>
          <w:tcPr>
            <w:tcW w:type="dxa" w:w="1600"/>
            <w:tcBorders>
              <w:top w:val="single" w:color="B0C4DE" w:sz="1"/>
              <w:left w:val="single" w:color="B0C4DE" w:sz="1"/>
              <w:bottom w:val="single" w:color="B0C4DE" w:sz="1"/>
              <w:right w:val="single" w:color="B0C4DE" w:sz="1"/>
            </w:tcBorders>
            <w:shd w:fill="FFFFFF" w:val="clear"/>
            <w:tcMar>
              <w:top w:type="dxa" w:w="90"/>
              <w:left w:type="dxa" w:w="140"/>
              <w:bottom w:type="dxa" w:w="90"/>
              <w:right w:type="dxa" w:w="140"/>
            </w:tcMar>
          </w:tcPr>
          <w:p>
            <w:pPr>
              <w:jc w:val="center"/>
            </w:pPr>
            <w:r>
              <w:rPr>
                <w:rFonts w:ascii="Calibri" w:cs="Calibri" w:eastAsia="Calibri" w:hAnsi="Calibri"/>
                <w:b/>
                <w:bCs/>
                <w:color w:val="999999"/>
                <w:sz w:val="24"/>
                <w:szCs w:val="24"/>
              </w:rPr>
              <w:t xml:space="preserve">5</w:t>
            </w:r>
          </w:p>
        </w:tc>
        <w:tc>
          <w:tcPr>
            <w:tcW w:type="dxa" w:w="2200"/>
            <w:tcBorders>
              <w:top w:val="single" w:color="B0C4DE" w:sz="1"/>
              <w:left w:val="single" w:color="B0C4DE" w:sz="1"/>
              <w:bottom w:val="single" w:color="B0C4DE" w:sz="1"/>
              <w:right w:val="single" w:color="B0C4DE" w:sz="1"/>
            </w:tcBorders>
            <w:shd w:fill="EBF3FB" w:val="clear"/>
            <w:tcMar>
              <w:top w:type="dxa" w:w="90"/>
              <w:left w:type="dxa" w:w="140"/>
              <w:bottom w:type="dxa" w:w="90"/>
              <w:right w:type="dxa" w:w="140"/>
            </w:tcMar>
          </w:tcPr>
          <w:p>
            <w:r>
              <w:rPr>
                <w:rFonts w:ascii="Calibri" w:cs="Calibri" w:eastAsia="Calibri" w:hAnsi="Calibri"/>
                <w:b w:val="false"/>
                <w:bCs w:val="false"/>
                <w:sz w:val="24"/>
                <w:szCs w:val="24"/>
              </w:rPr>
              <w:t xml:space="preserve">Planning</w:t>
            </w:r>
          </w:p>
        </w:tc>
        <w:tc>
          <w:tcPr>
            <w:tcW w:type="dxa" w:w="2200"/>
            <w:tcBorders>
              <w:top w:val="single" w:color="B0C4DE" w:sz="1"/>
              <w:left w:val="single" w:color="B0C4DE" w:sz="1"/>
              <w:bottom w:val="single" w:color="B0C4DE" w:sz="1"/>
              <w:right w:val="single" w:color="B0C4DE" w:sz="1"/>
            </w:tcBorders>
            <w:shd w:fill="FFFFFF" w:val="clear"/>
            <w:tcMar>
              <w:top w:type="dxa" w:w="90"/>
              <w:left w:type="dxa" w:w="140"/>
              <w:bottom w:type="dxa" w:w="90"/>
              <w:right w:type="dxa" w:w="140"/>
            </w:tcMar>
          </w:tcPr>
          <w:p>
            <w:r>
              <w:rPr>
                <w:rFonts w:ascii="Calibri" w:cs="Calibri" w:eastAsia="Calibri" w:hAnsi="Calibri"/>
                <w:b w:val="false"/>
                <w:bCs w:val="false"/>
                <w:sz w:val="24"/>
                <w:szCs w:val="24"/>
              </w:rPr>
              <w:t xml:space="preserve">All task-based tables</w:t>
            </w:r>
          </w:p>
        </w:tc>
        <w:tc>
          <w:tcPr>
            <w:tcW w:type="dxa" w:w="3648"/>
            <w:tcBorders>
              <w:top w:val="single" w:color="B0C4DE" w:sz="1"/>
              <w:left w:val="single" w:color="B0C4DE" w:sz="1"/>
              <w:bottom w:val="single" w:color="B0C4DE" w:sz="1"/>
              <w:right w:val="single" w:color="B0C4DE" w:sz="1"/>
            </w:tcBorders>
            <w:shd w:fill="EBF3FB" w:val="clear"/>
            <w:tcMar>
              <w:top w:type="dxa" w:w="90"/>
              <w:left w:type="dxa" w:w="140"/>
              <w:bottom w:type="dxa" w:w="90"/>
              <w:right w:type="dxa" w:w="140"/>
            </w:tcMar>
          </w:tcPr>
          <w:p>
            <w:pPr>
              <w:jc w:val="both"/>
            </w:pPr>
            <w:r>
              <w:rPr>
                <w:rFonts w:ascii="Calibri" w:cs="Calibri" w:eastAsia="Calibri" w:hAnsi="Calibri"/>
                <w:b w:val="false"/>
                <w:bCs w:val="false"/>
                <w:sz w:val="24"/>
                <w:szCs w:val="24"/>
              </w:rPr>
              <w:t xml:space="preserve">Inherited from Task — not applicable to incidents.</w:t>
            </w:r>
          </w:p>
        </w:tc>
      </w:tr>
    </w:tbl>
    <w:p>
      <w:pPr>
        <w:spacing w:before="120" w:after="80"/>
      </w:pPr>
      <w:r>
        <w:t xml:space="preserve"/>
      </w:r>
    </w:p>
    <w:p>
      <w:pPr>
        <w:pStyle w:val="Heading2"/>
        <w:spacing w:before="300" w:after="140"/>
      </w:pPr>
      <w:r>
        <w:rPr>
          <w:rFonts w:ascii="Calibri" w:cs="Calibri" w:eastAsia="Calibri" w:hAnsi="Calibri"/>
          <w:b/>
          <w:bCs/>
          <w:color w:val="2E5496"/>
          <w:sz w:val="28"/>
          <w:szCs w:val="28"/>
        </w:rPr>
        <w:t xml:space="preserve">7.2 Dictionary Override Design Rationale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00"/>
        <w:gridCol w:w="9448"/>
      </w:tblGrid>
      <w:tr>
        <w:tc>
          <w:tcPr>
            <w:tcW w:type="dxa" w:w="200"/>
            <w:tcBorders>
              <w:top w:val="single" w:color="1A6B42" w:sz="1"/>
              <w:left w:val="single" w:color="1A6B42" w:sz="1"/>
              <w:bottom w:val="single" w:color="1A6B42" w:sz="1"/>
              <w:right w:val="none" w:color="FFFFFF" w:sz="0"/>
            </w:tcBorders>
            <w:shd w:fill="1A6B42" w:val="clear"/>
            <w:tcMar>
              <w:top w:type="dxa" w:w="0"/>
              <w:left w:type="dxa" w:w="0"/>
              <w:bottom w:type="dxa" w:w="0"/>
              <w:right w:type="dxa" w:w="0"/>
            </w:tcMar>
          </w:tcPr>
          <w:p>
            <w:r>
              <w:t xml:space="preserve"/>
            </w:r>
          </w:p>
        </w:tc>
        <w:tc>
          <w:tcPr>
            <w:tcW w:type="dxa" w:w="9448"/>
            <w:tcBorders>
              <w:top w:val="single" w:color="1A6B42" w:sz="1"/>
              <w:left w:val="none" w:color="FFFFFF" w:sz="0"/>
              <w:bottom w:val="single" w:color="1A6B42" w:sz="1"/>
              <w:right w:val="single" w:color="1A6B42" w:sz="1"/>
            </w:tcBorders>
            <w:shd w:fill="EBF3FB" w:val="clear"/>
            <w:tcMar>
              <w:top w:type="dxa" w:w="120"/>
              <w:left w:type="dxa" w:w="200"/>
              <w:bottom w:type="dxa" w:w="120"/>
              <w:right w:type="dxa" w:w="200"/>
            </w:tcMar>
          </w:tcPr>
          <w:p>
            <w:pPr>
              <w:spacing w:before="0" w:after="80"/>
            </w:pPr>
            <w:r>
              <w:rPr>
                <w:rFonts w:ascii="Calibri" w:cs="Calibri" w:eastAsia="Calibri" w:hAnsi="Calibri"/>
                <w:b/>
                <w:bCs/>
                <w:color w:val="1A6B42"/>
                <w:sz w:val="24"/>
                <w:szCs w:val="24"/>
              </w:rPr>
              <w:t xml:space="preserve">Design Rationale: Priority Default Override via Dictionary Override</w:t>
            </w:r>
          </w:p>
          <w:p>
            <w:pPr>
              <w:pStyle w:val="ListParagraph"/>
              <w:numPr>
                <w:ilvl w:val="0"/>
                <w:numId w:val="2"/>
              </w:numPr>
              <w:spacing w:line="360" w:lineRule="auto" w:before="60" w:after="60"/>
            </w:pPr>
            <w:r>
              <w:rPr>
                <w:rFonts w:ascii="Calibri" w:cs="Calibri" w:eastAsia="Calibri" w:hAnsi="Calibri"/>
                <w:sz w:val="24"/>
                <w:szCs w:val="24"/>
              </w:rPr>
              <w:t xml:space="preserve">The Dictionary Override is applied at the Incident table level only, ensuring that other tables inheriting from Task (such as Problem and Change Request) are not affected by this customisation.</w:t>
            </w:r>
          </w:p>
          <w:p>
            <w:pPr>
              <w:pStyle w:val="ListParagraph"/>
              <w:numPr>
                <w:ilvl w:val="0"/>
                <w:numId w:val="2"/>
              </w:numPr>
              <w:spacing w:line="360" w:lineRule="auto" w:before="60" w:after="60"/>
            </w:pPr>
            <w:r>
              <w:rPr>
                <w:rFonts w:ascii="Calibri" w:cs="Calibri" w:eastAsia="Calibri" w:hAnsi="Calibri"/>
                <w:sz w:val="24"/>
                <w:szCs w:val="24"/>
              </w:rPr>
              <w:t xml:space="preserve">The override modifies only the default value attribute of the Priority field, leaving all other attributes (data type, mandatory status, choice list values) unchanged.</w:t>
            </w:r>
          </w:p>
          <w:p>
            <w:pPr>
              <w:pStyle w:val="ListParagraph"/>
              <w:numPr>
                <w:ilvl w:val="0"/>
                <w:numId w:val="2"/>
              </w:numPr>
              <w:spacing w:line="360" w:lineRule="auto" w:before="60" w:after="60"/>
            </w:pPr>
            <w:r>
              <w:rPr>
                <w:rFonts w:ascii="Calibri" w:cs="Calibri" w:eastAsia="Calibri" w:hAnsi="Calibri"/>
                <w:sz w:val="24"/>
                <w:szCs w:val="24"/>
              </w:rPr>
              <w:t xml:space="preserve">The override does not prevent agents from manually adjusting the priority of an incident during creation or editing; it only changes the pre-selected default value shown when a new incident form is opened.</w:t>
            </w:r>
          </w:p>
          <w:p>
            <w:pPr>
              <w:pStyle w:val="ListParagraph"/>
              <w:numPr>
                <w:ilvl w:val="0"/>
                <w:numId w:val="2"/>
              </w:numPr>
              <w:spacing w:line="360" w:lineRule="auto" w:before="60" w:after="60"/>
            </w:pPr>
            <w:r>
              <w:rPr>
                <w:rFonts w:ascii="Calibri" w:cs="Calibri" w:eastAsia="Calibri" w:hAnsi="Calibri"/>
                <w:sz w:val="24"/>
                <w:szCs w:val="24"/>
              </w:rPr>
              <w:t xml:space="preserve">Using Dictionary Override rather than directly editing the Task table dictionary entry preserves the base system configuration and adheres to ServiceNow's best practice of avoiding direct modification of out-of-the-box table definitions.</w:t>
            </w:r>
          </w:p>
        </w:tc>
      </w:tr>
    </w:tbl>
    <w:p>
      <w:pPr>
        <w:spacing w:before="100" w:after="80"/>
      </w:pPr>
      <w: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F3864" w:sz="1"/>
              <w:left w:val="single" w:color="1F3864" w:sz="1"/>
              <w:bottom w:val="single" w:color="1F3864" w:sz="1"/>
              <w:right w:val="single" w:color="1F3864" w:sz="1"/>
            </w:tcBorders>
            <w:shd w:fill="1F3864" w:val="clear"/>
            <w:tcMar>
              <w:top w:type="dxa" w:w="120"/>
              <w:left w:type="dxa" w:w="240"/>
              <w:bottom w:type="dxa" w:w="120"/>
              <w:right w:type="dxa" w:w="240"/>
            </w:tcMar>
          </w:tcPr>
          <w:p>
            <w:r>
              <w:rPr>
                <w:rFonts w:ascii="Calibri" w:cs="Calibri" w:eastAsia="Calibri" w:hAnsi="Calibri"/>
                <w:b/>
                <w:bCs/>
                <w:color w:val="FFFFFF"/>
                <w:sz w:val="22"/>
                <w:szCs w:val="22"/>
              </w:rPr>
              <w:t xml:space="preserve">Section 8  —  Process Workflow Design</w:t>
            </w:r>
          </w:p>
        </w:tc>
      </w:tr>
    </w:tbl>
    <w:p>
      <w:pPr>
        <w:spacing w:before="80" w:after="80"/>
      </w:pPr>
      <w:r>
        <w:t xml:space="preserve"/>
      </w:r>
    </w:p>
    <w:p>
      <w:pPr>
        <w:pStyle w:val="Heading1"/>
        <w:spacing w:before="440" w:after="160"/>
      </w:pPr>
      <w:r>
        <w:rPr>
          <w:rFonts w:ascii="Calibri" w:cs="Calibri" w:eastAsia="Calibri" w:hAnsi="Calibri"/>
          <w:b/>
          <w:bCs/>
          <w:color w:val="1F3864"/>
          <w:sz w:val="34"/>
          <w:szCs w:val="34"/>
        </w:rPr>
        <w:t xml:space="preserve">8. Process Workflow Design</w:t>
      </w:r>
    </w:p>
    <w:p>
      <w:pPr>
        <w:pBdr>
          <w:bottom w:val="single" w:color="2E5496" w:sz="6" w:space="1"/>
        </w:pBdr>
        <w:spacing w:before="100" w:after="100"/>
      </w:pPr>
      <w:r>
        <w:t xml:space="preserve"/>
      </w:r>
    </w:p>
    <w:p>
      <w:pPr>
        <w:spacing w:before="60" w:after="80"/>
      </w:pPr>
      <w:r>
        <w:t xml:space="preserve"/>
      </w:r>
    </w:p>
    <w:p>
      <w:pPr>
        <w:spacing w:line="360" w:lineRule="auto" w:before="80" w:after="160"/>
        <w:ind w:firstLine="720"/>
        <w:jc w:val="both"/>
      </w:pPr>
      <w:r>
        <w:rPr>
          <w:rFonts w:ascii="Calibri" w:cs="Calibri" w:eastAsia="Calibri" w:hAnsi="Calibri"/>
          <w:sz w:val="24"/>
          <w:szCs w:val="24"/>
        </w:rPr>
        <w:t xml:space="preserve">The process workflow design describes the end-to-end sequence of activities that the implementation team will follow to build and configure the complete solution. The workflow is structured as an ordered series of discrete steps, each of which produces a specific output that serves as the prerequisite input for the step that follows. The workflow encompasses all activities from initial data preparation through to final configuration verification.</w:t>
      </w:r>
    </w:p>
    <w:p>
      <w:pPr>
        <w:pStyle w:val="Heading2"/>
        <w:spacing w:before="300" w:after="140"/>
      </w:pPr>
      <w:r>
        <w:rPr>
          <w:rFonts w:ascii="Calibri" w:cs="Calibri" w:eastAsia="Calibri" w:hAnsi="Calibri"/>
          <w:b/>
          <w:bCs/>
          <w:color w:val="2E5496"/>
          <w:sz w:val="28"/>
          <w:szCs w:val="28"/>
        </w:rPr>
        <w:t xml:space="preserve">8.1 Implementation Workflow</w:t>
      </w:r>
    </w:p>
    <w:p>
      <w:pPr>
        <w:spacing w:before="60" w:after="80"/>
      </w:pPr>
      <w: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400"/>
        <w:gridCol w:w="7248"/>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jc w:val="center"/>
            </w:pPr>
            <w:r>
              <w:rPr>
                <w:rFonts w:ascii="Calibri" w:cs="Calibri" w:eastAsia="Calibri" w:hAnsi="Calibri"/>
                <w:b/>
                <w:bCs/>
                <w:color w:val="FFFFFF"/>
                <w:sz w:val="24"/>
                <w:szCs w:val="24"/>
              </w:rPr>
              <w:t xml:space="preserve">Workflow Step</w:t>
            </w:r>
          </w:p>
        </w:tc>
        <w:tc>
          <w:tcPr>
            <w:tcW w:type="dxa" w:w="7248"/>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jc w:val="center"/>
            </w:pPr>
            <w:r>
              <w:rPr>
                <w:rFonts w:ascii="Calibri" w:cs="Calibri" w:eastAsia="Calibri" w:hAnsi="Calibri"/>
                <w:b/>
                <w:bCs/>
                <w:color w:val="FFFFFF"/>
                <w:sz w:val="24"/>
                <w:szCs w:val="24"/>
              </w:rPr>
              <w:t xml:space="preserve">Activity Description and Expected Output</w:t>
            </w:r>
          </w:p>
        </w:tc>
      </w:tr>
      <w:tr>
        <w:tc>
          <w:tcPr>
            <w:tcW w:type="dxa" w:w="2400"/>
            <w:tcBorders>
              <w:top w:val="single" w:color="B0C4DE" w:sz="1"/>
              <w:left w:val="single" w:color="B0C4DE" w:sz="1"/>
              <w:bottom w:val="single" w:color="B0C4DE" w:sz="1"/>
              <w:right w:val="single" w:color="B0C4DE" w:sz="1"/>
            </w:tcBorders>
            <w:shd w:fill="EBF3FB" w:val="clear"/>
            <w:tcMar>
              <w:top w:type="dxa" w:w="90"/>
              <w:left w:type="dxa" w:w="160"/>
              <w:bottom w:type="dxa" w:w="90"/>
              <w:right w:type="dxa" w:w="160"/>
            </w:tcMar>
          </w:tcPr>
          <w:p>
            <w:pPr>
              <w:jc w:val="both"/>
            </w:pPr>
            <w:r>
              <w:rPr>
                <w:rFonts w:ascii="Calibri" w:cs="Calibri" w:eastAsia="Calibri" w:hAnsi="Calibri"/>
                <w:b/>
                <w:bCs/>
                <w:sz w:val="24"/>
                <w:szCs w:val="24"/>
              </w:rPr>
              <w:t xml:space="preserve">Step 1
Prepare Employee Data File</w:t>
            </w:r>
          </w:p>
        </w:tc>
        <w:tc>
          <w:tcPr>
            <w:tcW w:type="dxa" w:w="7248"/>
            <w:tcBorders>
              <w:top w:val="single" w:color="B0C4DE" w:sz="1"/>
              <w:left w:val="single" w:color="B0C4DE" w:sz="1"/>
              <w:bottom w:val="single" w:color="B0C4DE" w:sz="1"/>
              <w:right w:val="single" w:color="B0C4DE" w:sz="1"/>
            </w:tcBorders>
            <w:shd w:fill="EBF3FB" w:val="clear"/>
            <w:tcMar>
              <w:top w:type="dxa" w:w="90"/>
              <w:left w:type="dxa" w:w="160"/>
              <w:bottom w:type="dxa" w:w="90"/>
              <w:right w:type="dxa" w:w="160"/>
            </w:tcMar>
          </w:tcPr>
          <w:p>
            <w:pPr>
              <w:jc w:val="both"/>
            </w:pPr>
            <w:r>
              <w:rPr>
                <w:rFonts w:ascii="Calibri" w:cs="Calibri" w:eastAsia="Calibri" w:hAnsi="Calibri"/>
                <w:b w:val="false"/>
                <w:bCs w:val="false"/>
                <w:sz w:val="24"/>
                <w:szCs w:val="24"/>
              </w:rPr>
              <w:t xml:space="preserve">Create the employee dataset in Google Sheets or Microsoft Excel using the five defined column headers: Name, Email, Department, Manager, and Manager Email. Populate the dataset with representative employee records. Validate all entries for completeness, formatting consistency, and uniqueness of email addresses. Export the completed file in XLSX or CSV format.
Expected Output: A validated, correctly formatted employee data file ready for upload to ServiceNow.</w:t>
            </w:r>
          </w:p>
        </w:tc>
      </w:tr>
      <w:tr>
        <w:tc>
          <w:tcPr>
            <w:tcW w:type="dxa" w:w="2400"/>
            <w:tcBorders>
              <w:top w:val="single" w:color="B0C4DE" w:sz="1"/>
              <w:left w:val="single" w:color="B0C4DE" w:sz="1"/>
              <w:bottom w:val="single" w:color="B0C4DE" w:sz="1"/>
              <w:right w:val="single" w:color="B0C4DE" w:sz="1"/>
            </w:tcBorders>
            <w:shd w:fill="FFFFFF" w:val="clear"/>
            <w:tcMar>
              <w:top w:type="dxa" w:w="90"/>
              <w:left w:type="dxa" w:w="160"/>
              <w:bottom w:type="dxa" w:w="90"/>
              <w:right w:type="dxa" w:w="160"/>
            </w:tcMar>
          </w:tcPr>
          <w:p>
            <w:pPr>
              <w:jc w:val="both"/>
            </w:pPr>
            <w:r>
              <w:rPr>
                <w:rFonts w:ascii="Calibri" w:cs="Calibri" w:eastAsia="Calibri" w:hAnsi="Calibri"/>
                <w:b/>
                <w:bCs/>
                <w:sz w:val="24"/>
                <w:szCs w:val="24"/>
              </w:rPr>
              <w:t xml:space="preserve">Step 2
Import File into ServiceNow</w:t>
            </w:r>
          </w:p>
        </w:tc>
        <w:tc>
          <w:tcPr>
            <w:tcW w:type="dxa" w:w="7248"/>
            <w:tcBorders>
              <w:top w:val="single" w:color="B0C4DE" w:sz="1"/>
              <w:left w:val="single" w:color="B0C4DE" w:sz="1"/>
              <w:bottom w:val="single" w:color="B0C4DE" w:sz="1"/>
              <w:right w:val="single" w:color="B0C4DE" w:sz="1"/>
            </w:tcBorders>
            <w:shd w:fill="FFFFFF" w:val="clear"/>
            <w:tcMar>
              <w:top w:type="dxa" w:w="90"/>
              <w:left w:type="dxa" w:w="160"/>
              <w:bottom w:type="dxa" w:w="90"/>
              <w:right w:type="dxa" w:w="160"/>
            </w:tcMar>
          </w:tcPr>
          <w:p>
            <w:pPr>
              <w:jc w:val="both"/>
            </w:pPr>
            <w:r>
              <w:rPr>
                <w:rFonts w:ascii="Calibri" w:cs="Calibri" w:eastAsia="Calibri" w:hAnsi="Calibri"/>
                <w:b w:val="false"/>
                <w:bCs w:val="false"/>
                <w:sz w:val="24"/>
                <w:szCs w:val="24"/>
              </w:rPr>
              <w:t xml:space="preserve">Log into ServiceNow as an administrator. Navigate to System Import Sets &gt; Load Data. Create a new Import Set table and upload the employee data file. Submit the form to initiate the data loading process. Verify that all records and columns are correctly loaded in the staging table.
Expected Output: A fully populated Import Set staging table containing all employee records from the source file.</w:t>
            </w:r>
          </w:p>
        </w:tc>
      </w:tr>
      <w:tr>
        <w:tc>
          <w:tcPr>
            <w:tcW w:type="dxa" w:w="2400"/>
            <w:tcBorders>
              <w:top w:val="single" w:color="B0C4DE" w:sz="1"/>
              <w:left w:val="single" w:color="B0C4DE" w:sz="1"/>
              <w:bottom w:val="single" w:color="B0C4DE" w:sz="1"/>
              <w:right w:val="single" w:color="B0C4DE" w:sz="1"/>
            </w:tcBorders>
            <w:shd w:fill="EBF3FB" w:val="clear"/>
            <w:tcMar>
              <w:top w:type="dxa" w:w="90"/>
              <w:left w:type="dxa" w:w="160"/>
              <w:bottom w:type="dxa" w:w="90"/>
              <w:right w:type="dxa" w:w="160"/>
            </w:tcMar>
          </w:tcPr>
          <w:p>
            <w:pPr>
              <w:jc w:val="both"/>
            </w:pPr>
            <w:r>
              <w:rPr>
                <w:rFonts w:ascii="Calibri" w:cs="Calibri" w:eastAsia="Calibri" w:hAnsi="Calibri"/>
                <w:b/>
                <w:bCs/>
                <w:sz w:val="24"/>
                <w:szCs w:val="24"/>
              </w:rPr>
              <w:t xml:space="preserve">Step 3
Create Transform Map</w:t>
            </w:r>
          </w:p>
        </w:tc>
        <w:tc>
          <w:tcPr>
            <w:tcW w:type="dxa" w:w="7248"/>
            <w:tcBorders>
              <w:top w:val="single" w:color="B0C4DE" w:sz="1"/>
              <w:left w:val="single" w:color="B0C4DE" w:sz="1"/>
              <w:bottom w:val="single" w:color="B0C4DE" w:sz="1"/>
              <w:right w:val="single" w:color="B0C4DE" w:sz="1"/>
            </w:tcBorders>
            <w:shd w:fill="EBF3FB" w:val="clear"/>
            <w:tcMar>
              <w:top w:type="dxa" w:w="90"/>
              <w:left w:type="dxa" w:w="160"/>
              <w:bottom w:type="dxa" w:w="90"/>
              <w:right w:type="dxa" w:w="160"/>
            </w:tcMar>
          </w:tcPr>
          <w:p>
            <w:pPr>
              <w:jc w:val="both"/>
            </w:pPr>
            <w:r>
              <w:rPr>
                <w:rFonts w:ascii="Calibri" w:cs="Calibri" w:eastAsia="Calibri" w:hAnsi="Calibri"/>
                <w:b w:val="false"/>
                <w:bCs w:val="false"/>
                <w:sz w:val="24"/>
                <w:szCs w:val="24"/>
              </w:rPr>
              <w:t xml:space="preserve">Navigate to System Import Sets &gt; Transform Maps. Create a new Transform Map record. Set the Source Table to the Import Set staging table and the Target Table to User [sys_user]. Save the record to generate the Field Maps related list.
Expected Output: A saved Transform Map with source and target tables correctly configured.</w:t>
            </w:r>
          </w:p>
        </w:tc>
      </w:tr>
      <w:tr>
        <w:tc>
          <w:tcPr>
            <w:tcW w:type="dxa" w:w="2400"/>
            <w:tcBorders>
              <w:top w:val="single" w:color="B0C4DE" w:sz="1"/>
              <w:left w:val="single" w:color="B0C4DE" w:sz="1"/>
              <w:bottom w:val="single" w:color="B0C4DE" w:sz="1"/>
              <w:right w:val="single" w:color="B0C4DE" w:sz="1"/>
            </w:tcBorders>
            <w:shd w:fill="FFFFFF" w:val="clear"/>
            <w:tcMar>
              <w:top w:type="dxa" w:w="90"/>
              <w:left w:type="dxa" w:w="160"/>
              <w:bottom w:type="dxa" w:w="90"/>
              <w:right w:type="dxa" w:w="160"/>
            </w:tcMar>
          </w:tcPr>
          <w:p>
            <w:pPr>
              <w:jc w:val="both"/>
            </w:pPr>
            <w:r>
              <w:rPr>
                <w:rFonts w:ascii="Calibri" w:cs="Calibri" w:eastAsia="Calibri" w:hAnsi="Calibri"/>
                <w:b/>
                <w:bCs/>
                <w:sz w:val="24"/>
                <w:szCs w:val="24"/>
              </w:rPr>
              <w:t xml:space="preserve">Step 4
Map Fields Correctly</w:t>
            </w:r>
          </w:p>
        </w:tc>
        <w:tc>
          <w:tcPr>
            <w:tcW w:type="dxa" w:w="7248"/>
            <w:tcBorders>
              <w:top w:val="single" w:color="B0C4DE" w:sz="1"/>
              <w:left w:val="single" w:color="B0C4DE" w:sz="1"/>
              <w:bottom w:val="single" w:color="B0C4DE" w:sz="1"/>
              <w:right w:val="single" w:color="B0C4DE" w:sz="1"/>
            </w:tcBorders>
            <w:shd w:fill="FFFFFF" w:val="clear"/>
            <w:tcMar>
              <w:top w:type="dxa" w:w="90"/>
              <w:left w:type="dxa" w:w="160"/>
              <w:bottom w:type="dxa" w:w="90"/>
              <w:right w:type="dxa" w:w="160"/>
            </w:tcMar>
          </w:tcPr>
          <w:p>
            <w:pPr>
              <w:jc w:val="both"/>
            </w:pPr>
            <w:r>
              <w:rPr>
                <w:rFonts w:ascii="Calibri" w:cs="Calibri" w:eastAsia="Calibri" w:hAnsi="Calibri"/>
                <w:b w:val="false"/>
                <w:bCs w:val="false"/>
                <w:sz w:val="24"/>
                <w:szCs w:val="24"/>
              </w:rPr>
              <w:t xml:space="preserve">Use Auto Map Matching Fields to generate automatic mappings for matching fields. Manually create mappings for Manager and Manager Email. Enable the Coalesce checkbox on the Email field mapping. Enter the Dot Walking expression manager.email for the Manager Email field map. Review all mappings before proceeding.
Expected Output: A complete, accurate set of field mappings covering all five required fields.</w:t>
            </w:r>
          </w:p>
        </w:tc>
      </w:tr>
      <w:tr>
        <w:tc>
          <w:tcPr>
            <w:tcW w:type="dxa" w:w="2400"/>
            <w:tcBorders>
              <w:top w:val="single" w:color="B0C4DE" w:sz="1"/>
              <w:left w:val="single" w:color="B0C4DE" w:sz="1"/>
              <w:bottom w:val="single" w:color="B0C4DE" w:sz="1"/>
              <w:right w:val="single" w:color="B0C4DE" w:sz="1"/>
            </w:tcBorders>
            <w:shd w:fill="EBF3FB" w:val="clear"/>
            <w:tcMar>
              <w:top w:type="dxa" w:w="90"/>
              <w:left w:type="dxa" w:w="160"/>
              <w:bottom w:type="dxa" w:w="90"/>
              <w:right w:type="dxa" w:w="160"/>
            </w:tcMar>
          </w:tcPr>
          <w:p>
            <w:pPr>
              <w:jc w:val="both"/>
            </w:pPr>
            <w:r>
              <w:rPr>
                <w:rFonts w:ascii="Calibri" w:cs="Calibri" w:eastAsia="Calibri" w:hAnsi="Calibri"/>
                <w:b/>
                <w:bCs/>
                <w:sz w:val="24"/>
                <w:szCs w:val="24"/>
              </w:rPr>
              <w:t xml:space="preserve">Step 5
Transform Data to User Table</w:t>
            </w:r>
          </w:p>
        </w:tc>
        <w:tc>
          <w:tcPr>
            <w:tcW w:type="dxa" w:w="7248"/>
            <w:tcBorders>
              <w:top w:val="single" w:color="B0C4DE" w:sz="1"/>
              <w:left w:val="single" w:color="B0C4DE" w:sz="1"/>
              <w:bottom w:val="single" w:color="B0C4DE" w:sz="1"/>
              <w:right w:val="single" w:color="B0C4DE" w:sz="1"/>
            </w:tcBorders>
            <w:shd w:fill="EBF3FB" w:val="clear"/>
            <w:tcMar>
              <w:top w:type="dxa" w:w="90"/>
              <w:left w:type="dxa" w:w="160"/>
              <w:bottom w:type="dxa" w:w="90"/>
              <w:right w:type="dxa" w:w="160"/>
            </w:tcMar>
          </w:tcPr>
          <w:p>
            <w:pPr>
              <w:jc w:val="both"/>
            </w:pPr>
            <w:r>
              <w:rPr>
                <w:rFonts w:ascii="Calibri" w:cs="Calibri" w:eastAsia="Calibri" w:hAnsi="Calibri"/>
                <w:b w:val="false"/>
                <w:bCs w:val="false"/>
                <w:sz w:val="24"/>
                <w:szCs w:val="24"/>
              </w:rPr>
              <w:t xml:space="preserve">Return to the Import Set and execute the Transform operation using the configured Transform Map. Monitor the transformation log for errors. Navigate to User Administration &gt; Users to verify that all employee records are correctly created in sys_user with all required fields populated.
Expected Output: Fully and accurately populated employee user records in the ServiceNow sys_user table.</w:t>
            </w:r>
          </w:p>
        </w:tc>
      </w:tr>
      <w:tr>
        <w:tc>
          <w:tcPr>
            <w:tcW w:type="dxa" w:w="2400"/>
            <w:tcBorders>
              <w:top w:val="single" w:color="B0C4DE" w:sz="1"/>
              <w:left w:val="single" w:color="B0C4DE" w:sz="1"/>
              <w:bottom w:val="single" w:color="B0C4DE" w:sz="1"/>
              <w:right w:val="single" w:color="B0C4DE" w:sz="1"/>
            </w:tcBorders>
            <w:shd w:fill="FFFFFF" w:val="clear"/>
            <w:tcMar>
              <w:top w:type="dxa" w:w="90"/>
              <w:left w:type="dxa" w:w="160"/>
              <w:bottom w:type="dxa" w:w="90"/>
              <w:right w:type="dxa" w:w="160"/>
            </w:tcMar>
          </w:tcPr>
          <w:p>
            <w:pPr>
              <w:jc w:val="both"/>
            </w:pPr>
            <w:r>
              <w:rPr>
                <w:rFonts w:ascii="Calibri" w:cs="Calibri" w:eastAsia="Calibri" w:hAnsi="Calibri"/>
                <w:b/>
                <w:bCs/>
                <w:sz w:val="24"/>
                <w:szCs w:val="24"/>
              </w:rPr>
              <w:t xml:space="preserve">Step 6
Configure Incident Form with Dot Walking</w:t>
            </w:r>
          </w:p>
        </w:tc>
        <w:tc>
          <w:tcPr>
            <w:tcW w:type="dxa" w:w="7248"/>
            <w:tcBorders>
              <w:top w:val="single" w:color="B0C4DE" w:sz="1"/>
              <w:left w:val="single" w:color="B0C4DE" w:sz="1"/>
              <w:bottom w:val="single" w:color="B0C4DE" w:sz="1"/>
              <w:right w:val="single" w:color="B0C4DE" w:sz="1"/>
            </w:tcBorders>
            <w:shd w:fill="FFFFFF" w:val="clear"/>
            <w:tcMar>
              <w:top w:type="dxa" w:w="90"/>
              <w:left w:type="dxa" w:w="160"/>
              <w:bottom w:type="dxa" w:w="90"/>
              <w:right w:type="dxa" w:w="160"/>
            </w:tcMar>
          </w:tcPr>
          <w:p>
            <w:pPr>
              <w:jc w:val="both"/>
            </w:pPr>
            <w:r>
              <w:rPr>
                <w:rFonts w:ascii="Calibri" w:cs="Calibri" w:eastAsia="Calibri" w:hAnsi="Calibri"/>
                <w:b w:val="false"/>
                <w:bCs w:val="false"/>
                <w:sz w:val="24"/>
                <w:szCs w:val="24"/>
              </w:rPr>
              <w:t xml:space="preserve">Open the Incident form and access the Form Layout configuration. Add the four Dot Walking fields: assigned_to.department, assigned_to.email, assigned_to.manager, and assigned_to.manager.email. Save the form layout. Create a test incident, assign it to an imported employee, and verify that all four fields auto-populate correctly.
Expected Output: A customised Incident form that automatically displays employee department and manager information.</w:t>
            </w:r>
          </w:p>
        </w:tc>
      </w:tr>
      <w:tr>
        <w:tc>
          <w:tcPr>
            <w:tcW w:type="dxa" w:w="2400"/>
            <w:tcBorders>
              <w:top w:val="single" w:color="B0C4DE" w:sz="1"/>
              <w:left w:val="single" w:color="B0C4DE" w:sz="1"/>
              <w:bottom w:val="single" w:color="B0C4DE" w:sz="1"/>
              <w:right w:val="single" w:color="B0C4DE" w:sz="1"/>
            </w:tcBorders>
            <w:shd w:fill="EBF3FB" w:val="clear"/>
            <w:tcMar>
              <w:top w:type="dxa" w:w="90"/>
              <w:left w:type="dxa" w:w="160"/>
              <w:bottom w:type="dxa" w:w="90"/>
              <w:right w:type="dxa" w:w="160"/>
            </w:tcMar>
          </w:tcPr>
          <w:p>
            <w:pPr>
              <w:jc w:val="both"/>
            </w:pPr>
            <w:r>
              <w:rPr>
                <w:rFonts w:ascii="Calibri" w:cs="Calibri" w:eastAsia="Calibri" w:hAnsi="Calibri"/>
                <w:b/>
                <w:bCs/>
                <w:sz w:val="24"/>
                <w:szCs w:val="24"/>
              </w:rPr>
              <w:t xml:space="preserve">Step 7
Apply Dictionary Override for Priority</w:t>
            </w:r>
          </w:p>
        </w:tc>
        <w:tc>
          <w:tcPr>
            <w:tcW w:type="dxa" w:w="7248"/>
            <w:tcBorders>
              <w:top w:val="single" w:color="B0C4DE" w:sz="1"/>
              <w:left w:val="single" w:color="B0C4DE" w:sz="1"/>
              <w:bottom w:val="single" w:color="B0C4DE" w:sz="1"/>
              <w:right w:val="single" w:color="B0C4DE" w:sz="1"/>
            </w:tcBorders>
            <w:shd w:fill="EBF3FB" w:val="clear"/>
            <w:tcMar>
              <w:top w:type="dxa" w:w="90"/>
              <w:left w:type="dxa" w:w="160"/>
              <w:bottom w:type="dxa" w:w="90"/>
              <w:right w:type="dxa" w:w="160"/>
            </w:tcMar>
          </w:tcPr>
          <w:p>
            <w:pPr>
              <w:jc w:val="both"/>
            </w:pPr>
            <w:r>
              <w:rPr>
                <w:rFonts w:ascii="Calibri" w:cs="Calibri" w:eastAsia="Calibri" w:hAnsi="Calibri"/>
                <w:b w:val="false"/>
                <w:bCs w:val="false"/>
                <w:sz w:val="24"/>
                <w:szCs w:val="24"/>
              </w:rPr>
              <w:t xml:space="preserve">Navigate to System Definition &gt; Dictionary. Locate the Priority field on the Incident table. Create a Dictionary Override entry setting the default value to 3 (Moderate). Save the override and create a new incident to confirm that the Priority field defaults to 3 — Moderate.
Expected Output: Incident records that default to Priority 3 — Moderate upon creation.</w:t>
            </w:r>
          </w:p>
        </w:tc>
      </w:tr>
    </w:tbl>
    <w:p>
      <w:pPr>
        <w:spacing w:before="120" w:after="80"/>
      </w:pPr>
      <w:r>
        <w:t xml:space="preserve"/>
      </w:r>
    </w:p>
    <w:p>
      <w:pPr>
        <w:pStyle w:val="Heading2"/>
        <w:spacing w:before="300" w:after="140"/>
      </w:pPr>
      <w:r>
        <w:rPr>
          <w:rFonts w:ascii="Calibri" w:cs="Calibri" w:eastAsia="Calibri" w:hAnsi="Calibri"/>
          <w:b/>
          <w:bCs/>
          <w:color w:val="2E5496"/>
          <w:sz w:val="28"/>
          <w:szCs w:val="28"/>
        </w:rPr>
        <w:t xml:space="preserve">8.2 Workflow Dependencies</w:t>
      </w:r>
    </w:p>
    <w:p>
      <w:pPr>
        <w:spacing w:line="360" w:lineRule="auto" w:before="80" w:after="160"/>
        <w:ind w:firstLine="720"/>
        <w:jc w:val="both"/>
      </w:pPr>
      <w:r>
        <w:rPr>
          <w:rFonts w:ascii="Calibri" w:cs="Calibri" w:eastAsia="Calibri" w:hAnsi="Calibri"/>
          <w:sz w:val="24"/>
          <w:szCs w:val="24"/>
        </w:rPr>
        <w:t xml:space="preserve">The following sequential dependencies must be observed during implementation to ensure that each step has the necessary inputs from its predecessor:</w:t>
      </w:r>
    </w:p>
    <w:p>
      <w:pPr>
        <w:pStyle w:val="ListParagraph"/>
        <w:numPr>
          <w:ilvl w:val="0"/>
          <w:numId w:val="3"/>
        </w:numPr>
        <w:spacing w:line="360" w:lineRule="auto" w:before="80" w:after="80"/>
      </w:pPr>
      <w:r>
        <w:rPr>
          <w:rFonts w:ascii="Calibri" w:cs="Calibri" w:eastAsia="Calibri" w:hAnsi="Calibri"/>
          <w:sz w:val="24"/>
          <w:szCs w:val="24"/>
        </w:rPr>
        <w:t xml:space="preserve">Step 1 must precede Step 2: The Import Set requires a source data file to populate the staging table.</w:t>
      </w:r>
    </w:p>
    <w:p>
      <w:pPr>
        <w:pStyle w:val="ListParagraph"/>
        <w:numPr>
          <w:ilvl w:val="0"/>
          <w:numId w:val="3"/>
        </w:numPr>
        <w:spacing w:line="360" w:lineRule="auto" w:before="80" w:after="80"/>
      </w:pPr>
      <w:r>
        <w:rPr>
          <w:rFonts w:ascii="Calibri" w:cs="Calibri" w:eastAsia="Calibri" w:hAnsi="Calibri"/>
          <w:sz w:val="24"/>
          <w:szCs w:val="24"/>
        </w:rPr>
        <w:t xml:space="preserve">Step 2 must precede Step 3: The Transform Map requires an existing Import Set staging table as its source.</w:t>
      </w:r>
    </w:p>
    <w:p>
      <w:pPr>
        <w:pStyle w:val="ListParagraph"/>
        <w:numPr>
          <w:ilvl w:val="0"/>
          <w:numId w:val="3"/>
        </w:numPr>
        <w:spacing w:line="360" w:lineRule="auto" w:before="80" w:after="80"/>
      </w:pPr>
      <w:r>
        <w:rPr>
          <w:rFonts w:ascii="Calibri" w:cs="Calibri" w:eastAsia="Calibri" w:hAnsi="Calibri"/>
          <w:sz w:val="24"/>
          <w:szCs w:val="24"/>
        </w:rPr>
        <w:t xml:space="preserve">Step 3 must precede Step 4: Field mappings are created within the context of a saved Transform Map record.</w:t>
      </w:r>
    </w:p>
    <w:p>
      <w:pPr>
        <w:pStyle w:val="ListParagraph"/>
        <w:numPr>
          <w:ilvl w:val="0"/>
          <w:numId w:val="3"/>
        </w:numPr>
        <w:spacing w:line="360" w:lineRule="auto" w:before="80" w:after="80"/>
      </w:pPr>
      <w:r>
        <w:rPr>
          <w:rFonts w:ascii="Calibri" w:cs="Calibri" w:eastAsia="Calibri" w:hAnsi="Calibri"/>
          <w:sz w:val="24"/>
          <w:szCs w:val="24"/>
        </w:rPr>
        <w:t xml:space="preserve">Step 4 must precede Step 5: The transformation applies the complete field mapping configuration; incomplete mappings produce missing or incorrect data in sys_user.</w:t>
      </w:r>
    </w:p>
    <w:p>
      <w:pPr>
        <w:pStyle w:val="ListParagraph"/>
        <w:numPr>
          <w:ilvl w:val="0"/>
          <w:numId w:val="3"/>
        </w:numPr>
        <w:spacing w:line="360" w:lineRule="auto" w:before="80" w:after="80"/>
      </w:pPr>
      <w:r>
        <w:rPr>
          <w:rFonts w:ascii="Calibri" w:cs="Calibri" w:eastAsia="Calibri" w:hAnsi="Calibri"/>
          <w:sz w:val="24"/>
          <w:szCs w:val="24"/>
        </w:rPr>
        <w:t xml:space="preserve">Step 5 must precede Step 6: Dot Walking fields on the Incident form depend on correctly populated employee records in sys_user for verification purposes.</w:t>
      </w:r>
    </w:p>
    <w:p>
      <w:pPr>
        <w:pStyle w:val="ListParagraph"/>
        <w:numPr>
          <w:ilvl w:val="0"/>
          <w:numId w:val="3"/>
        </w:numPr>
        <w:spacing w:line="360" w:lineRule="auto" w:before="80" w:after="80"/>
      </w:pPr>
      <w:r>
        <w:rPr>
          <w:rFonts w:ascii="Calibri" w:cs="Calibri" w:eastAsia="Calibri" w:hAnsi="Calibri"/>
          <w:sz w:val="24"/>
          <w:szCs w:val="24"/>
        </w:rPr>
        <w:t xml:space="preserve">Steps 6 and 7 are independent of each other and may be performed in either order, but both must be completed before final validation.</w:t>
      </w:r>
    </w:p>
    <w:p>
      <w:pPr>
        <w:spacing w:before="100" w:after="80"/>
      </w:pPr>
      <w: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F3864" w:sz="1"/>
              <w:left w:val="single" w:color="1F3864" w:sz="1"/>
              <w:bottom w:val="single" w:color="1F3864" w:sz="1"/>
              <w:right w:val="single" w:color="1F3864" w:sz="1"/>
            </w:tcBorders>
            <w:shd w:fill="1F3864" w:val="clear"/>
            <w:tcMar>
              <w:top w:type="dxa" w:w="120"/>
              <w:left w:type="dxa" w:w="240"/>
              <w:bottom w:type="dxa" w:w="120"/>
              <w:right w:type="dxa" w:w="240"/>
            </w:tcMar>
          </w:tcPr>
          <w:p>
            <w:r>
              <w:rPr>
                <w:rFonts w:ascii="Calibri" w:cs="Calibri" w:eastAsia="Calibri" w:hAnsi="Calibri"/>
                <w:b/>
                <w:bCs/>
                <w:color w:val="FFFFFF"/>
                <w:sz w:val="22"/>
                <w:szCs w:val="22"/>
              </w:rPr>
              <w:t xml:space="preserve">Section 9  —  Design Validation</w:t>
            </w:r>
          </w:p>
        </w:tc>
      </w:tr>
    </w:tbl>
    <w:p>
      <w:pPr>
        <w:spacing w:before="80" w:after="80"/>
      </w:pPr>
      <w:r>
        <w:t xml:space="preserve"/>
      </w:r>
    </w:p>
    <w:p>
      <w:pPr>
        <w:pStyle w:val="Heading1"/>
        <w:spacing w:before="440" w:after="160"/>
      </w:pPr>
      <w:r>
        <w:rPr>
          <w:rFonts w:ascii="Calibri" w:cs="Calibri" w:eastAsia="Calibri" w:hAnsi="Calibri"/>
          <w:b/>
          <w:bCs/>
          <w:color w:val="1F3864"/>
          <w:sz w:val="34"/>
          <w:szCs w:val="34"/>
        </w:rPr>
        <w:t xml:space="preserve">9. Design Validation</w:t>
      </w:r>
    </w:p>
    <w:p>
      <w:pPr>
        <w:pBdr>
          <w:bottom w:val="single" w:color="2E5496" w:sz="6" w:space="1"/>
        </w:pBdr>
        <w:spacing w:before="100" w:after="100"/>
      </w:pPr>
      <w:r>
        <w:t xml:space="preserve"/>
      </w:r>
    </w:p>
    <w:p>
      <w:pPr>
        <w:spacing w:before="60" w:after="80"/>
      </w:pPr>
      <w:r>
        <w:t xml:space="preserve"/>
      </w:r>
    </w:p>
    <w:p>
      <w:pPr>
        <w:spacing w:line="360" w:lineRule="auto" w:before="80" w:after="160"/>
        <w:ind w:firstLine="720"/>
        <w:jc w:val="both"/>
      </w:pPr>
      <w:r>
        <w:rPr>
          <w:rFonts w:ascii="Calibri" w:cs="Calibri" w:eastAsia="Calibri" w:hAnsi="Calibri"/>
          <w:sz w:val="24"/>
          <w:szCs w:val="24"/>
        </w:rPr>
        <w:t xml:space="preserve">Design validation is the process of critically evaluating the complete design specification against the project's requirements and success criteria to confirm that the proposed solution, if implemented as designed, will deliver the expected outcomes. Validation at the design stage is far more cost-effective than discovering design flaws during or after implementation, and it provides an important quality gate before development work begins.</w:t>
      </w:r>
    </w:p>
    <w:p>
      <w:pPr>
        <w:spacing w:line="360" w:lineRule="auto" w:before="80" w:after="160"/>
        <w:ind w:firstLine="720"/>
        <w:jc w:val="both"/>
      </w:pPr>
      <w:r>
        <w:rPr>
          <w:rFonts w:ascii="Calibri" w:cs="Calibri" w:eastAsia="Calibri" w:hAnsi="Calibri"/>
          <w:sz w:val="24"/>
          <w:szCs w:val="24"/>
        </w:rPr>
        <w:t xml:space="preserve">The design validation for this project examines four key dimensions of system quality: data accuracy and storage integrity, automation of information retrieval, reduction of manual data entry, and improvement in incident handling efficiency. For each dimension, the design is assessed against the specific mechanisms and configurations that have been incorporated to achieve the desired outcome.</w:t>
      </w:r>
    </w:p>
    <w:p>
      <w:pPr>
        <w:pStyle w:val="Heading2"/>
        <w:spacing w:before="300" w:after="140"/>
      </w:pPr>
      <w:r>
        <w:rPr>
          <w:rFonts w:ascii="Calibri" w:cs="Calibri" w:eastAsia="Calibri" w:hAnsi="Calibri"/>
          <w:b/>
          <w:bCs/>
          <w:color w:val="2E5496"/>
          <w:sz w:val="28"/>
          <w:szCs w:val="28"/>
        </w:rPr>
        <w:t xml:space="preserve">9.1 Validation Against Quality Dimensions</w:t>
      </w:r>
    </w:p>
    <w:p>
      <w:pPr>
        <w:spacing w:before="60" w:after="80"/>
      </w:pPr>
      <w: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4048"/>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jc w:val="center"/>
            </w:pPr>
            <w:r>
              <w:rPr>
                <w:rFonts w:ascii="Calibri" w:cs="Calibri" w:eastAsia="Calibri" w:hAnsi="Calibri"/>
                <w:b/>
                <w:bCs/>
                <w:color w:val="FFFFFF"/>
                <w:sz w:val="24"/>
                <w:szCs w:val="24"/>
              </w:rPr>
              <w:t xml:space="preserve">Quality Dimension</w:t>
            </w:r>
          </w:p>
        </w:tc>
        <w:tc>
          <w:tcPr>
            <w:tcW w:type="dxa" w:w="32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jc w:val="center"/>
            </w:pPr>
            <w:r>
              <w:rPr>
                <w:rFonts w:ascii="Calibri" w:cs="Calibri" w:eastAsia="Calibri" w:hAnsi="Calibri"/>
                <w:b/>
                <w:bCs/>
                <w:color w:val="FFFFFF"/>
                <w:sz w:val="24"/>
                <w:szCs w:val="24"/>
              </w:rPr>
              <w:t xml:space="preserve">Design Features Addressing This Dimension</w:t>
            </w:r>
          </w:p>
        </w:tc>
        <w:tc>
          <w:tcPr>
            <w:tcW w:type="dxa" w:w="4048"/>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jc w:val="center"/>
            </w:pPr>
            <w:r>
              <w:rPr>
                <w:rFonts w:ascii="Calibri" w:cs="Calibri" w:eastAsia="Calibri" w:hAnsi="Calibri"/>
                <w:b/>
                <w:bCs/>
                <w:color w:val="FFFFFF"/>
                <w:sz w:val="24"/>
                <w:szCs w:val="24"/>
              </w:rPr>
              <w:t xml:space="preserve">Validation Conclusion</w:t>
            </w:r>
          </w:p>
        </w:tc>
      </w:tr>
      <w:tr>
        <w:tc>
          <w:tcPr>
            <w:tcW w:type="dxa" w:w="2400"/>
            <w:tcBorders>
              <w:top w:val="single" w:color="B0C4DE" w:sz="1"/>
              <w:left w:val="single" w:color="B0C4DE" w:sz="1"/>
              <w:bottom w:val="single" w:color="B0C4DE" w:sz="1"/>
              <w:right w:val="single" w:color="B0C4DE" w:sz="1"/>
            </w:tcBorders>
            <w:shd w:fill="EBF3FB" w:val="clear"/>
            <w:tcMar>
              <w:top w:type="dxa" w:w="90"/>
              <w:left w:type="dxa" w:w="140"/>
              <w:bottom w:type="dxa" w:w="90"/>
              <w:right w:type="dxa" w:w="140"/>
            </w:tcMar>
          </w:tcPr>
          <w:p>
            <w:r>
              <w:rPr>
                <w:rFonts w:ascii="Calibri" w:cs="Calibri" w:eastAsia="Calibri" w:hAnsi="Calibri"/>
                <w:b/>
                <w:bCs/>
                <w:color w:val="375A8C"/>
                <w:sz w:val="24"/>
                <w:szCs w:val="24"/>
              </w:rPr>
              <w:t xml:space="preserve">Accurate Employee Data Storage</w:t>
            </w:r>
          </w:p>
        </w:tc>
        <w:tc>
          <w:tcPr>
            <w:tcW w:type="dxa" w:w="3200"/>
            <w:tcBorders>
              <w:top w:val="single" w:color="B0C4DE" w:sz="1"/>
              <w:left w:val="single" w:color="B0C4DE" w:sz="1"/>
              <w:bottom w:val="single" w:color="B0C4DE" w:sz="1"/>
              <w:right w:val="single" w:color="B0C4DE" w:sz="1"/>
            </w:tcBorders>
            <w:shd w:fill="EBF3FB" w:val="clear"/>
            <w:tcMar>
              <w:top w:type="dxa" w:w="90"/>
              <w:left w:type="dxa" w:w="140"/>
              <w:bottom w:type="dxa" w:w="90"/>
              <w:right w:type="dxa" w:w="140"/>
            </w:tcMar>
          </w:tcPr>
          <w:p>
            <w:pPr>
              <w:jc w:val="both"/>
            </w:pPr>
            <w:r>
              <w:rPr>
                <w:rFonts w:ascii="Calibri" w:cs="Calibri" w:eastAsia="Calibri" w:hAnsi="Calibri"/>
                <w:sz w:val="24"/>
                <w:szCs w:val="24"/>
              </w:rPr>
              <w:t xml:space="preserve">Import Set staging layer enables data validation before production records are created. Transform Map field mappings ensure correct field-to-field correspondence. Coalesce configuration on the Email field prevents duplicate records during repeated imports.</w:t>
            </w:r>
          </w:p>
        </w:tc>
        <w:tc>
          <w:tcPr>
            <w:tcW w:type="dxa" w:w="4048"/>
            <w:tcBorders>
              <w:top w:val="single" w:color="B0C4DE" w:sz="1"/>
              <w:left w:val="single" w:color="B0C4DE" w:sz="1"/>
              <w:bottom w:val="single" w:color="B0C4DE" w:sz="1"/>
              <w:right w:val="single" w:color="B0C4DE" w:sz="1"/>
            </w:tcBorders>
            <w:shd w:fill="EBF3FB" w:val="clear"/>
            <w:tcMar>
              <w:top w:type="dxa" w:w="90"/>
              <w:left w:type="dxa" w:w="140"/>
              <w:bottom w:type="dxa" w:w="90"/>
              <w:right w:type="dxa" w:w="140"/>
            </w:tcMar>
          </w:tcPr>
          <w:p>
            <w:pPr>
              <w:jc w:val="both"/>
            </w:pPr>
            <w:r>
              <w:rPr>
                <w:rFonts w:ascii="Calibri" w:cs="Calibri" w:eastAsia="Calibri" w:hAnsi="Calibri"/>
                <w:sz w:val="24"/>
                <w:szCs w:val="24"/>
              </w:rPr>
              <w:t xml:space="preserve">The design ensures that data is validated before commitment to sys_user and that all relational fields are correctly resolved. The staged import approach mitigates the risk of inaccurate or incomplete records being stored in production.</w:t>
            </w:r>
          </w:p>
        </w:tc>
      </w:tr>
      <w:tr>
        <w:tc>
          <w:tcPr>
            <w:tcW w:type="dxa" w:w="2400"/>
            <w:tcBorders>
              <w:top w:val="single" w:color="B0C4DE" w:sz="1"/>
              <w:left w:val="single" w:color="B0C4DE" w:sz="1"/>
              <w:bottom w:val="single" w:color="B0C4DE" w:sz="1"/>
              <w:right w:val="single" w:color="B0C4DE" w:sz="1"/>
            </w:tcBorders>
            <w:shd w:fill="FFFFFF" w:val="clear"/>
            <w:tcMar>
              <w:top w:type="dxa" w:w="90"/>
              <w:left w:type="dxa" w:w="140"/>
              <w:bottom w:type="dxa" w:w="90"/>
              <w:right w:type="dxa" w:w="140"/>
            </w:tcMar>
          </w:tcPr>
          <w:p>
            <w:r>
              <w:rPr>
                <w:rFonts w:ascii="Calibri" w:cs="Calibri" w:eastAsia="Calibri" w:hAnsi="Calibri"/>
                <w:b/>
                <w:bCs/>
                <w:color w:val="375A8C"/>
                <w:sz w:val="24"/>
                <w:szCs w:val="24"/>
              </w:rPr>
              <w:t xml:space="preserve">Automated Information Retrieval</w:t>
            </w:r>
          </w:p>
        </w:tc>
        <w:tc>
          <w:tcPr>
            <w:tcW w:type="dxa" w:w="3200"/>
            <w:tcBorders>
              <w:top w:val="single" w:color="B0C4DE" w:sz="1"/>
              <w:left w:val="single" w:color="B0C4DE" w:sz="1"/>
              <w:bottom w:val="single" w:color="B0C4DE" w:sz="1"/>
              <w:right w:val="single" w:color="B0C4DE" w:sz="1"/>
            </w:tcBorders>
            <w:shd w:fill="FFFFFF" w:val="clear"/>
            <w:tcMar>
              <w:top w:type="dxa" w:w="90"/>
              <w:left w:type="dxa" w:w="140"/>
              <w:bottom w:type="dxa" w:w="90"/>
              <w:right w:type="dxa" w:w="140"/>
            </w:tcMar>
          </w:tcPr>
          <w:p>
            <w:pPr>
              <w:jc w:val="both"/>
            </w:pPr>
            <w:r>
              <w:rPr>
                <w:rFonts w:ascii="Calibri" w:cs="Calibri" w:eastAsia="Calibri" w:hAnsi="Calibri"/>
                <w:sz w:val="24"/>
                <w:szCs w:val="24"/>
              </w:rPr>
              <w:t xml:space="preserve">Dot Walking expressions on the Incident form (assigned_to.department, assigned_to.email, assigned_to.manager, assigned_to.manager.email) retrieve related employee data dynamically from referenced records in sys_user and related tables.</w:t>
            </w:r>
          </w:p>
        </w:tc>
        <w:tc>
          <w:tcPr>
            <w:tcW w:type="dxa" w:w="4048"/>
            <w:tcBorders>
              <w:top w:val="single" w:color="B0C4DE" w:sz="1"/>
              <w:left w:val="single" w:color="B0C4DE" w:sz="1"/>
              <w:bottom w:val="single" w:color="B0C4DE" w:sz="1"/>
              <w:right w:val="single" w:color="B0C4DE" w:sz="1"/>
            </w:tcBorders>
            <w:shd w:fill="FFFFFF" w:val="clear"/>
            <w:tcMar>
              <w:top w:type="dxa" w:w="90"/>
              <w:left w:type="dxa" w:w="140"/>
              <w:bottom w:type="dxa" w:w="90"/>
              <w:right w:type="dxa" w:w="140"/>
            </w:tcMar>
          </w:tcPr>
          <w:p>
            <w:pPr>
              <w:jc w:val="both"/>
            </w:pPr>
            <w:r>
              <w:rPr>
                <w:rFonts w:ascii="Calibri" w:cs="Calibri" w:eastAsia="Calibri" w:hAnsi="Calibri"/>
                <w:sz w:val="24"/>
                <w:szCs w:val="24"/>
              </w:rPr>
              <w:t xml:space="preserve">The design fully automates the retrieval and display of employee attribute data within the Incident form. No manual data entry is required from agents once the Assigned To field is populated with an imported employee.</w:t>
            </w:r>
          </w:p>
        </w:tc>
      </w:tr>
      <w:tr>
        <w:tc>
          <w:tcPr>
            <w:tcW w:type="dxa" w:w="2400"/>
            <w:tcBorders>
              <w:top w:val="single" w:color="B0C4DE" w:sz="1"/>
              <w:left w:val="single" w:color="B0C4DE" w:sz="1"/>
              <w:bottom w:val="single" w:color="B0C4DE" w:sz="1"/>
              <w:right w:val="single" w:color="B0C4DE" w:sz="1"/>
            </w:tcBorders>
            <w:shd w:fill="EBF3FB" w:val="clear"/>
            <w:tcMar>
              <w:top w:type="dxa" w:w="90"/>
              <w:left w:type="dxa" w:w="140"/>
              <w:bottom w:type="dxa" w:w="90"/>
              <w:right w:type="dxa" w:w="140"/>
            </w:tcMar>
          </w:tcPr>
          <w:p>
            <w:r>
              <w:rPr>
                <w:rFonts w:ascii="Calibri" w:cs="Calibri" w:eastAsia="Calibri" w:hAnsi="Calibri"/>
                <w:b/>
                <w:bCs/>
                <w:color w:val="375A8C"/>
                <w:sz w:val="24"/>
                <w:szCs w:val="24"/>
              </w:rPr>
              <w:t xml:space="preserve">Reduced Manual Data Entry</w:t>
            </w:r>
          </w:p>
        </w:tc>
        <w:tc>
          <w:tcPr>
            <w:tcW w:type="dxa" w:w="3200"/>
            <w:tcBorders>
              <w:top w:val="single" w:color="B0C4DE" w:sz="1"/>
              <w:left w:val="single" w:color="B0C4DE" w:sz="1"/>
              <w:bottom w:val="single" w:color="B0C4DE" w:sz="1"/>
              <w:right w:val="single" w:color="B0C4DE" w:sz="1"/>
            </w:tcBorders>
            <w:shd w:fill="EBF3FB" w:val="clear"/>
            <w:tcMar>
              <w:top w:type="dxa" w:w="90"/>
              <w:left w:type="dxa" w:w="140"/>
              <w:bottom w:type="dxa" w:w="90"/>
              <w:right w:type="dxa" w:w="140"/>
            </w:tcMar>
          </w:tcPr>
          <w:p>
            <w:pPr>
              <w:jc w:val="both"/>
            </w:pPr>
            <w:r>
              <w:rPr>
                <w:rFonts w:ascii="Calibri" w:cs="Calibri" w:eastAsia="Calibri" w:hAnsi="Calibri"/>
                <w:sz w:val="24"/>
                <w:szCs w:val="24"/>
              </w:rPr>
              <w:t xml:space="preserve">The Transform Map automates the mapping and transformation of all employee records, eliminating the need for administrators to manually create or update user records in sys_user. The coalesce design ensures existing records are updated efficiently during refresh cycles.</w:t>
            </w:r>
          </w:p>
        </w:tc>
        <w:tc>
          <w:tcPr>
            <w:tcW w:type="dxa" w:w="4048"/>
            <w:tcBorders>
              <w:top w:val="single" w:color="B0C4DE" w:sz="1"/>
              <w:left w:val="single" w:color="B0C4DE" w:sz="1"/>
              <w:bottom w:val="single" w:color="B0C4DE" w:sz="1"/>
              <w:right w:val="single" w:color="B0C4DE" w:sz="1"/>
            </w:tcBorders>
            <w:shd w:fill="EBF3FB" w:val="clear"/>
            <w:tcMar>
              <w:top w:type="dxa" w:w="90"/>
              <w:left w:type="dxa" w:w="140"/>
              <w:bottom w:type="dxa" w:w="90"/>
              <w:right w:type="dxa" w:w="140"/>
            </w:tcMar>
          </w:tcPr>
          <w:p>
            <w:pPr>
              <w:jc w:val="both"/>
            </w:pPr>
            <w:r>
              <w:rPr>
                <w:rFonts w:ascii="Calibri" w:cs="Calibri" w:eastAsia="Calibri" w:hAnsi="Calibri"/>
                <w:sz w:val="24"/>
                <w:szCs w:val="24"/>
              </w:rPr>
              <w:t xml:space="preserve">The design eliminates manual data entry for both the initial import and for all subsequent repeated refresh operations. The overall administrative burden of maintaining employee records in ServiceNow is substantially reduced.</w:t>
            </w:r>
          </w:p>
        </w:tc>
      </w:tr>
      <w:tr>
        <w:tc>
          <w:tcPr>
            <w:tcW w:type="dxa" w:w="2400"/>
            <w:tcBorders>
              <w:top w:val="single" w:color="B0C4DE" w:sz="1"/>
              <w:left w:val="single" w:color="B0C4DE" w:sz="1"/>
              <w:bottom w:val="single" w:color="B0C4DE" w:sz="1"/>
              <w:right w:val="single" w:color="B0C4DE" w:sz="1"/>
            </w:tcBorders>
            <w:shd w:fill="FFFFFF" w:val="clear"/>
            <w:tcMar>
              <w:top w:type="dxa" w:w="90"/>
              <w:left w:type="dxa" w:w="140"/>
              <w:bottom w:type="dxa" w:w="90"/>
              <w:right w:type="dxa" w:w="140"/>
            </w:tcMar>
          </w:tcPr>
          <w:p>
            <w:r>
              <w:rPr>
                <w:rFonts w:ascii="Calibri" w:cs="Calibri" w:eastAsia="Calibri" w:hAnsi="Calibri"/>
                <w:b/>
                <w:bCs/>
                <w:color w:val="375A8C"/>
                <w:sz w:val="24"/>
                <w:szCs w:val="24"/>
              </w:rPr>
              <w:t xml:space="preserve">Faster Incident Handling</w:t>
            </w:r>
          </w:p>
        </w:tc>
        <w:tc>
          <w:tcPr>
            <w:tcW w:type="dxa" w:w="3200"/>
            <w:tcBorders>
              <w:top w:val="single" w:color="B0C4DE" w:sz="1"/>
              <w:left w:val="single" w:color="B0C4DE" w:sz="1"/>
              <w:bottom w:val="single" w:color="B0C4DE" w:sz="1"/>
              <w:right w:val="single" w:color="B0C4DE" w:sz="1"/>
            </w:tcBorders>
            <w:shd w:fill="FFFFFF" w:val="clear"/>
            <w:tcMar>
              <w:top w:type="dxa" w:w="90"/>
              <w:left w:type="dxa" w:w="140"/>
              <w:bottom w:type="dxa" w:w="90"/>
              <w:right w:type="dxa" w:w="140"/>
            </w:tcMar>
          </w:tcPr>
          <w:p>
            <w:pPr>
              <w:jc w:val="both"/>
            </w:pPr>
            <w:r>
              <w:rPr>
                <w:rFonts w:ascii="Calibri" w:cs="Calibri" w:eastAsia="Calibri" w:hAnsi="Calibri"/>
                <w:sz w:val="24"/>
                <w:szCs w:val="24"/>
              </w:rPr>
              <w:t xml:space="preserve">Dot Walking fields provide agents with immediate access to department and manager information directly within the Incident form without requiring additional navigation. Dictionary Override ensures all new incidents default to Moderate priority, reducing manual priority selection.</w:t>
            </w:r>
          </w:p>
        </w:tc>
        <w:tc>
          <w:tcPr>
            <w:tcW w:type="dxa" w:w="4048"/>
            <w:tcBorders>
              <w:top w:val="single" w:color="B0C4DE" w:sz="1"/>
              <w:left w:val="single" w:color="B0C4DE" w:sz="1"/>
              <w:bottom w:val="single" w:color="B0C4DE" w:sz="1"/>
              <w:right w:val="single" w:color="B0C4DE" w:sz="1"/>
            </w:tcBorders>
            <w:shd w:fill="FFFFFF" w:val="clear"/>
            <w:tcMar>
              <w:top w:type="dxa" w:w="90"/>
              <w:left w:type="dxa" w:w="140"/>
              <w:bottom w:type="dxa" w:w="90"/>
              <w:right w:type="dxa" w:w="140"/>
            </w:tcMar>
          </w:tcPr>
          <w:p>
            <w:pPr>
              <w:jc w:val="both"/>
            </w:pPr>
            <w:r>
              <w:rPr>
                <w:rFonts w:ascii="Calibri" w:cs="Calibri" w:eastAsia="Calibri" w:hAnsi="Calibri"/>
                <w:sz w:val="24"/>
                <w:szCs w:val="24"/>
              </w:rPr>
              <w:t xml:space="preserve">The design materially reduces the time agents spend gathering employee context information for incident routing and escalation. The priority default design further reduces the frequency of manual priority adjustments for standard incident records.</w:t>
            </w:r>
          </w:p>
        </w:tc>
      </w:tr>
    </w:tbl>
    <w:p>
      <w:pPr>
        <w:spacing w:before="120" w:after="80"/>
      </w:pPr>
      <w:r>
        <w:t xml:space="preserve"/>
      </w:r>
    </w:p>
    <w:p>
      <w:pPr>
        <w:pStyle w:val="Heading2"/>
        <w:spacing w:before="300" w:after="140"/>
      </w:pPr>
      <w:r>
        <w:rPr>
          <w:rFonts w:ascii="Calibri" w:cs="Calibri" w:eastAsia="Calibri" w:hAnsi="Calibri"/>
          <w:b/>
          <w:bCs/>
          <w:color w:val="2E5496"/>
          <w:sz w:val="28"/>
          <w:szCs w:val="28"/>
        </w:rPr>
        <w:t xml:space="preserve">9.2 Design Completeness Checklist</w:t>
      </w:r>
    </w:p>
    <w:p>
      <w:pPr>
        <w:spacing w:line="360" w:lineRule="auto" w:before="80" w:after="160"/>
        <w:ind w:firstLine="720"/>
        <w:jc w:val="both"/>
      </w:pPr>
      <w:r>
        <w:rPr>
          <w:rFonts w:ascii="Calibri" w:cs="Calibri" w:eastAsia="Calibri" w:hAnsi="Calibri"/>
          <w:sz w:val="24"/>
          <w:szCs w:val="24"/>
        </w:rPr>
        <w:t xml:space="preserve">The following checklist confirms that all required design elements have been fully addressed in this document and that the design specification is complete and ready to serve as the authoritative blueprint for the implementation phase:</w:t>
      </w:r>
    </w:p>
    <w:p>
      <w:pPr>
        <w:pStyle w:val="ListParagraph"/>
        <w:numPr>
          <w:ilvl w:val="0"/>
          <w:numId w:val="4"/>
        </w:numPr>
        <w:spacing w:line="360" w:lineRule="auto" w:before="80" w:after="80"/>
      </w:pPr>
      <w:r>
        <w:rPr>
          <w:rFonts w:ascii="Calibri" w:cs="Calibri" w:eastAsia="Calibri" w:hAnsi="Calibri"/>
          <w:sz w:val="24"/>
          <w:szCs w:val="24"/>
        </w:rPr>
        <w:t xml:space="preserve">System architecture has been defined across all seven layers, with each layer's role clearly described.</w:t>
      </w:r>
    </w:p>
    <w:p>
      <w:pPr>
        <w:pStyle w:val="ListParagraph"/>
        <w:numPr>
          <w:ilvl w:val="0"/>
          <w:numId w:val="4"/>
        </w:numPr>
        <w:spacing w:line="360" w:lineRule="auto" w:before="80" w:after="80"/>
      </w:pPr>
      <w:r>
        <w:rPr>
          <w:rFonts w:ascii="Calibri" w:cs="Calibri" w:eastAsia="Calibri" w:hAnsi="Calibri"/>
          <w:sz w:val="24"/>
          <w:szCs w:val="24"/>
        </w:rPr>
        <w:t xml:space="preserve">Data flow has been mapped across all seven steps, from external source preparation through to Incident form display.</w:t>
      </w:r>
    </w:p>
    <w:p>
      <w:pPr>
        <w:pStyle w:val="ListParagraph"/>
        <w:numPr>
          <w:ilvl w:val="0"/>
          <w:numId w:val="4"/>
        </w:numPr>
        <w:spacing w:line="360" w:lineRule="auto" w:before="80" w:after="80"/>
      </w:pPr>
      <w:r>
        <w:rPr>
          <w:rFonts w:ascii="Calibri" w:cs="Calibri" w:eastAsia="Calibri" w:hAnsi="Calibri"/>
          <w:sz w:val="24"/>
          <w:szCs w:val="24"/>
        </w:rPr>
        <w:t xml:space="preserve">Database design has been fully documented, including all relevant tables, their fields, relationships, and the rationale for the relational design approach.</w:t>
      </w:r>
    </w:p>
    <w:p>
      <w:pPr>
        <w:pStyle w:val="ListParagraph"/>
        <w:numPr>
          <w:ilvl w:val="0"/>
          <w:numId w:val="4"/>
        </w:numPr>
        <w:spacing w:line="360" w:lineRule="auto" w:before="80" w:after="80"/>
      </w:pPr>
      <w:r>
        <w:rPr>
          <w:rFonts w:ascii="Calibri" w:cs="Calibri" w:eastAsia="Calibri" w:hAnsi="Calibri"/>
          <w:sz w:val="24"/>
          <w:szCs w:val="24"/>
        </w:rPr>
        <w:t xml:space="preserve">Field design has been completely specified, covering data types, mapping methods, and special handling requirements for all five required fields.</w:t>
      </w:r>
    </w:p>
    <w:p>
      <w:pPr>
        <w:pStyle w:val="ListParagraph"/>
        <w:numPr>
          <w:ilvl w:val="0"/>
          <w:numId w:val="4"/>
        </w:numPr>
        <w:spacing w:line="360" w:lineRule="auto" w:before="80" w:after="80"/>
      </w:pPr>
      <w:r>
        <w:rPr>
          <w:rFonts w:ascii="Calibri" w:cs="Calibri" w:eastAsia="Calibri" w:hAnsi="Calibri"/>
          <w:sz w:val="24"/>
          <w:szCs w:val="24"/>
        </w:rPr>
        <w:t xml:space="preserve">Form design has been defined with all four Dot Walking expressions specified and the form layout design decisions described.</w:t>
      </w:r>
    </w:p>
    <w:p>
      <w:pPr>
        <w:pStyle w:val="ListParagraph"/>
        <w:numPr>
          <w:ilvl w:val="0"/>
          <w:numId w:val="4"/>
        </w:numPr>
        <w:spacing w:line="360" w:lineRule="auto" w:before="80" w:after="80"/>
      </w:pPr>
      <w:r>
        <w:rPr>
          <w:rFonts w:ascii="Calibri" w:cs="Calibri" w:eastAsia="Calibri" w:hAnsi="Calibri"/>
          <w:sz w:val="24"/>
          <w:szCs w:val="24"/>
        </w:rPr>
        <w:t xml:space="preserve">Priority configuration design has been documented with the complete priority scale reference and detailed rationale for the Dictionary Override approach.</w:t>
      </w:r>
    </w:p>
    <w:p>
      <w:pPr>
        <w:pStyle w:val="ListParagraph"/>
        <w:numPr>
          <w:ilvl w:val="0"/>
          <w:numId w:val="4"/>
        </w:numPr>
        <w:spacing w:line="360" w:lineRule="auto" w:before="80" w:after="80"/>
      </w:pPr>
      <w:r>
        <w:rPr>
          <w:rFonts w:ascii="Calibri" w:cs="Calibri" w:eastAsia="Calibri" w:hAnsi="Calibri"/>
          <w:sz w:val="24"/>
          <w:szCs w:val="24"/>
        </w:rPr>
        <w:t xml:space="preserve">Process workflow has been specified as a seven-step implementation sequence with all inter-step dependencies mapped.</w:t>
      </w:r>
    </w:p>
    <w:p>
      <w:pPr>
        <w:pStyle w:val="ListParagraph"/>
        <w:numPr>
          <w:ilvl w:val="0"/>
          <w:numId w:val="4"/>
        </w:numPr>
        <w:spacing w:line="360" w:lineRule="auto" w:before="80" w:after="80"/>
      </w:pPr>
      <w:r>
        <w:rPr>
          <w:rFonts w:ascii="Calibri" w:cs="Calibri" w:eastAsia="Calibri" w:hAnsi="Calibri"/>
          <w:sz w:val="24"/>
          <w:szCs w:val="24"/>
        </w:rPr>
        <w:t xml:space="preserve">All design decisions have been validated against the four project quality dimensions and assessed as adequate to meet the project's success criteria.</w:t>
      </w:r>
    </w:p>
    <w:p>
      <w:pPr>
        <w:spacing w:before="120" w:after="80"/>
      </w:pPr>
      <w:r>
        <w:t xml:space="preserve"/>
      </w:r>
    </w:p>
    <w:p>
      <w:pPr>
        <w:pStyle w:val="Heading2"/>
        <w:spacing w:before="300" w:after="140"/>
      </w:pPr>
      <w:r>
        <w:rPr>
          <w:rFonts w:ascii="Calibri" w:cs="Calibri" w:eastAsia="Calibri" w:hAnsi="Calibri"/>
          <w:b/>
          <w:bCs/>
          <w:color w:val="2E5496"/>
          <w:sz w:val="28"/>
          <w:szCs w:val="28"/>
        </w:rPr>
        <w:t xml:space="preserve">9.3 Design Readiness Statement</w:t>
      </w:r>
    </w:p>
    <w:p>
      <w:pPr>
        <w:spacing w:line="360" w:lineRule="auto" w:before="80" w:after="160"/>
        <w:ind w:firstLine="720"/>
        <w:jc w:val="both"/>
      </w:pPr>
      <w:r>
        <w:rPr>
          <w:rFonts w:ascii="Calibri" w:cs="Calibri" w:eastAsia="Calibri" w:hAnsi="Calibri"/>
          <w:sz w:val="24"/>
          <w:szCs w:val="24"/>
        </w:rPr>
        <w:t xml:space="preserve">Upon completion of this design document, the project is assessed as fully ready to proceed to the Implementation Phase. All components of the solution have been designed in sufficient detail to enable implementation to proceed without requiring further design decisions during the development process. The design has been validated against the project's requirements and quality dimensions, and no outstanding design issues or unresolved questions have been identified.</w:t>
      </w:r>
    </w:p>
    <w:p>
      <w:pPr>
        <w:spacing w:line="360" w:lineRule="auto" w:before="80" w:after="160"/>
        <w:ind w:firstLine="720"/>
        <w:jc w:val="both"/>
      </w:pPr>
      <w:r>
        <w:rPr>
          <w:rFonts w:ascii="Calibri" w:cs="Calibri" w:eastAsia="Calibri" w:hAnsi="Calibri"/>
          <w:sz w:val="24"/>
          <w:szCs w:val="24"/>
        </w:rPr>
        <w:t xml:space="preserve">The implementation team should use this document as the authoritative reference for all configuration activities during the development phase. Any deviations from the design specification encountered during implementation — for example, due to environmental constraints or platform version differences — should be documented and reviewed against the project's requirements and acceptance criteria before proceeding.</w:t>
      </w:r>
    </w:p>
    <w:p>
      <w:pPr>
        <w:spacing w:before="200" w:after="80"/>
      </w:pPr>
      <w:r>
        <w:t xml:space="preserve"/>
      </w:r>
    </w:p>
    <w:p>
      <w:pPr>
        <w:pBdr>
          <w:bottom w:val="single" w:color="2E5496" w:sz="6" w:space="1"/>
        </w:pBdr>
        <w:spacing w:before="100" w:after="100"/>
      </w:pPr>
      <w:r>
        <w:t xml:space="preserve"/>
      </w:r>
    </w:p>
    <w:p>
      <w:pPr>
        <w:spacing w:before="80" w:after="80"/>
      </w:pPr>
      <w:r>
        <w:t xml:space="preserve"/>
      </w:r>
    </w:p>
    <w:p>
      <w:pPr>
        <w:spacing w:before="80" w:after="40"/>
        <w:jc w:val="center"/>
      </w:pPr>
      <w:r>
        <w:rPr>
          <w:rFonts w:ascii="Calibri" w:cs="Calibri" w:eastAsia="Calibri" w:hAnsi="Calibri"/>
          <w:i/>
          <w:iCs/>
          <w:color w:val="777777"/>
          <w:sz w:val="24"/>
          <w:szCs w:val="24"/>
        </w:rPr>
        <w:t xml:space="preserve">— End of Project Design Phase Document —</w:t>
      </w:r>
    </w:p>
    <w:p>
      <w:pPr>
        <w:spacing w:before="40" w:after="80"/>
        <w:jc w:val="center"/>
      </w:pPr>
      <w:r>
        <w:rPr>
          <w:rFonts w:ascii="Calibri" w:cs="Calibri" w:eastAsia="Calibri" w:hAnsi="Calibri"/>
          <w:color w:val="999999"/>
          <w:sz w:val="18"/>
          <w:szCs w:val="18"/>
        </w:rPr>
        <w:t xml:space="preserve">3. Project Design Phase  |  Automating Employee Data Import in ServiceNow  |  Version 1.0</w:t>
      </w:r>
    </w:p>
    <w:sectPr>
      <w:headerReference w:type="default" r:id="rId6"/>
      <w:footerReference w:type="default" r:id="rId7"/>
      <w:pgSz w:w="12240" w:h="15840" w:orient="portrait"/>
      <w:pgMar w:top="1440" w:right="1296" w:bottom="1440" w:left="1296"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496" w:sz="4" w:space="1"/>
      </w:pBdr>
      <w:spacing w:before="120" w:after="0"/>
      <w:jc w:val="center"/>
    </w:pPr>
    <w:r>
      <w:rPr>
        <w:rFonts w:ascii="Calibri" w:cs="Calibri" w:eastAsia="Calibri" w:hAnsi="Calibri"/>
        <w:color w:val="555555"/>
        <w:sz w:val="18"/>
        <w:szCs w:val="18"/>
      </w:rPr>
      <w:t xml:space="preserve">Page </w:t>
    </w:r>
    <w:fldSimple w:instr="[object Object]"/>
    <w:r>
      <w:rPr>
        <w:rFonts w:ascii="Calibri" w:cs="Calibri" w:eastAsia="Calibri" w:hAnsi="Calibri"/>
        <w:color w:val="555555"/>
        <w:sz w:val="18"/>
        <w:szCs w:val="18"/>
      </w:rPr>
      <w:t xml:space="preserve">   —   ServiceNow Project Documentation  —  Phase 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496" w:sz="4" w:space="1"/>
      </w:pBdr>
      <w:spacing w:before="0" w:after="120"/>
      <w:jc w:val="right"/>
    </w:pPr>
    <w:r>
      <w:rPr>
        <w:rFonts w:ascii="Calibri" w:cs="Calibri" w:eastAsia="Calibri" w:hAnsi="Calibri"/>
        <w:b/>
        <w:bCs/>
        <w:color w:val="1F3864"/>
        <w:sz w:val="18"/>
        <w:szCs w:val="18"/>
      </w:rPr>
      <w:t xml:space="preserve">3. Project Design Phase  |  </w:t>
    </w:r>
    <w:r>
      <w:rPr>
        <w:rFonts w:ascii="Calibri" w:cs="Calibri" w:eastAsia="Calibri" w:hAnsi="Calibri"/>
        <w:color w:val="555555"/>
        <w:sz w:val="18"/>
        <w:szCs w:val="18"/>
      </w:rPr>
      <w:t xml:space="preserve">Automating Employee Data Import in ServiceNow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40" w:after="160"/>
      <w:outlineLvl w:val="0"/>
    </w:pPr>
    <w:rPr>
      <w:rFonts w:ascii="Calibri" w:cs="Calibri" w:eastAsia="Calibri" w:hAnsi="Calibri"/>
      <w:b/>
      <w:bCs/>
      <w:color w:val="1F3864"/>
      <w:sz w:val="34"/>
      <w:szCs w:val="34"/>
    </w:rPr>
  </w:style>
  <w:style w:type="paragraph" w:styleId="Heading2">
    <w:name w:val="Heading 2"/>
    <w:basedOn w:val="Normal"/>
    <w:next w:val="Normal"/>
    <w:qFormat/>
    <w:pPr>
      <w:spacing w:before="300" w:after="140"/>
      <w:outlineLvl w:val="1"/>
    </w:pPr>
    <w:rPr>
      <w:rFonts w:ascii="Calibri" w:cs="Calibri" w:eastAsia="Calibri" w:hAnsi="Calibri"/>
      <w:b/>
      <w:bCs/>
      <w:color w:val="2E5496"/>
      <w:sz w:val="28"/>
      <w:szCs w:val="28"/>
    </w:rPr>
  </w:style>
  <w:style w:type="paragraph" w:styleId="Heading3">
    <w:name w:val="Heading 3"/>
    <w:basedOn w:val="Normal"/>
    <w:next w:val="Normal"/>
    <w:qFormat/>
    <w:pPr>
      <w:spacing w:before="220" w:after="100"/>
      <w:outlineLvl w:val="2"/>
    </w:pPr>
    <w:rPr>
      <w:rFonts w:ascii="Calibri" w:cs="Calibri" w:eastAsia="Calibri" w:hAnsi="Calibri"/>
      <w:b/>
      <w:bCs/>
      <w:color w:val="375A8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2026-03-09T08:12:04.997Z</dcterms:created>
  <dcterms:modified xsi:type="dcterms:W3CDTF">2026-03-09T08:12:04.997Z</dcterms:modified>
</cp:coreProperties>
</file>

<file path=docProps/custom.xml><?xml version="1.0" encoding="utf-8"?>
<Properties xmlns="http://schemas.openxmlformats.org/officeDocument/2006/custom-properties" xmlns:vt="http://schemas.openxmlformats.org/officeDocument/2006/docPropsVTypes"/>
</file>