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pPr>
      <w:r>
        <w:t xml:space="preserve"/>
      </w:r>
    </w:p>
    <w:p>
      <w:pPr>
        <w:pBdr>
          <w:bottom w:val="single" w:color="1F3864" w:sz="22" w:space="1"/>
        </w:pBdr>
        <w:spacing w:before="0" w:after="0"/>
      </w:pPr>
      <w:r>
        <w:t xml:space="preserve"/>
      </w:r>
    </w:p>
    <w:p>
      <w:pPr>
        <w:spacing w:before="60" w:after="80"/>
      </w:pPr>
      <w:r>
        <w:t xml:space="preserve"/>
      </w:r>
    </w:p>
    <w:p>
      <w:pPr>
        <w:spacing w:before="100" w:after="80"/>
        <w:jc w:val="center"/>
      </w:pPr>
      <w:r>
        <w:rPr>
          <w:rFonts w:ascii="Calibri" w:cs="Calibri" w:eastAsia="Calibri" w:hAnsi="Calibri"/>
          <w:b/>
          <w:bCs/>
          <w:color w:val="2E5496"/>
          <w:sz w:val="20"/>
          <w:szCs w:val="20"/>
        </w:rPr>
        <w:t xml:space="preserve">SERVICENOW  —  TECHNICAL PROJECT REPORT</w:t>
      </w:r>
    </w:p>
    <w:p>
      <w:pPr>
        <w:spacing w:before="160" w:after="80"/>
      </w:pPr>
      <w:r>
        <w:t xml:space="preserve"/>
      </w:r>
    </w:p>
    <w:p>
      <w:pPr>
        <w:spacing w:before="0" w:after="80"/>
        <w:jc w:val="center"/>
      </w:pPr>
      <w:r>
        <w:rPr>
          <w:rFonts w:ascii="Calibri" w:cs="Calibri" w:eastAsia="Calibri" w:hAnsi="Calibri"/>
          <w:b/>
          <w:bCs/>
          <w:color w:val="1F3864"/>
          <w:sz w:val="76"/>
          <w:szCs w:val="76"/>
        </w:rPr>
        <w:t xml:space="preserve">Project Documentation</w:t>
      </w:r>
    </w:p>
    <w:p>
      <w:pPr>
        <w:spacing w:before="60" w:after="200"/>
        <w:jc w:val="center"/>
      </w:pPr>
      <w:r>
        <w:rPr>
          <w:rFonts w:ascii="Calibri" w:cs="Calibri" w:eastAsia="Calibri" w:hAnsi="Calibri"/>
          <w:i/>
          <w:iCs/>
          <w:color w:val="2E5496"/>
          <w:sz w:val="34"/>
          <w:szCs w:val="34"/>
        </w:rPr>
        <w:t xml:space="preserve">Automating Employee Data Import in ServiceNow</w:t>
      </w:r>
    </w:p>
    <w:p>
      <w:pPr>
        <w:spacing w:before="60" w:after="80"/>
      </w:pPr>
      <w:r>
        <w:t xml:space="preserve"/>
      </w:r>
    </w:p>
    <w:p>
      <w:pPr>
        <w:pBdr>
          <w:bottom w:val="single" w:color="1F3864" w:sz="22" w:space="1"/>
        </w:pBdr>
        <w:spacing w:before="0" w:after="0"/>
      </w:pPr>
      <w:r>
        <w:t xml:space="preserve"/>
      </w:r>
    </w:p>
    <w:p>
      <w:pPr>
        <w:spacing w:before="440" w:after="80"/>
      </w:pPr>
      <w:r>
        <w:t xml:space="preserve"/>
      </w:r>
    </w:p>
    <w:tbl>
      <w:tblPr>
        <w:tblW w:type="dxa" w:w="9348"/>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48"/>
      </w:tblGrid>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Title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Project Documentation</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Project Name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Automating Employee Data Import in ServiceNow</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Platform</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ServiceNow (Personal Developer Instance)</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Type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Technical Project Report</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Scope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End-to-End Implementation and Configuration</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Date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2025</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Version</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1.0</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Status</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Final</w:t>
            </w:r>
          </w:p>
        </w:tc>
      </w:tr>
    </w:tbl>
    <w:p>
      <w:pPr>
        <w:spacing w:before="480" w:after="80"/>
      </w:pPr>
      <w:r>
        <w:t xml:space="preserve"/>
      </w:r>
    </w:p>
    <w:p>
      <w:pPr>
        <w:spacing w:before="80" w:after="40"/>
        <w:jc w:val="center"/>
      </w:pPr>
      <w:r>
        <w:rPr>
          <w:rFonts w:ascii="Calibri" w:cs="Calibri" w:eastAsia="Calibri" w:hAnsi="Calibri"/>
          <w:i/>
          <w:iCs/>
          <w:color w:val="555555"/>
          <w:sz w:val="24"/>
          <w:szCs w:val="24"/>
        </w:rPr>
        <w:t xml:space="preserve">Prepared by the ServiceNow Implementation Team</w:t>
      </w:r>
    </w:p>
    <w:p>
      <w:r>
        <w:br w:type="page"/>
      </w:r>
    </w:p>
    <w:p>
      <w:pPr>
        <w:sectPr>
          <w:pgSz w:w="12240" w:h="15840" w:orient="portrait"/>
          <w:pgMar w:top="1440" w:right="1296" w:bottom="1440" w:left="1296" w:header="708" w:footer="708" w:gutter="0"/>
          <w:pgNumType/>
          <w:docGrid w:linePitch="360"/>
        </w:sectPr>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1F3864" w:sz="1"/>
              <w:left w:val="single" w:color="1F3864" w:sz="1"/>
              <w:bottom w:val="single" w:color="1F3864" w:sz="1"/>
              <w:right w:val="single" w:color="1F3864" w:sz="1"/>
            </w:tcBorders>
            <w:shd w:fill="1F3864" w:val="clear"/>
            <w:tcMar>
              <w:top w:type="dxa" w:w="160"/>
              <w:left w:type="dxa" w:w="120"/>
              <w:bottom w:type="dxa" w:w="160"/>
              <w:right w:type="dxa" w:w="120"/>
            </w:tcMar>
          </w:tcPr>
          <w:p>
            <w:pPr>
              <w:spacing w:before="0" w:after="40"/>
              <w:jc w:val="center"/>
            </w:pPr>
            <w:r>
              <w:rPr>
                <w:rFonts w:ascii="Calibri" w:cs="Calibri" w:eastAsia="Calibri" w:hAnsi="Calibri"/>
                <w:b/>
                <w:bCs/>
                <w:color w:val="FFFFFF"/>
                <w:sz w:val="44"/>
                <w:szCs w:val="44"/>
              </w:rPr>
              <w:t xml:space="preserve">6</w:t>
            </w:r>
          </w:p>
          <w:p>
            <w:pPr>
              <w:spacing w:before="0" w:after="0"/>
              <w:jc w:val="center"/>
            </w:pPr>
            <w:r>
              <w:rPr>
                <w:rFonts w:ascii="Calibri" w:cs="Calibri" w:eastAsia="Calibri" w:hAnsi="Calibri"/>
                <w:color w:val="D0E4F7"/>
                <w:sz w:val="20"/>
                <w:szCs w:val="20"/>
              </w:rPr>
              <w:t xml:space="preserve">Key Technologies</w:t>
            </w:r>
          </w:p>
        </w:tc>
        <w:tc>
          <w:tcPr>
            <w:tcW w:type="dxa" w:w="2412"/>
            <w:tcBorders>
              <w:top w:val="single" w:color="2E5496" w:sz="1"/>
              <w:left w:val="single" w:color="2E5496" w:sz="1"/>
              <w:bottom w:val="single" w:color="2E5496" w:sz="1"/>
              <w:right w:val="single" w:color="2E5496" w:sz="1"/>
            </w:tcBorders>
            <w:shd w:fill="2E5496" w:val="clear"/>
            <w:tcMar>
              <w:top w:type="dxa" w:w="160"/>
              <w:left w:type="dxa" w:w="120"/>
              <w:bottom w:type="dxa" w:w="160"/>
              <w:right w:type="dxa" w:w="120"/>
            </w:tcMar>
          </w:tcPr>
          <w:p>
            <w:pPr>
              <w:spacing w:before="0" w:after="40"/>
              <w:jc w:val="center"/>
            </w:pPr>
            <w:r>
              <w:rPr>
                <w:rFonts w:ascii="Calibri" w:cs="Calibri" w:eastAsia="Calibri" w:hAnsi="Calibri"/>
                <w:b/>
                <w:bCs/>
                <w:color w:val="FFFFFF"/>
                <w:sz w:val="44"/>
                <w:szCs w:val="44"/>
              </w:rPr>
              <w:t xml:space="preserve">8</w:t>
            </w:r>
          </w:p>
          <w:p>
            <w:pPr>
              <w:spacing w:before="0" w:after="0"/>
              <w:jc w:val="center"/>
            </w:pPr>
            <w:r>
              <w:rPr>
                <w:rFonts w:ascii="Calibri" w:cs="Calibri" w:eastAsia="Calibri" w:hAnsi="Calibri"/>
                <w:color w:val="D0E4F7"/>
                <w:sz w:val="20"/>
                <w:szCs w:val="20"/>
              </w:rPr>
              <w:t xml:space="preserve">Implementation Steps</w:t>
            </w:r>
          </w:p>
        </w:tc>
        <w:tc>
          <w:tcPr>
            <w:tcW w:type="dxa" w:w="2412"/>
            <w:tcBorders>
              <w:top w:val="single" w:color="375A8C" w:sz="1"/>
              <w:left w:val="single" w:color="375A8C" w:sz="1"/>
              <w:bottom w:val="single" w:color="375A8C" w:sz="1"/>
              <w:right w:val="single" w:color="375A8C" w:sz="1"/>
            </w:tcBorders>
            <w:shd w:fill="375A8C" w:val="clear"/>
            <w:tcMar>
              <w:top w:type="dxa" w:w="160"/>
              <w:left w:type="dxa" w:w="120"/>
              <w:bottom w:type="dxa" w:w="160"/>
              <w:right w:type="dxa" w:w="120"/>
            </w:tcMar>
          </w:tcPr>
          <w:p>
            <w:pPr>
              <w:spacing w:before="0" w:after="40"/>
              <w:jc w:val="center"/>
            </w:pPr>
            <w:r>
              <w:rPr>
                <w:rFonts w:ascii="Calibri" w:cs="Calibri" w:eastAsia="Calibri" w:hAnsi="Calibri"/>
                <w:b/>
                <w:bCs/>
                <w:color w:val="FFFFFF"/>
                <w:sz w:val="44"/>
                <w:szCs w:val="44"/>
              </w:rPr>
              <w:t xml:space="preserve">5</w:t>
            </w:r>
          </w:p>
          <w:p>
            <w:pPr>
              <w:spacing w:before="0" w:after="0"/>
              <w:jc w:val="center"/>
            </w:pPr>
            <w:r>
              <w:rPr>
                <w:rFonts w:ascii="Calibri" w:cs="Calibri" w:eastAsia="Calibri" w:hAnsi="Calibri"/>
                <w:color w:val="D0E4F7"/>
                <w:sz w:val="20"/>
                <w:szCs w:val="20"/>
              </w:rPr>
              <w:t xml:space="preserve">System Features</w:t>
            </w:r>
          </w:p>
        </w:tc>
        <w:tc>
          <w:tcPr>
            <w:tcW w:type="dxa" w:w="2412"/>
            <w:tcBorders>
              <w:top w:val="single" w:color="1A6B6B" w:sz="1"/>
              <w:left w:val="single" w:color="1A6B6B" w:sz="1"/>
              <w:bottom w:val="single" w:color="1A6B6B" w:sz="1"/>
              <w:right w:val="single" w:color="1A6B6B" w:sz="1"/>
            </w:tcBorders>
            <w:shd w:fill="1A6B6B" w:val="clear"/>
            <w:tcMar>
              <w:top w:type="dxa" w:w="160"/>
              <w:left w:type="dxa" w:w="120"/>
              <w:bottom w:type="dxa" w:w="160"/>
              <w:right w:type="dxa" w:w="120"/>
            </w:tcMar>
          </w:tcPr>
          <w:p>
            <w:pPr>
              <w:spacing w:before="0" w:after="40"/>
              <w:jc w:val="center"/>
            </w:pPr>
            <w:r>
              <w:rPr>
                <w:rFonts w:ascii="Calibri" w:cs="Calibri" w:eastAsia="Calibri" w:hAnsi="Calibri"/>
                <w:b/>
                <w:bCs/>
                <w:color w:val="FFFFFF"/>
                <w:sz w:val="44"/>
                <w:szCs w:val="44"/>
              </w:rPr>
              <w:t xml:space="preserve">5</w:t>
            </w:r>
          </w:p>
          <w:p>
            <w:pPr>
              <w:spacing w:before="0" w:after="0"/>
              <w:jc w:val="center"/>
            </w:pPr>
            <w:r>
              <w:rPr>
                <w:rFonts w:ascii="Calibri" w:cs="Calibri" w:eastAsia="Calibri" w:hAnsi="Calibri"/>
                <w:color w:val="D0E4F7"/>
                <w:sz w:val="20"/>
                <w:szCs w:val="20"/>
              </w:rPr>
              <w:t xml:space="preserve">Business Benefits</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30"/>
              <w:left w:type="dxa" w:w="240"/>
              <w:bottom w:type="dxa" w:w="130"/>
              <w:right w:type="dxa" w:w="240"/>
            </w:tcMar>
          </w:tcPr>
          <w:p>
            <w:r>
              <w:rPr>
                <w:rFonts w:ascii="Calibri" w:cs="Calibri" w:eastAsia="Calibri" w:hAnsi="Calibri"/>
                <w:b/>
                <w:bCs/>
                <w:color w:val="FFFFFF"/>
                <w:sz w:val="22"/>
                <w:szCs w:val="22"/>
              </w:rPr>
              <w:t xml:space="preserve">Section 1  —  Introduction</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1. Introduction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Project documentation is an essential and integral component of the software development lifecycle. It serves as the permanent written record of a project's purpose, design decisions, implementation steps, and outcomes, providing a comprehensive reference that supports every stakeholder involved in the project — from the developers who build the system to the administrators who maintain it and the evaluators who assess its quality and completeness.</w:t>
      </w:r>
    </w:p>
    <w:p>
      <w:pPr>
        <w:spacing w:line="360" w:lineRule="auto" w:before="80" w:after="160"/>
        <w:ind w:firstLine="720"/>
        <w:jc w:val="both"/>
      </w:pPr>
      <w:r>
        <w:rPr>
          <w:rFonts w:ascii="Calibri" w:cs="Calibri" w:eastAsia="Calibri" w:hAnsi="Calibri"/>
          <w:sz w:val="24"/>
          <w:szCs w:val="24"/>
        </w:rPr>
        <w:t xml:space="preserve">Thorough and well-structured documentation fulfils several critical functions within a project. It ensures that the knowledge accumulated during the design and implementation phases is preserved in a form that can be consulted, shared, and built upon in the future. It provides a clear and unambiguous account of how the system has been configured, enabling administrators or developers who were not involved in the original implementation to understand the system's architecture and make informed decisions about maintenance or enhancement. It also demonstrates the rigour and professionalism of the implementation process to evaluators and stakeholders, serving as evidence that the project was conducted in a systematic and considered manner.</w:t>
      </w:r>
    </w:p>
    <w:p>
      <w:pPr>
        <w:spacing w:line="360" w:lineRule="auto" w:before="80" w:after="160"/>
        <w:ind w:firstLine="720"/>
        <w:jc w:val="both"/>
      </w:pPr>
      <w:r>
        <w:rPr>
          <w:rFonts w:ascii="Calibri" w:cs="Calibri" w:eastAsia="Calibri" w:hAnsi="Calibri"/>
          <w:sz w:val="24"/>
          <w:szCs w:val="24"/>
        </w:rPr>
        <w:t xml:space="preserve">In the context of the Automating Employee Data Import project, this documentation provides a complete account of the system that has been designed and implemented within the ServiceNow platform. It covers the project's objectives, the technologies and tools employed, the step-by-step implementation process, the features of the resulting system, the benefits it delivers, and a summary of the outcomes achieved. Together, these elements present a holistic view of the project that is suitable for both academic evaluation and professional reference.</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30"/>
              <w:left w:type="dxa" w:w="240"/>
              <w:bottom w:type="dxa" w:w="130"/>
              <w:right w:type="dxa" w:w="240"/>
            </w:tcMar>
          </w:tcPr>
          <w:p>
            <w:r>
              <w:rPr>
                <w:rFonts w:ascii="Calibri" w:cs="Calibri" w:eastAsia="Calibri" w:hAnsi="Calibri"/>
                <w:b/>
                <w:bCs/>
                <w:color w:val="FFFFFF"/>
                <w:sz w:val="22"/>
                <w:szCs w:val="22"/>
              </w:rPr>
              <w:t xml:space="preserve">Section 2  —  Project Overview</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2. Project Overview</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This project addresses a common operational challenge faced by organisations that rely on the ServiceNow platform for IT service management: the absence of an automated mechanism for importing and maintaining employee records. In many enterprise environments, employee data — including names, email addresses, departmental affiliations, and managerial hierarchies — is held in external systems such as Microsoft Excel spreadsheets or Google Sheets. When this data is required in ServiceNow, the lack of automation forces administrators to enter records manually, a process that is time-consuming, susceptible to human error, and unsustainable at scale.</w:t>
      </w:r>
    </w:p>
    <w:p>
      <w:pPr>
        <w:spacing w:line="360" w:lineRule="auto" w:before="80" w:after="160"/>
        <w:ind w:firstLine="720"/>
        <w:jc w:val="both"/>
      </w:pPr>
      <w:r>
        <w:rPr>
          <w:rFonts w:ascii="Calibri" w:cs="Calibri" w:eastAsia="Calibri" w:hAnsi="Calibri"/>
          <w:sz w:val="24"/>
          <w:szCs w:val="24"/>
        </w:rPr>
        <w:t xml:space="preserve">The Automating Employee Data Import project implements a complete, end-to-end automated solution within the ServiceNow platform that eliminates this manual process. The solution leverages ServiceNow's native Import Sets and Transform Maps functionality to import employee records from structured external files, automatically transform and map the incoming data to the correct fields in the ServiceNow User table (sys_user), and resolve relational references such as department names and manager associations without requiring manual intervention.</w:t>
      </w:r>
    </w:p>
    <w:p>
      <w:pPr>
        <w:spacing w:line="360" w:lineRule="auto" w:before="80" w:after="160"/>
        <w:ind w:firstLine="720"/>
        <w:jc w:val="both"/>
      </w:pPr>
      <w:r>
        <w:rPr>
          <w:rFonts w:ascii="Calibri" w:cs="Calibri" w:eastAsia="Calibri" w:hAnsi="Calibri"/>
          <w:sz w:val="24"/>
          <w:szCs w:val="24"/>
        </w:rPr>
        <w:t xml:space="preserve">Once employee records are accurately stored in ServiceNow, the project extends the system's value by configuring the Incident Management module to display relevant employee information automatically. Using ServiceNow's Dot Walking capability, the Incident form is enhanced to show an assigned employee's department, email address, and manager details directly within the incident record. This enrichment of the incident form significantly reduces the time agents spend gathering context information during incident handling and improves the accuracy of incident routing and escalation decisions.</w:t>
      </w:r>
    </w:p>
    <w:p>
      <w:pPr>
        <w:spacing w:line="360" w:lineRule="auto" w:before="80" w:after="160"/>
        <w:ind w:firstLine="720"/>
        <w:jc w:val="both"/>
      </w:pPr>
      <w:r>
        <w:rPr>
          <w:rFonts w:ascii="Calibri" w:cs="Calibri" w:eastAsia="Calibri" w:hAnsi="Calibri"/>
          <w:sz w:val="24"/>
          <w:szCs w:val="24"/>
        </w:rPr>
        <w:t xml:space="preserve">Additionally, the project applies a Dictionary Override to customise the default priority value for incident records, ensuring that new incidents are created with a baseline priority of Moderate rather than the system default of Low, in alignment with the organisation's incident management policy.</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2.1 Project Context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
        <w:gridCol w:w="9428"/>
      </w:tblGrid>
      <w:tr>
        <w:tc>
          <w:tcPr>
            <w:tcW w:type="dxa" w:w="220"/>
            <w:tcBorders>
              <w:top w:val="single" w:color="2E5496" w:sz="1"/>
              <w:left w:val="single" w:color="2E5496" w:sz="1"/>
              <w:bottom w:val="single" w:color="2E5496" w:sz="1"/>
              <w:right w:val="none" w:color="FFFFFF" w:sz="0"/>
            </w:tcBorders>
            <w:shd w:fill="2E5496" w:val="clear"/>
            <w:tcMar>
              <w:top w:type="dxa" w:w="0"/>
              <w:left w:type="dxa" w:w="0"/>
              <w:bottom w:type="dxa" w:w="0"/>
              <w:right w:type="dxa" w:w="0"/>
            </w:tcMar>
          </w:tcPr>
          <w:p>
            <w:r>
              <w:t xml:space="preserve"/>
            </w:r>
          </w:p>
        </w:tc>
        <w:tc>
          <w:tcPr>
            <w:tcW w:type="dxa" w:w="9428"/>
            <w:tcBorders>
              <w:top w:val="single" w:color="2E5496" w:sz="1"/>
              <w:left w:val="none" w:color="FFFFFF" w:sz="0"/>
              <w:bottom w:val="single" w:color="2E5496" w:sz="1"/>
              <w:right w:val="single" w:color="2E5496"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2E5496"/>
                <w:sz w:val="24"/>
                <w:szCs w:val="24"/>
              </w:rPr>
              <w:t xml:space="preserve">Project at a Glance</w:t>
            </w:r>
          </w:p>
          <w:p>
            <w:pPr>
              <w:pStyle w:val="ListParagraph"/>
              <w:numPr>
                <w:ilvl w:val="0"/>
                <w:numId w:val="2"/>
              </w:numPr>
              <w:spacing w:line="360" w:lineRule="auto" w:before="60" w:after="60"/>
            </w:pPr>
            <w:r>
              <w:rPr>
                <w:rFonts w:ascii="Calibri" w:cs="Calibri" w:eastAsia="Calibri" w:hAnsi="Calibri"/>
                <w:b/>
                <w:bCs/>
                <w:sz w:val="24"/>
                <w:szCs w:val="24"/>
              </w:rPr>
              <w:t xml:space="preserve">Platform: </w:t>
            </w:r>
            <w:r>
              <w:rPr>
                <w:rFonts w:ascii="Calibri" w:cs="Calibri" w:eastAsia="Calibri" w:hAnsi="Calibri"/>
                <w:sz w:val="24"/>
                <w:szCs w:val="24"/>
              </w:rPr>
              <w:t xml:space="preserve">ServiceNow (Personal Developer Instance)</w:t>
            </w:r>
          </w:p>
          <w:p>
            <w:pPr>
              <w:pStyle w:val="ListParagraph"/>
              <w:numPr>
                <w:ilvl w:val="0"/>
                <w:numId w:val="2"/>
              </w:numPr>
              <w:spacing w:line="360" w:lineRule="auto" w:before="60" w:after="60"/>
            </w:pPr>
            <w:r>
              <w:rPr>
                <w:rFonts w:ascii="Calibri" w:cs="Calibri" w:eastAsia="Calibri" w:hAnsi="Calibri"/>
                <w:b/>
                <w:bCs/>
                <w:sz w:val="24"/>
                <w:szCs w:val="24"/>
              </w:rPr>
              <w:t xml:space="preserve">Primary Scenario: </w:t>
            </w:r>
            <w:r>
              <w:rPr>
                <w:rFonts w:ascii="Calibri" w:cs="Calibri" w:eastAsia="Calibri" w:hAnsi="Calibri"/>
                <w:sz w:val="24"/>
                <w:szCs w:val="24"/>
              </w:rPr>
              <w:t xml:space="preserve">Automating bulk employee data import from external spreadsheet files.</w:t>
            </w:r>
          </w:p>
          <w:p>
            <w:pPr>
              <w:pStyle w:val="ListParagraph"/>
              <w:numPr>
                <w:ilvl w:val="0"/>
                <w:numId w:val="2"/>
              </w:numPr>
              <w:spacing w:line="360" w:lineRule="auto" w:before="60" w:after="60"/>
            </w:pPr>
            <w:r>
              <w:rPr>
                <w:rFonts w:ascii="Calibri" w:cs="Calibri" w:eastAsia="Calibri" w:hAnsi="Calibri"/>
                <w:b/>
                <w:bCs/>
                <w:sz w:val="24"/>
                <w:szCs w:val="24"/>
              </w:rPr>
              <w:t xml:space="preserve">Target Table: </w:t>
            </w:r>
            <w:r>
              <w:rPr>
                <w:rFonts w:ascii="Calibri" w:cs="Calibri" w:eastAsia="Calibri" w:hAnsi="Calibri"/>
                <w:sz w:val="24"/>
                <w:szCs w:val="24"/>
              </w:rPr>
              <w:t xml:space="preserve">ServiceNow User table (sys_user).</w:t>
            </w:r>
          </w:p>
          <w:p>
            <w:pPr>
              <w:pStyle w:val="ListParagraph"/>
              <w:numPr>
                <w:ilvl w:val="0"/>
                <w:numId w:val="2"/>
              </w:numPr>
              <w:spacing w:line="360" w:lineRule="auto" w:before="60" w:after="60"/>
            </w:pPr>
            <w:r>
              <w:rPr>
                <w:rFonts w:ascii="Calibri" w:cs="Calibri" w:eastAsia="Calibri" w:hAnsi="Calibri"/>
                <w:b/>
                <w:bCs/>
                <w:sz w:val="24"/>
                <w:szCs w:val="24"/>
              </w:rPr>
              <w:t xml:space="preserve">Secondary Scenario: </w:t>
            </w:r>
            <w:r>
              <w:rPr>
                <w:rFonts w:ascii="Calibri" w:cs="Calibri" w:eastAsia="Calibri" w:hAnsi="Calibri"/>
                <w:sz w:val="24"/>
                <w:szCs w:val="24"/>
              </w:rPr>
              <w:t xml:space="preserve">Enriching the Incident Management form with employee department and manager data via Dot Walking.</w:t>
            </w:r>
          </w:p>
          <w:p>
            <w:pPr>
              <w:pStyle w:val="ListParagraph"/>
              <w:numPr>
                <w:ilvl w:val="0"/>
                <w:numId w:val="2"/>
              </w:numPr>
              <w:spacing w:line="360" w:lineRule="auto" w:before="60" w:after="60"/>
            </w:pPr>
            <w:r>
              <w:rPr>
                <w:rFonts w:ascii="Calibri" w:cs="Calibri" w:eastAsia="Calibri" w:hAnsi="Calibri"/>
                <w:b/>
                <w:bCs/>
                <w:sz w:val="24"/>
                <w:szCs w:val="24"/>
              </w:rPr>
              <w:t xml:space="preserve">Priority Customisation: </w:t>
            </w:r>
            <w:r>
              <w:rPr>
                <w:rFonts w:ascii="Calibri" w:cs="Calibri" w:eastAsia="Calibri" w:hAnsi="Calibri"/>
                <w:sz w:val="24"/>
                <w:szCs w:val="24"/>
              </w:rPr>
              <w:t xml:space="preserve">Dictionary Override applied to set the default incident priority to 3 (Moderate).</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30"/>
              <w:left w:type="dxa" w:w="240"/>
              <w:bottom w:type="dxa" w:w="130"/>
              <w:right w:type="dxa" w:w="240"/>
            </w:tcMar>
          </w:tcPr>
          <w:p>
            <w:r>
              <w:rPr>
                <w:rFonts w:ascii="Calibri" w:cs="Calibri" w:eastAsia="Calibri" w:hAnsi="Calibri"/>
                <w:b/>
                <w:bCs/>
                <w:color w:val="FFFFFF"/>
                <w:sz w:val="22"/>
                <w:szCs w:val="22"/>
              </w:rPr>
              <w:t xml:space="preserve">Section 3  —  Objectives of the Project</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3. Objectives of the Project</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objectives of the project define the specific, measurable outcomes that the implementation aims to achieve. Each objective is directly aligned with the business need that motivated the project and represents a distinct area in which the solution delivers measurable value to the organisation.</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8748"/>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Obj.</w:t>
            </w:r>
          </w:p>
        </w:tc>
        <w:tc>
          <w:tcPr>
            <w:tcW w:type="dxa" w:w="87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r>
              <w:rPr>
                <w:rFonts w:ascii="Calibri" w:cs="Calibri" w:eastAsia="Calibri" w:hAnsi="Calibri"/>
                <w:b/>
                <w:bCs/>
                <w:color w:val="FFFFFF"/>
                <w:sz w:val="24"/>
                <w:szCs w:val="24"/>
              </w:rPr>
              <w:t xml:space="preserve">Objective Statement</w:t>
            </w:r>
          </w:p>
        </w:tc>
      </w:tr>
      <w:tr>
        <w:tc>
          <w:tcPr>
            <w:tcW w:type="dxa" w:w="9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2E5496"/>
                <w:sz w:val="24"/>
                <w:szCs w:val="24"/>
              </w:rPr>
              <w:t xml:space="preserve">OBJ-01</w:t>
            </w:r>
          </w:p>
        </w:tc>
        <w:tc>
          <w:tcPr>
            <w:tcW w:type="dxa" w:w="87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Automate the employee data import process by implementing a structured, repeatable import pipeline using ServiceNow's Import Sets and Transform Maps, eliminating the need for manual data entry by administrators.</w:t>
            </w:r>
          </w:p>
        </w:tc>
      </w:tr>
      <w:tr>
        <w:tc>
          <w:tcPr>
            <w:tcW w:type="dxa" w:w="9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2E5496"/>
                <w:sz w:val="24"/>
                <w:szCs w:val="24"/>
              </w:rPr>
              <w:t xml:space="preserve">OBJ-02</w:t>
            </w:r>
          </w:p>
        </w:tc>
        <w:tc>
          <w:tcPr>
            <w:tcW w:type="dxa" w:w="87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Reduce manual data entry errors by establishing a systematic field mapping process within the Transform Map that ensures each imported attribute is stored in the correct target field, with referential integrity maintained throughout.</w:t>
            </w:r>
          </w:p>
        </w:tc>
      </w:tr>
      <w:tr>
        <w:tc>
          <w:tcPr>
            <w:tcW w:type="dxa" w:w="9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2E5496"/>
                <w:sz w:val="24"/>
                <w:szCs w:val="24"/>
              </w:rPr>
              <w:t xml:space="preserve">OBJ-03</w:t>
            </w:r>
          </w:p>
        </w:tc>
        <w:tc>
          <w:tcPr>
            <w:tcW w:type="dxa" w:w="87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Improve data accessibility within ServiceNow incident records by configuring the Incident form with Dot Walking expressions that automatically surface employee department and email information when an employee is selected.</w:t>
            </w:r>
          </w:p>
        </w:tc>
      </w:tr>
      <w:tr>
        <w:tc>
          <w:tcPr>
            <w:tcW w:type="dxa" w:w="9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2E5496"/>
                <w:sz w:val="24"/>
                <w:szCs w:val="24"/>
              </w:rPr>
              <w:t xml:space="preserve">OBJ-04</w:t>
            </w:r>
          </w:p>
        </w:tc>
        <w:tc>
          <w:tcPr>
            <w:tcW w:type="dxa" w:w="87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Provide quick and direct access to employee manager information within incident records, enabling incident agents to identify escalation contacts without navigating away from the incident form.</w:t>
            </w:r>
          </w:p>
        </w:tc>
      </w:tr>
      <w:tr>
        <w:tc>
          <w:tcPr>
            <w:tcW w:type="dxa" w:w="9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2E5496"/>
                <w:sz w:val="24"/>
                <w:szCs w:val="24"/>
              </w:rPr>
              <w:t xml:space="preserve">OBJ-05</w:t>
            </w:r>
          </w:p>
        </w:tc>
        <w:tc>
          <w:tcPr>
            <w:tcW w:type="dxa" w:w="87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Enhance the overall efficiency of incident management by combining enriched employee data display, accurate default priority settings through Dictionary Override, and reduced manual lookup time.</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30"/>
              <w:left w:type="dxa" w:w="240"/>
              <w:bottom w:type="dxa" w:w="130"/>
              <w:right w:type="dxa" w:w="240"/>
            </w:tcMar>
          </w:tcPr>
          <w:p>
            <w:r>
              <w:rPr>
                <w:rFonts w:ascii="Calibri" w:cs="Calibri" w:eastAsia="Calibri" w:hAnsi="Calibri"/>
                <w:b/>
                <w:bCs/>
                <w:color w:val="FFFFFF"/>
                <w:sz w:val="22"/>
                <w:szCs w:val="22"/>
              </w:rPr>
              <w:t xml:space="preserve">Section 4  —  Tools and Technologies Used</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4. Tools and Technologies Used</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implementation of the Automating Employee Data Import project employs a carefully selected set of tools and technologies, all of which are either native to the ServiceNow platform or widely available as standard business productivity applications. The decision to rely exclusively on ServiceNow's built-in features — rather than external integration tools or custom code — ensures that the solution is maintainable, supportable, and compatible with future platform updates.</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248"/>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Technology / Tool</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Category</w:t>
            </w:r>
          </w:p>
        </w:tc>
        <w:tc>
          <w:tcPr>
            <w:tcW w:type="dxa" w:w="52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Role in the Project</w:t>
            </w:r>
          </w:p>
        </w:tc>
      </w:tr>
      <w:tr>
        <w:tc>
          <w:tcPr>
            <w:tcW w:type="dxa" w:w="2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color w:val="1F3864"/>
                <w:sz w:val="24"/>
                <w:szCs w:val="24"/>
              </w:rPr>
              <w:t xml:space="preserve">ServiceNow Platform</w:t>
            </w:r>
          </w:p>
        </w:tc>
        <w:tc>
          <w:tcPr>
            <w:tcW w:type="dxa" w:w="1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i/>
                <w:iCs/>
                <w:color w:val="375A8C"/>
                <w:sz w:val="24"/>
                <w:szCs w:val="24"/>
              </w:rPr>
              <w:t xml:space="preserve">ITSM Platform</w:t>
            </w:r>
          </w:p>
        </w:tc>
        <w:tc>
          <w:tcPr>
            <w:tcW w:type="dxa" w:w="5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The primary development and deployment environment for the entire project. Provides all modules required for implementation, including User Administration, Import Sets, Transform Maps, Incident Management, and System Definition. Accessed via a Personal Developer Instance (PDI).</w:t>
            </w:r>
          </w:p>
        </w:tc>
      </w:tr>
      <w:tr>
        <w:tc>
          <w:tcPr>
            <w:tcW w:type="dxa" w:w="26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color w:val="1F3864"/>
                <w:sz w:val="24"/>
                <w:szCs w:val="24"/>
              </w:rPr>
              <w:t xml:space="preserve">Google Sheets / Excel</w:t>
            </w:r>
          </w:p>
        </w:tc>
        <w:tc>
          <w:tcPr>
            <w:tcW w:type="dxa" w:w="1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i/>
                <w:iCs/>
                <w:color w:val="375A8C"/>
                <w:sz w:val="24"/>
                <w:szCs w:val="24"/>
              </w:rPr>
              <w:t xml:space="preserve">Data Source Tool</w:t>
            </w:r>
          </w:p>
        </w:tc>
        <w:tc>
          <w:tcPr>
            <w:tcW w:type="dxa" w:w="5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Used to create, populate, and export the employee dataset prior to import. Provides the structured tabular data format (XLSX or CSV) that is compatible with ServiceNow's Import Sets module. Allows pre-import validation and formatting of employee records.</w:t>
            </w:r>
          </w:p>
        </w:tc>
      </w:tr>
      <w:tr>
        <w:tc>
          <w:tcPr>
            <w:tcW w:type="dxa" w:w="2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color w:val="1F3864"/>
                <w:sz w:val="24"/>
                <w:szCs w:val="24"/>
              </w:rPr>
              <w:t xml:space="preserve">Import Sets</w:t>
            </w:r>
          </w:p>
        </w:tc>
        <w:tc>
          <w:tcPr>
            <w:tcW w:type="dxa" w:w="1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i/>
                <w:iCs/>
                <w:color w:val="375A8C"/>
                <w:sz w:val="24"/>
                <w:szCs w:val="24"/>
              </w:rPr>
              <w:t xml:space="preserve">ServiceNow Feature</w:t>
            </w:r>
          </w:p>
        </w:tc>
        <w:tc>
          <w:tcPr>
            <w:tcW w:type="dxa" w:w="5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The ServiceNow module used to load external data files into the platform. Creates a temporary staging table that holds the raw imported data before it is processed by the Transform Map. Provides an intermediate layer for data inspection and validation.</w:t>
            </w:r>
          </w:p>
        </w:tc>
      </w:tr>
      <w:tr>
        <w:tc>
          <w:tcPr>
            <w:tcW w:type="dxa" w:w="26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color w:val="1F3864"/>
                <w:sz w:val="24"/>
                <w:szCs w:val="24"/>
              </w:rPr>
              <w:t xml:space="preserve">Transform Maps</w:t>
            </w:r>
          </w:p>
        </w:tc>
        <w:tc>
          <w:tcPr>
            <w:tcW w:type="dxa" w:w="1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i/>
                <w:iCs/>
                <w:color w:val="375A8C"/>
                <w:sz w:val="24"/>
                <w:szCs w:val="24"/>
              </w:rPr>
              <w:t xml:space="preserve">ServiceNow Feature</w:t>
            </w:r>
          </w:p>
        </w:tc>
        <w:tc>
          <w:tcPr>
            <w:tcW w:type="dxa" w:w="5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Configuration objects that define the field-level correspondence between the Import Set staging table and the sys_user target table. Controls the transformation and routing of each imported data attribute to its correct destination field in ServiceNow.</w:t>
            </w:r>
          </w:p>
        </w:tc>
      </w:tr>
      <w:tr>
        <w:tc>
          <w:tcPr>
            <w:tcW w:type="dxa" w:w="26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color w:val="1F3864"/>
                <w:sz w:val="24"/>
                <w:szCs w:val="24"/>
              </w:rPr>
              <w:t xml:space="preserve">Dot Walking</w:t>
            </w:r>
          </w:p>
        </w:tc>
        <w:tc>
          <w:tcPr>
            <w:tcW w:type="dxa" w:w="1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i/>
                <w:iCs/>
                <w:color w:val="375A8C"/>
                <w:sz w:val="24"/>
                <w:szCs w:val="24"/>
              </w:rPr>
              <w:t xml:space="preserve">ServiceNow Technique</w:t>
            </w:r>
          </w:p>
        </w:tc>
        <w:tc>
          <w:tcPr>
            <w:tcW w:type="dxa" w:w="5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A query traversal mechanism that follows reference field relationships between tables to retrieve and display related data values. Used to automatically populate employee department, email, and manager information in the Incident form without manual input.</w:t>
            </w:r>
          </w:p>
        </w:tc>
      </w:tr>
      <w:tr>
        <w:tc>
          <w:tcPr>
            <w:tcW w:type="dxa" w:w="26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color w:val="1F3864"/>
                <w:sz w:val="24"/>
                <w:szCs w:val="24"/>
              </w:rPr>
              <w:t xml:space="preserve">Dictionary Override</w:t>
            </w:r>
          </w:p>
        </w:tc>
        <w:tc>
          <w:tcPr>
            <w:tcW w:type="dxa" w:w="1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i/>
                <w:iCs/>
                <w:color w:val="375A8C"/>
                <w:sz w:val="24"/>
                <w:szCs w:val="24"/>
              </w:rPr>
              <w:t xml:space="preserve">ServiceNow Config.</w:t>
            </w:r>
          </w:p>
        </w:tc>
        <w:tc>
          <w:tcPr>
            <w:tcW w:type="dxa" w:w="5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A ServiceNow system definition mechanism used to customise field attributes at the table level without modifying the base dictionary entry. Applied in this project to change the default Priority value for the Incident table from 4 (Low) to 3 (Moderate).</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4.1 Technology Interaction Overview</w:t>
      </w:r>
    </w:p>
    <w:p>
      <w:pPr>
        <w:spacing w:line="360" w:lineRule="auto" w:before="80" w:after="160"/>
        <w:ind w:firstLine="720"/>
        <w:jc w:val="both"/>
      </w:pPr>
      <w:r>
        <w:rPr>
          <w:rFonts w:ascii="Calibri" w:cs="Calibri" w:eastAsia="Calibri" w:hAnsi="Calibri"/>
          <w:sz w:val="24"/>
          <w:szCs w:val="24"/>
        </w:rPr>
        <w:t xml:space="preserve">The six tools and technologies listed above do not operate in isolation; they form a cohesive, interconnected pipeline in which each component plays a specific role and depends on the correct configuration of the components that precede it. Google Sheets produces the source data consumed by Import Sets. Import Sets creates the staging table processed by the Transform Map. The Transform Map populates sys_user, which is then consumed by Dot Walking in the Incident form. Dictionary Override operates independently but is applied to the Incident table that benefits from the employee data imported through the pipeline.</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30"/>
              <w:left w:type="dxa" w:w="240"/>
              <w:bottom w:type="dxa" w:w="130"/>
              <w:right w:type="dxa" w:w="240"/>
            </w:tcMar>
          </w:tcPr>
          <w:p>
            <w:r>
              <w:rPr>
                <w:rFonts w:ascii="Calibri" w:cs="Calibri" w:eastAsia="Calibri" w:hAnsi="Calibri"/>
                <w:b/>
                <w:bCs/>
                <w:color w:val="FFFFFF"/>
                <w:sz w:val="22"/>
                <w:szCs w:val="22"/>
              </w:rPr>
              <w:t xml:space="preserve">Section 5  —  Implementation Summary</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5. Implementation Summary</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implementation of the Automating Employee Data Import solution was carried out through a structured, sequential series of eight discrete activities, each building on the outputs of the preceding step. This section provides a comprehensive summary of each implementation activity, describing the actions taken, the tools used, and the specific outcome produced.</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8748"/>
      </w:tblGrid>
      <w:tr>
        <w:tc>
          <w:tcPr>
            <w:tcW w:type="dxa" w:w="9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FFFFFF"/>
                <w:sz w:val="40"/>
                <w:szCs w:val="40"/>
              </w:rPr>
              <w:t xml:space="preserve">1</w:t>
            </w:r>
          </w:p>
        </w:tc>
        <w:tc>
          <w:tcPr>
            <w:tcW w:type="dxa" w:w="8748"/>
            <w:tcBorders>
              <w:top w:val="single" w:color="B0C4DE" w:sz="1"/>
              <w:left w:val="single" w:color="B0C4DE" w:sz="1"/>
              <w:bottom w:val="single" w:color="B0C4DE" w:sz="1"/>
              <w:right w:val="single" w:color="B0C4DE" w:sz="1"/>
            </w:tcBorders>
            <w:shd w:fill="EBF3FB" w:val="clear"/>
            <w:tcMar>
              <w:top w:type="dxa" w:w="110"/>
              <w:left w:type="dxa" w:w="200"/>
              <w:bottom w:type="dxa" w:w="110"/>
              <w:right w:type="dxa" w:w="200"/>
            </w:tcMar>
          </w:tcPr>
          <w:p>
            <w:pPr>
              <w:spacing w:before="0" w:after="60"/>
            </w:pPr>
            <w:r>
              <w:rPr>
                <w:rFonts w:ascii="Calibri" w:cs="Calibri" w:eastAsia="Calibri" w:hAnsi="Calibri"/>
                <w:b/>
                <w:bCs/>
                <w:color w:val="1F3864"/>
                <w:sz w:val="26"/>
                <w:szCs w:val="26"/>
              </w:rPr>
              <w:t xml:space="preserve">Prepare Employee Data in a Spreadsheet</w:t>
            </w:r>
          </w:p>
          <w:p>
            <w:pPr>
              <w:spacing w:line="360" w:lineRule="auto" w:before="0" w:after="0"/>
              <w:jc w:val="both"/>
            </w:pPr>
            <w:r>
              <w:rPr>
                <w:rFonts w:ascii="Calibri" w:cs="Calibri" w:eastAsia="Calibri" w:hAnsi="Calibri"/>
                <w:sz w:val="24"/>
                <w:szCs w:val="24"/>
              </w:rPr>
              <w:t xml:space="preserve">A structured employee dataset was created in Google Sheets containing five column headers: Name, Email, Department, Manager, and Manager Email. Sample employee records were entered across multiple rows, with each field populated accurately and completely. The dataset was reviewed to confirm the uniqueness of all email addresses and the consistency of department names. The completed spreadsheet was exported in Microsoft Excel (.xlsx) format for upload to ServiceNow.</w:t>
            </w:r>
          </w:p>
        </w:tc>
      </w:tr>
      <w:tr>
        <w:tc>
          <w:tcPr>
            <w:tcW w:type="dxa" w:w="9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FFFFFF"/>
                <w:sz w:val="40"/>
                <w:szCs w:val="40"/>
              </w:rPr>
              <w:t xml:space="preserve">2</w:t>
            </w:r>
          </w:p>
        </w:tc>
        <w:tc>
          <w:tcPr>
            <w:tcW w:type="dxa" w:w="8748"/>
            <w:tcBorders>
              <w:top w:val="single" w:color="B0C4DE" w:sz="1"/>
              <w:left w:val="single" w:color="B0C4DE" w:sz="1"/>
              <w:bottom w:val="single" w:color="B0C4DE" w:sz="1"/>
              <w:right w:val="single" w:color="B0C4DE" w:sz="1"/>
            </w:tcBorders>
            <w:shd w:fill="FFFFFF" w:val="clear"/>
            <w:tcMar>
              <w:top w:type="dxa" w:w="110"/>
              <w:left w:type="dxa" w:w="200"/>
              <w:bottom w:type="dxa" w:w="110"/>
              <w:right w:type="dxa" w:w="200"/>
            </w:tcMar>
          </w:tcPr>
          <w:p>
            <w:pPr>
              <w:spacing w:before="0" w:after="60"/>
            </w:pPr>
            <w:r>
              <w:rPr>
                <w:rFonts w:ascii="Calibri" w:cs="Calibri" w:eastAsia="Calibri" w:hAnsi="Calibri"/>
                <w:b/>
                <w:bCs/>
                <w:color w:val="1F3864"/>
                <w:sz w:val="26"/>
                <w:szCs w:val="26"/>
              </w:rPr>
              <w:t xml:space="preserve">Upload the File to ServiceNow Using Import Sets</w:t>
            </w:r>
          </w:p>
          <w:p>
            <w:pPr>
              <w:spacing w:line="360" w:lineRule="auto" w:before="0" w:after="0"/>
              <w:jc w:val="both"/>
            </w:pPr>
            <w:r>
              <w:rPr>
                <w:rFonts w:ascii="Calibri" w:cs="Calibri" w:eastAsia="Calibri" w:hAnsi="Calibri"/>
                <w:sz w:val="24"/>
                <w:szCs w:val="24"/>
              </w:rPr>
              <w:t xml:space="preserve">The administrator logged into the ServiceNow instance and navigated to System Import Sets &gt; Administration &gt; Load Data. On the Load Data form, a new Import Set table was created with the descriptive label Import Employee Data. The exported employee data file was attached to the form and submitted. ServiceNow processed the file and populated the new staging table with all employee records from the source file.</w:t>
            </w:r>
          </w:p>
        </w:tc>
      </w:tr>
      <w:tr>
        <w:tc>
          <w:tcPr>
            <w:tcW w:type="dxa" w:w="9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FFFFFF"/>
                <w:sz w:val="40"/>
                <w:szCs w:val="40"/>
              </w:rPr>
              <w:t xml:space="preserve">3</w:t>
            </w:r>
          </w:p>
        </w:tc>
        <w:tc>
          <w:tcPr>
            <w:tcW w:type="dxa" w:w="8748"/>
            <w:tcBorders>
              <w:top w:val="single" w:color="B0C4DE" w:sz="1"/>
              <w:left w:val="single" w:color="B0C4DE" w:sz="1"/>
              <w:bottom w:val="single" w:color="B0C4DE" w:sz="1"/>
              <w:right w:val="single" w:color="B0C4DE" w:sz="1"/>
            </w:tcBorders>
            <w:shd w:fill="EBF3FB" w:val="clear"/>
            <w:tcMar>
              <w:top w:type="dxa" w:w="110"/>
              <w:left w:type="dxa" w:w="200"/>
              <w:bottom w:type="dxa" w:w="110"/>
              <w:right w:type="dxa" w:w="200"/>
            </w:tcMar>
          </w:tcPr>
          <w:p>
            <w:pPr>
              <w:spacing w:before="0" w:after="60"/>
            </w:pPr>
            <w:r>
              <w:rPr>
                <w:rFonts w:ascii="Calibri" w:cs="Calibri" w:eastAsia="Calibri" w:hAnsi="Calibri"/>
                <w:b/>
                <w:bCs/>
                <w:color w:val="1F3864"/>
                <w:sz w:val="26"/>
                <w:szCs w:val="26"/>
              </w:rPr>
              <w:t xml:space="preserve">Create an Import Set Table to Store the Data</w:t>
            </w:r>
          </w:p>
          <w:p>
            <w:pPr>
              <w:spacing w:line="360" w:lineRule="auto" w:before="0" w:after="0"/>
              <w:jc w:val="both"/>
            </w:pPr>
            <w:r>
              <w:rPr>
                <w:rFonts w:ascii="Calibri" w:cs="Calibri" w:eastAsia="Calibri" w:hAnsi="Calibri"/>
                <w:sz w:val="24"/>
                <w:szCs w:val="24"/>
              </w:rPr>
              <w:t xml:space="preserve">Upon submission of the Load Data form, ServiceNow automatically created a dedicated Import Set staging table (u_import_employee_data). This staging table mirrors the column structure of the uploaded file, with each source column represented as a field in the table. The staged records were inspected to confirm that all five columns and all employee rows had been loaded correctly and without data truncation or encoding issues.</w:t>
            </w:r>
          </w:p>
        </w:tc>
      </w:tr>
      <w:tr>
        <w:tc>
          <w:tcPr>
            <w:tcW w:type="dxa" w:w="9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FFFFFF"/>
                <w:sz w:val="40"/>
                <w:szCs w:val="40"/>
              </w:rPr>
              <w:t xml:space="preserve">4</w:t>
            </w:r>
          </w:p>
        </w:tc>
        <w:tc>
          <w:tcPr>
            <w:tcW w:type="dxa" w:w="8748"/>
            <w:tcBorders>
              <w:top w:val="single" w:color="B0C4DE" w:sz="1"/>
              <w:left w:val="single" w:color="B0C4DE" w:sz="1"/>
              <w:bottom w:val="single" w:color="B0C4DE" w:sz="1"/>
              <w:right w:val="single" w:color="B0C4DE" w:sz="1"/>
            </w:tcBorders>
            <w:shd w:fill="FFFFFF" w:val="clear"/>
            <w:tcMar>
              <w:top w:type="dxa" w:w="110"/>
              <w:left w:type="dxa" w:w="200"/>
              <w:bottom w:type="dxa" w:w="110"/>
              <w:right w:type="dxa" w:w="200"/>
            </w:tcMar>
          </w:tcPr>
          <w:p>
            <w:pPr>
              <w:spacing w:before="0" w:after="60"/>
            </w:pPr>
            <w:r>
              <w:rPr>
                <w:rFonts w:ascii="Calibri" w:cs="Calibri" w:eastAsia="Calibri" w:hAnsi="Calibri"/>
                <w:b/>
                <w:bCs/>
                <w:color w:val="1F3864"/>
                <w:sz w:val="26"/>
                <w:szCs w:val="26"/>
              </w:rPr>
              <w:t xml:space="preserve">Configure a Transform Map to Move the Data to the User Table</w:t>
            </w:r>
          </w:p>
          <w:p>
            <w:pPr>
              <w:spacing w:line="360" w:lineRule="auto" w:before="0" w:after="0"/>
              <w:jc w:val="both"/>
            </w:pPr>
            <w:r>
              <w:rPr>
                <w:rFonts w:ascii="Calibri" w:cs="Calibri" w:eastAsia="Calibri" w:hAnsi="Calibri"/>
                <w:sz w:val="24"/>
                <w:szCs w:val="24"/>
              </w:rPr>
              <w:t xml:space="preserve">A new Transform Map was created within the System Import Sets module. The Transform Map was configured with the Import Set staging table (u_import_employee_data) as the source and the ServiceNow User table (sys_user) as the target. The Transform Map was saved and named Employee Data Import Transform Map, after which field mapping configuration commenced.</w:t>
            </w:r>
          </w:p>
        </w:tc>
      </w:tr>
      <w:tr>
        <w:tc>
          <w:tcPr>
            <w:tcW w:type="dxa" w:w="9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FFFFFF"/>
                <w:sz w:val="40"/>
                <w:szCs w:val="40"/>
              </w:rPr>
              <w:t xml:space="preserve">5</w:t>
            </w:r>
          </w:p>
        </w:tc>
        <w:tc>
          <w:tcPr>
            <w:tcW w:type="dxa" w:w="8748"/>
            <w:tcBorders>
              <w:top w:val="single" w:color="B0C4DE" w:sz="1"/>
              <w:left w:val="single" w:color="B0C4DE" w:sz="1"/>
              <w:bottom w:val="single" w:color="B0C4DE" w:sz="1"/>
              <w:right w:val="single" w:color="B0C4DE" w:sz="1"/>
            </w:tcBorders>
            <w:shd w:fill="EBF3FB" w:val="clear"/>
            <w:tcMar>
              <w:top w:type="dxa" w:w="110"/>
              <w:left w:type="dxa" w:w="200"/>
              <w:bottom w:type="dxa" w:w="110"/>
              <w:right w:type="dxa" w:w="200"/>
            </w:tcMar>
          </w:tcPr>
          <w:p>
            <w:pPr>
              <w:spacing w:before="0" w:after="60"/>
            </w:pPr>
            <w:r>
              <w:rPr>
                <w:rFonts w:ascii="Calibri" w:cs="Calibri" w:eastAsia="Calibri" w:hAnsi="Calibri"/>
                <w:b/>
                <w:bCs/>
                <w:color w:val="1F3864"/>
                <w:sz w:val="26"/>
                <w:szCs w:val="26"/>
              </w:rPr>
              <w:t xml:space="preserve">Map Required Fields — Name, Email, Department, and Manager</w:t>
            </w:r>
          </w:p>
          <w:p>
            <w:pPr>
              <w:spacing w:line="360" w:lineRule="auto" w:before="0" w:after="0"/>
              <w:jc w:val="both"/>
            </w:pPr>
            <w:r>
              <w:rPr>
                <w:rFonts w:ascii="Calibri" w:cs="Calibri" w:eastAsia="Calibri" w:hAnsi="Calibri"/>
                <w:sz w:val="24"/>
                <w:szCs w:val="24"/>
              </w:rPr>
              <w:t xml:space="preserve">Field mappings were defined within the Transform Map to establish the correspondence between each source column and its target field in sys_user. The Auto Map Matching Fields function was used to generate automatic mappings for Name and Email. The Email field map was configured with the Coalesce checkbox enabled to serve as the unique record identifier. Manual field maps were created for Department, Manager, and Manager Email, with the Dot Walking expression manager.email used for the Manager Email field map to enable automatic reference traversal.</w:t>
            </w:r>
          </w:p>
        </w:tc>
      </w:tr>
      <w:tr>
        <w:tc>
          <w:tcPr>
            <w:tcW w:type="dxa" w:w="9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FFFFFF"/>
                <w:sz w:val="40"/>
                <w:szCs w:val="40"/>
              </w:rPr>
              <w:t xml:space="preserve">6</w:t>
            </w:r>
          </w:p>
        </w:tc>
        <w:tc>
          <w:tcPr>
            <w:tcW w:type="dxa" w:w="8748"/>
            <w:tcBorders>
              <w:top w:val="single" w:color="B0C4DE" w:sz="1"/>
              <w:left w:val="single" w:color="B0C4DE" w:sz="1"/>
              <w:bottom w:val="single" w:color="B0C4DE" w:sz="1"/>
              <w:right w:val="single" w:color="B0C4DE" w:sz="1"/>
            </w:tcBorders>
            <w:shd w:fill="FFFFFF" w:val="clear"/>
            <w:tcMar>
              <w:top w:type="dxa" w:w="110"/>
              <w:left w:type="dxa" w:w="200"/>
              <w:bottom w:type="dxa" w:w="110"/>
              <w:right w:type="dxa" w:w="200"/>
            </w:tcMar>
          </w:tcPr>
          <w:p>
            <w:pPr>
              <w:spacing w:before="0" w:after="60"/>
            </w:pPr>
            <w:r>
              <w:rPr>
                <w:rFonts w:ascii="Calibri" w:cs="Calibri" w:eastAsia="Calibri" w:hAnsi="Calibri"/>
                <w:b/>
                <w:bCs/>
                <w:color w:val="1F3864"/>
                <w:sz w:val="26"/>
                <w:szCs w:val="26"/>
              </w:rPr>
              <w:t xml:space="preserve">Execute the Transform Process</w:t>
            </w:r>
          </w:p>
          <w:p>
            <w:pPr>
              <w:spacing w:line="360" w:lineRule="auto" w:before="0" w:after="0"/>
              <w:jc w:val="both"/>
            </w:pPr>
            <w:r>
              <w:rPr>
                <w:rFonts w:ascii="Calibri" w:cs="Calibri" w:eastAsia="Calibri" w:hAnsi="Calibri"/>
                <w:sz w:val="24"/>
                <w:szCs w:val="24"/>
              </w:rPr>
              <w:t xml:space="preserve">The Transform operation was executed from the Import Set record by selecting the Employee Data Import Transform Map and initiating the transformation. ServiceNow processed each staged record sequentially, applied the defined field mappings, resolved all reference fields, and created the corresponding user records in sys_user. The transformation log was reviewed to confirm that all records were transformed successfully with no errors reported.</w:t>
            </w:r>
          </w:p>
        </w:tc>
      </w:tr>
      <w:tr>
        <w:tc>
          <w:tcPr>
            <w:tcW w:type="dxa" w:w="9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FFFFFF"/>
                <w:sz w:val="40"/>
                <w:szCs w:val="40"/>
              </w:rPr>
              <w:t xml:space="preserve">7</w:t>
            </w:r>
          </w:p>
        </w:tc>
        <w:tc>
          <w:tcPr>
            <w:tcW w:type="dxa" w:w="8748"/>
            <w:tcBorders>
              <w:top w:val="single" w:color="B0C4DE" w:sz="1"/>
              <w:left w:val="single" w:color="B0C4DE" w:sz="1"/>
              <w:bottom w:val="single" w:color="B0C4DE" w:sz="1"/>
              <w:right w:val="single" w:color="B0C4DE" w:sz="1"/>
            </w:tcBorders>
            <w:shd w:fill="EBF3FB" w:val="clear"/>
            <w:tcMar>
              <w:top w:type="dxa" w:w="110"/>
              <w:left w:type="dxa" w:w="200"/>
              <w:bottom w:type="dxa" w:w="110"/>
              <w:right w:type="dxa" w:w="200"/>
            </w:tcMar>
          </w:tcPr>
          <w:p>
            <w:pPr>
              <w:spacing w:before="0" w:after="60"/>
            </w:pPr>
            <w:r>
              <w:rPr>
                <w:rFonts w:ascii="Calibri" w:cs="Calibri" w:eastAsia="Calibri" w:hAnsi="Calibri"/>
                <w:b/>
                <w:bCs/>
                <w:color w:val="1F3864"/>
                <w:sz w:val="26"/>
                <w:szCs w:val="26"/>
              </w:rPr>
              <w:t xml:space="preserve">Configure the Incident Form Using Dot Walking</w:t>
            </w:r>
          </w:p>
          <w:p>
            <w:pPr>
              <w:spacing w:line="360" w:lineRule="auto" w:before="0" w:after="0"/>
              <w:jc w:val="both"/>
            </w:pPr>
            <w:r>
              <w:rPr>
                <w:rFonts w:ascii="Calibri" w:cs="Calibri" w:eastAsia="Calibri" w:hAnsi="Calibri"/>
                <w:sz w:val="24"/>
                <w:szCs w:val="24"/>
              </w:rPr>
              <w:t xml:space="preserve">The ServiceNow Incident form was accessed and the Form Layout configuration tool was opened via right-click Configure. Four Dot Walking fields were added to the form layout: assigned_to.department, assigned_to.email, assigned_to.manager, and assigned_to.manager.email. These fields were positioned in a logical group below the Assigned To field and configured as read-only display fields. The layout was saved and verified by creating a test incident assigned to an imported employee, confirming that all four fields auto-populated correctly.</w:t>
            </w:r>
          </w:p>
        </w:tc>
      </w:tr>
      <w:tr>
        <w:tc>
          <w:tcPr>
            <w:tcW w:type="dxa" w:w="900"/>
            <w:tcBorders>
              <w:top w:val="single" w:color="2E5496" w:sz="1"/>
              <w:left w:val="single" w:color="2E5496" w:sz="1"/>
              <w:bottom w:val="single" w:color="2E5496" w:sz="1"/>
              <w:right w:val="single" w:color="2E5496" w:sz="1"/>
            </w:tcBorders>
            <w:shd w:fill="2E5496" w:val="clear"/>
            <w:tcMar>
              <w:top w:type="dxa" w:w="120"/>
              <w:left w:type="dxa" w:w="100"/>
              <w:bottom w:type="dxa" w:w="120"/>
              <w:right w:type="dxa" w:w="100"/>
            </w:tcMar>
            <w:vAlign w:val="center"/>
          </w:tcPr>
          <w:p>
            <w:pPr>
              <w:jc w:val="center"/>
            </w:pPr>
            <w:r>
              <w:rPr>
                <w:rFonts w:ascii="Calibri" w:cs="Calibri" w:eastAsia="Calibri" w:hAnsi="Calibri"/>
                <w:b/>
                <w:bCs/>
                <w:color w:val="FFFFFF"/>
                <w:sz w:val="40"/>
                <w:szCs w:val="40"/>
              </w:rPr>
              <w:t xml:space="preserve">8</w:t>
            </w:r>
          </w:p>
        </w:tc>
        <w:tc>
          <w:tcPr>
            <w:tcW w:type="dxa" w:w="8748"/>
            <w:tcBorders>
              <w:top w:val="single" w:color="B0C4DE" w:sz="1"/>
              <w:left w:val="single" w:color="B0C4DE" w:sz="1"/>
              <w:bottom w:val="single" w:color="B0C4DE" w:sz="1"/>
              <w:right w:val="single" w:color="B0C4DE" w:sz="1"/>
            </w:tcBorders>
            <w:shd w:fill="FFFFFF" w:val="clear"/>
            <w:tcMar>
              <w:top w:type="dxa" w:w="110"/>
              <w:left w:type="dxa" w:w="200"/>
              <w:bottom w:type="dxa" w:w="110"/>
              <w:right w:type="dxa" w:w="200"/>
            </w:tcMar>
          </w:tcPr>
          <w:p>
            <w:pPr>
              <w:spacing w:before="0" w:after="60"/>
            </w:pPr>
            <w:r>
              <w:rPr>
                <w:rFonts w:ascii="Calibri" w:cs="Calibri" w:eastAsia="Calibri" w:hAnsi="Calibri"/>
                <w:b/>
                <w:bCs/>
                <w:color w:val="1F3864"/>
                <w:sz w:val="26"/>
                <w:szCs w:val="26"/>
              </w:rPr>
              <w:t xml:space="preserve">Apply Dictionary Override to Change the Default Priority Value</w:t>
            </w:r>
          </w:p>
          <w:p>
            <w:pPr>
              <w:spacing w:line="360" w:lineRule="auto" w:before="0" w:after="0"/>
              <w:jc w:val="both"/>
            </w:pPr>
            <w:r>
              <w:rPr>
                <w:rFonts w:ascii="Calibri" w:cs="Calibri" w:eastAsia="Calibri" w:hAnsi="Calibri"/>
                <w:sz w:val="24"/>
                <w:szCs w:val="24"/>
              </w:rPr>
              <w:t xml:space="preserve">The System Definition &gt; Dictionary module was accessed and the Priority field on the Incident table was located. A Dictionary Override entry was created for this field, with the Override default option enabled and the default value set to 3 (Moderate). The override was saved and verified by creating a new incident record and confirming that the Priority field defaulted to 3 — Moderate without any manual selection.</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30"/>
              <w:left w:type="dxa" w:w="240"/>
              <w:bottom w:type="dxa" w:w="130"/>
              <w:right w:type="dxa" w:w="240"/>
            </w:tcMar>
          </w:tcPr>
          <w:p>
            <w:r>
              <w:rPr>
                <w:rFonts w:ascii="Calibri" w:cs="Calibri" w:eastAsia="Calibri" w:hAnsi="Calibri"/>
                <w:b/>
                <w:bCs/>
                <w:color w:val="FFFFFF"/>
                <w:sz w:val="22"/>
                <w:szCs w:val="22"/>
              </w:rPr>
              <w:t xml:space="preserve">Section 6  —  System Features</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6. System Features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implemented solution delivers a set of distinct, verifiable system features that collectively address the objectives of the project. Each feature represents a specific, functional capability of the configured ServiceNow environment that can be demonstrated and tested. The following describes each feature in detail.</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700"/>
        <w:gridCol w:w="8948"/>
      </w:tblGrid>
      <w:tr>
        <w:tc>
          <w:tcPr>
            <w:tcW w:type="dxa" w:w="700"/>
            <w:tcBorders>
              <w:top w:val="single" w:color="2E5496" w:sz="1"/>
              <w:left w:val="single" w:color="2E5496" w:sz="1"/>
              <w:bottom w:val="single" w:color="2E5496" w:sz="1"/>
              <w:right w:val="single" w:color="2E5496" w:sz="1"/>
            </w:tcBorders>
            <w:shd w:fill="2E5496"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EBF3FB" w:val="clear"/>
            <w:tcMar>
              <w:top w:type="dxa" w:w="100"/>
              <w:left w:type="dxa" w:w="200"/>
              <w:bottom w:type="dxa" w:w="100"/>
              <w:right w:type="dxa" w:w="200"/>
            </w:tcMar>
          </w:tcPr>
          <w:p>
            <w:pPr>
              <w:spacing w:before="0" w:after="60"/>
            </w:pPr>
            <w:r>
              <w:rPr>
                <w:rFonts w:ascii="Calibri" w:cs="Calibri" w:eastAsia="Calibri" w:hAnsi="Calibri"/>
                <w:b/>
                <w:bCs/>
                <w:color w:val="2E5496"/>
                <w:sz w:val="24"/>
                <w:szCs w:val="24"/>
              </w:rPr>
              <w:t xml:space="preserve">Automated Employee Data Import</w:t>
            </w:r>
          </w:p>
          <w:p>
            <w:pPr>
              <w:spacing w:line="360" w:lineRule="auto" w:before="0" w:after="0"/>
              <w:jc w:val="both"/>
            </w:pPr>
            <w:r>
              <w:rPr>
                <w:rFonts w:ascii="Calibri" w:cs="Calibri" w:eastAsia="Calibri" w:hAnsi="Calibri"/>
                <w:color w:val="333333"/>
                <w:sz w:val="24"/>
                <w:szCs w:val="24"/>
              </w:rPr>
              <w:t xml:space="preserve">The system provides a structured, repeatable import pipeline that enables administrators to import bulk employee records into ServiceNow by uploading a single structured data file. The Import Sets module receives the file, the Transform Map processes and transforms the records, and the resulting employee user records are created or updated in the sys_user table automatically. The entire process is completed without manual record-by-record data entry.</w:t>
            </w:r>
          </w:p>
        </w:tc>
      </w:tr>
      <w:tr>
        <w:tc>
          <w:tcPr>
            <w:tcW w:type="dxa" w:w="700"/>
            <w:tcBorders>
              <w:top w:val="single" w:color="2E5496" w:sz="1"/>
              <w:left w:val="single" w:color="2E5496" w:sz="1"/>
              <w:bottom w:val="single" w:color="2E5496" w:sz="1"/>
              <w:right w:val="single" w:color="2E5496" w:sz="1"/>
            </w:tcBorders>
            <w:shd w:fill="2E5496"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FFFFFF" w:val="clear"/>
            <w:tcMar>
              <w:top w:type="dxa" w:w="100"/>
              <w:left w:type="dxa" w:w="200"/>
              <w:bottom w:type="dxa" w:w="100"/>
              <w:right w:type="dxa" w:w="200"/>
            </w:tcMar>
          </w:tcPr>
          <w:p>
            <w:pPr>
              <w:spacing w:before="0" w:after="60"/>
            </w:pPr>
            <w:r>
              <w:rPr>
                <w:rFonts w:ascii="Calibri" w:cs="Calibri" w:eastAsia="Calibri" w:hAnsi="Calibri"/>
                <w:b/>
                <w:bCs/>
                <w:color w:val="2E5496"/>
                <w:sz w:val="24"/>
                <w:szCs w:val="24"/>
              </w:rPr>
              <w:t xml:space="preserve">Accurate Field Mapping and Transformation</w:t>
            </w:r>
          </w:p>
          <w:p>
            <w:pPr>
              <w:spacing w:line="360" w:lineRule="auto" w:before="0" w:after="0"/>
              <w:jc w:val="both"/>
            </w:pPr>
            <w:r>
              <w:rPr>
                <w:rFonts w:ascii="Calibri" w:cs="Calibri" w:eastAsia="Calibri" w:hAnsi="Calibri"/>
                <w:color w:val="333333"/>
                <w:sz w:val="24"/>
                <w:szCs w:val="24"/>
              </w:rPr>
              <w:t xml:space="preserve">The Transform Map implements precise field-level mappings for all five required employee attributes — Name, Email, Department, Manager, and Manager Email. Reference fields such as Department and Manager are resolved to their correct sys_id values during transformation, ensuring referential integrity. The coalesce configuration on the Email field prevents the creation of duplicate records during repeated import operations, ensuring that existing records are updated efficiently.</w:t>
            </w:r>
          </w:p>
        </w:tc>
      </w:tr>
      <w:tr>
        <w:tc>
          <w:tcPr>
            <w:tcW w:type="dxa" w:w="700"/>
            <w:tcBorders>
              <w:top w:val="single" w:color="2E5496" w:sz="1"/>
              <w:left w:val="single" w:color="2E5496" w:sz="1"/>
              <w:bottom w:val="single" w:color="2E5496" w:sz="1"/>
              <w:right w:val="single" w:color="2E5496" w:sz="1"/>
            </w:tcBorders>
            <w:shd w:fill="2E5496"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EBF3FB" w:val="clear"/>
            <w:tcMar>
              <w:top w:type="dxa" w:w="100"/>
              <w:left w:type="dxa" w:w="200"/>
              <w:bottom w:type="dxa" w:w="100"/>
              <w:right w:type="dxa" w:w="200"/>
            </w:tcMar>
          </w:tcPr>
          <w:p>
            <w:pPr>
              <w:spacing w:before="0" w:after="60"/>
            </w:pPr>
            <w:r>
              <w:rPr>
                <w:rFonts w:ascii="Calibri" w:cs="Calibri" w:eastAsia="Calibri" w:hAnsi="Calibri"/>
                <w:b/>
                <w:bCs/>
                <w:color w:val="2E5496"/>
                <w:sz w:val="24"/>
                <w:szCs w:val="24"/>
              </w:rPr>
              <w:t xml:space="preserve">Automatic Display of Department and Manager Details</w:t>
            </w:r>
          </w:p>
          <w:p>
            <w:pPr>
              <w:spacing w:line="360" w:lineRule="auto" w:before="0" w:after="0"/>
              <w:jc w:val="both"/>
            </w:pPr>
            <w:r>
              <w:rPr>
                <w:rFonts w:ascii="Calibri" w:cs="Calibri" w:eastAsia="Calibri" w:hAnsi="Calibri"/>
                <w:color w:val="333333"/>
                <w:sz w:val="24"/>
                <w:szCs w:val="24"/>
              </w:rPr>
              <w:t xml:space="preserve">The Incident form is configured with four Dot Walking expressions that automatically retrieve and display the assigned employee's department name, email address, manager name, and manager email address when the employee is selected in the Assigned To field. These values are populated in real time without any manual input from the incident agent, providing immediate access to the information most relevant to incident routing and escalation decisions.</w:t>
            </w:r>
          </w:p>
        </w:tc>
      </w:tr>
      <w:tr>
        <w:tc>
          <w:tcPr>
            <w:tcW w:type="dxa" w:w="700"/>
            <w:tcBorders>
              <w:top w:val="single" w:color="2E5496" w:sz="1"/>
              <w:left w:val="single" w:color="2E5496" w:sz="1"/>
              <w:bottom w:val="single" w:color="2E5496" w:sz="1"/>
              <w:right w:val="single" w:color="2E5496" w:sz="1"/>
            </w:tcBorders>
            <w:shd w:fill="2E5496"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FFFFFF" w:val="clear"/>
            <w:tcMar>
              <w:top w:type="dxa" w:w="100"/>
              <w:left w:type="dxa" w:w="200"/>
              <w:bottom w:type="dxa" w:w="100"/>
              <w:right w:type="dxa" w:w="200"/>
            </w:tcMar>
          </w:tcPr>
          <w:p>
            <w:pPr>
              <w:spacing w:before="0" w:after="60"/>
            </w:pPr>
            <w:r>
              <w:rPr>
                <w:rFonts w:ascii="Calibri" w:cs="Calibri" w:eastAsia="Calibri" w:hAnsi="Calibri"/>
                <w:b/>
                <w:bCs/>
                <w:color w:val="2E5496"/>
                <w:sz w:val="24"/>
                <w:szCs w:val="24"/>
              </w:rPr>
              <w:t xml:space="preserve">Customised Priority Settings for Incident Records</w:t>
            </w:r>
          </w:p>
          <w:p>
            <w:pPr>
              <w:spacing w:line="360" w:lineRule="auto" w:before="0" w:after="0"/>
              <w:jc w:val="both"/>
            </w:pPr>
            <w:r>
              <w:rPr>
                <w:rFonts w:ascii="Calibri" w:cs="Calibri" w:eastAsia="Calibri" w:hAnsi="Calibri"/>
                <w:color w:val="333333"/>
                <w:sz w:val="24"/>
                <w:szCs w:val="24"/>
              </w:rPr>
              <w:t xml:space="preserve">A Dictionary Override has been applied to the Priority field of the Incident table to change the system default from 4 (Low) to 3 (Moderate). All newly created incident records automatically receive a default priority of Moderate, reducing the frequency of manual priority adjustments and ensuring that incidents are given an appropriate baseline urgency level from the moment they are created.</w:t>
            </w:r>
          </w:p>
        </w:tc>
      </w:tr>
      <w:tr>
        <w:tc>
          <w:tcPr>
            <w:tcW w:type="dxa" w:w="700"/>
            <w:tcBorders>
              <w:top w:val="single" w:color="2E5496" w:sz="1"/>
              <w:left w:val="single" w:color="2E5496" w:sz="1"/>
              <w:bottom w:val="single" w:color="2E5496" w:sz="1"/>
              <w:right w:val="single" w:color="2E5496" w:sz="1"/>
            </w:tcBorders>
            <w:shd w:fill="2E5496"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EBF3FB" w:val="clear"/>
            <w:tcMar>
              <w:top w:type="dxa" w:w="100"/>
              <w:left w:type="dxa" w:w="200"/>
              <w:bottom w:type="dxa" w:w="100"/>
              <w:right w:type="dxa" w:w="200"/>
            </w:tcMar>
          </w:tcPr>
          <w:p>
            <w:pPr>
              <w:spacing w:before="0" w:after="60"/>
            </w:pPr>
            <w:r>
              <w:rPr>
                <w:rFonts w:ascii="Calibri" w:cs="Calibri" w:eastAsia="Calibri" w:hAnsi="Calibri"/>
                <w:b/>
                <w:bCs/>
                <w:color w:val="2E5496"/>
                <w:sz w:val="24"/>
                <w:szCs w:val="24"/>
              </w:rPr>
              <w:t xml:space="preserve">Improved Efficiency in Incident Management</w:t>
            </w:r>
          </w:p>
          <w:p>
            <w:pPr>
              <w:spacing w:line="360" w:lineRule="auto" w:before="0" w:after="0"/>
              <w:jc w:val="both"/>
            </w:pPr>
            <w:r>
              <w:rPr>
                <w:rFonts w:ascii="Calibri" w:cs="Calibri" w:eastAsia="Calibri" w:hAnsi="Calibri"/>
                <w:color w:val="333333"/>
                <w:sz w:val="24"/>
                <w:szCs w:val="24"/>
              </w:rPr>
              <w:t xml:space="preserve">The combination of enriched employee data on the Incident form and the automated import process delivers a measurable improvement in incident management efficiency. Agents spend less time locating employee information, routing incidents to the correct teams, and identifying escalation contacts. The result is a faster, more accurate incident handling process that reduces both agent effort and mean time to resolution.</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30"/>
              <w:left w:type="dxa" w:w="240"/>
              <w:bottom w:type="dxa" w:w="130"/>
              <w:right w:type="dxa" w:w="240"/>
            </w:tcMar>
          </w:tcPr>
          <w:p>
            <w:r>
              <w:rPr>
                <w:rFonts w:ascii="Calibri" w:cs="Calibri" w:eastAsia="Calibri" w:hAnsi="Calibri"/>
                <w:b/>
                <w:bCs/>
                <w:color w:val="FFFFFF"/>
                <w:sz w:val="22"/>
                <w:szCs w:val="22"/>
              </w:rPr>
              <w:t xml:space="preserve">Section 7  —  Benefits of the System</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7. Benefits of the System</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implemented solution delivers tangible, measurable benefits to the organisation across multiple dimensions of IT service management. The benefits described in this section are direct consequences of the system's features and configurations, and each can be traced back to a specific design or implementation decision made during the project.</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700"/>
        <w:gridCol w:w="8948"/>
      </w:tblGrid>
      <w:tr>
        <w:tc>
          <w:tcPr>
            <w:tcW w:type="dxa" w:w="700"/>
            <w:tcBorders>
              <w:top w:val="single" w:color="375A8C" w:sz="1"/>
              <w:left w:val="single" w:color="375A8C" w:sz="1"/>
              <w:bottom w:val="single" w:color="375A8C" w:sz="1"/>
              <w:right w:val="single" w:color="375A8C" w:sz="1"/>
            </w:tcBorders>
            <w:shd w:fill="375A8C"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EBF3FB" w:val="clear"/>
            <w:tcMar>
              <w:top w:type="dxa" w:w="100"/>
              <w:left w:type="dxa" w:w="200"/>
              <w:bottom w:type="dxa" w:w="100"/>
              <w:right w:type="dxa" w:w="200"/>
            </w:tcMar>
          </w:tcPr>
          <w:p>
            <w:pPr>
              <w:spacing w:before="0" w:after="60"/>
            </w:pPr>
            <w:r>
              <w:rPr>
                <w:rFonts w:ascii="Calibri" w:cs="Calibri" w:eastAsia="Calibri" w:hAnsi="Calibri"/>
                <w:b/>
                <w:bCs/>
                <w:color w:val="375A8C"/>
                <w:sz w:val="24"/>
                <w:szCs w:val="24"/>
              </w:rPr>
              <w:t xml:space="preserve">Saves Time by Automating Data Import</w:t>
            </w:r>
          </w:p>
          <w:p>
            <w:pPr>
              <w:spacing w:line="360" w:lineRule="auto" w:before="0" w:after="0"/>
              <w:jc w:val="both"/>
            </w:pPr>
            <w:r>
              <w:rPr>
                <w:rFonts w:ascii="Calibri" w:cs="Calibri" w:eastAsia="Calibri" w:hAnsi="Calibri"/>
                <w:color w:val="333333"/>
                <w:sz w:val="24"/>
                <w:szCs w:val="24"/>
              </w:rPr>
              <w:t xml:space="preserve">Prior to this implementation, administrators were required to manually enter each employee's data individually into ServiceNow. This process is eliminated by the automated import pipeline, which processes an entire dataset in a single operation. The time savings are particularly significant during large-scale onboarding events or organisational restructuring, when hundreds of employee records may need to be created or updated simultaneously.</w:t>
            </w:r>
          </w:p>
        </w:tc>
      </w:tr>
      <w:tr>
        <w:tc>
          <w:tcPr>
            <w:tcW w:type="dxa" w:w="700"/>
            <w:tcBorders>
              <w:top w:val="single" w:color="375A8C" w:sz="1"/>
              <w:left w:val="single" w:color="375A8C" w:sz="1"/>
              <w:bottom w:val="single" w:color="375A8C" w:sz="1"/>
              <w:right w:val="single" w:color="375A8C" w:sz="1"/>
            </w:tcBorders>
            <w:shd w:fill="375A8C"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FFFFFF" w:val="clear"/>
            <w:tcMar>
              <w:top w:type="dxa" w:w="100"/>
              <w:left w:type="dxa" w:w="200"/>
              <w:bottom w:type="dxa" w:w="100"/>
              <w:right w:type="dxa" w:w="200"/>
            </w:tcMar>
          </w:tcPr>
          <w:p>
            <w:pPr>
              <w:spacing w:before="0" w:after="60"/>
            </w:pPr>
            <w:r>
              <w:rPr>
                <w:rFonts w:ascii="Calibri" w:cs="Calibri" w:eastAsia="Calibri" w:hAnsi="Calibri"/>
                <w:b/>
                <w:bCs/>
                <w:color w:val="375A8C"/>
                <w:sz w:val="24"/>
                <w:szCs w:val="24"/>
              </w:rPr>
              <w:t xml:space="preserve">Reduces Human Errors During Data Entry</w:t>
            </w:r>
          </w:p>
          <w:p>
            <w:pPr>
              <w:spacing w:line="360" w:lineRule="auto" w:before="0" w:after="0"/>
              <w:jc w:val="both"/>
            </w:pPr>
            <w:r>
              <w:rPr>
                <w:rFonts w:ascii="Calibri" w:cs="Calibri" w:eastAsia="Calibri" w:hAnsi="Calibri"/>
                <w:color w:val="333333"/>
                <w:sz w:val="24"/>
                <w:szCs w:val="24"/>
              </w:rPr>
              <w:t xml:space="preserve">Manual data entry is inherently susceptible to errors, including typographical mistakes, incorrect field assignments, and missing values. The automated Transform Map process eliminates these risks by applying consistent, predefined mapping rules to every record in every import operation. The coalesce configuration further reduces errors by ensuring that repeated imports update existing records rather than creating conflicting duplicates.</w:t>
            </w:r>
          </w:p>
        </w:tc>
      </w:tr>
      <w:tr>
        <w:tc>
          <w:tcPr>
            <w:tcW w:type="dxa" w:w="700"/>
            <w:tcBorders>
              <w:top w:val="single" w:color="375A8C" w:sz="1"/>
              <w:left w:val="single" w:color="375A8C" w:sz="1"/>
              <w:bottom w:val="single" w:color="375A8C" w:sz="1"/>
              <w:right w:val="single" w:color="375A8C" w:sz="1"/>
            </w:tcBorders>
            <w:shd w:fill="375A8C"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EBF3FB" w:val="clear"/>
            <w:tcMar>
              <w:top w:type="dxa" w:w="100"/>
              <w:left w:type="dxa" w:w="200"/>
              <w:bottom w:type="dxa" w:w="100"/>
              <w:right w:type="dxa" w:w="200"/>
            </w:tcMar>
          </w:tcPr>
          <w:p>
            <w:pPr>
              <w:spacing w:before="0" w:after="60"/>
            </w:pPr>
            <w:r>
              <w:rPr>
                <w:rFonts w:ascii="Calibri" w:cs="Calibri" w:eastAsia="Calibri" w:hAnsi="Calibri"/>
                <w:b/>
                <w:bCs/>
                <w:color w:val="375A8C"/>
                <w:sz w:val="24"/>
                <w:szCs w:val="24"/>
              </w:rPr>
              <w:t xml:space="preserve">Provides Quick Access to Relevant Employee Information</w:t>
            </w:r>
          </w:p>
          <w:p>
            <w:pPr>
              <w:spacing w:line="360" w:lineRule="auto" w:before="0" w:after="0"/>
              <w:jc w:val="both"/>
            </w:pPr>
            <w:r>
              <w:rPr>
                <w:rFonts w:ascii="Calibri" w:cs="Calibri" w:eastAsia="Calibri" w:hAnsi="Calibri"/>
                <w:color w:val="333333"/>
                <w:sz w:val="24"/>
                <w:szCs w:val="24"/>
              </w:rPr>
              <w:t xml:space="preserve">Incident agents no longer need to navigate to a separate user profile to find an employee's department or manager. This information is available directly within the incident form as soon as the employee is selected, reducing the number of navigation steps required and ensuring that agents always have access to the most current employee data as stored in the sys_user table.</w:t>
            </w:r>
          </w:p>
        </w:tc>
      </w:tr>
      <w:tr>
        <w:tc>
          <w:tcPr>
            <w:tcW w:type="dxa" w:w="700"/>
            <w:tcBorders>
              <w:top w:val="single" w:color="375A8C" w:sz="1"/>
              <w:left w:val="single" w:color="375A8C" w:sz="1"/>
              <w:bottom w:val="single" w:color="375A8C" w:sz="1"/>
              <w:right w:val="single" w:color="375A8C" w:sz="1"/>
            </w:tcBorders>
            <w:shd w:fill="375A8C"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FFFFFF" w:val="clear"/>
            <w:tcMar>
              <w:top w:type="dxa" w:w="100"/>
              <w:left w:type="dxa" w:w="200"/>
              <w:bottom w:type="dxa" w:w="100"/>
              <w:right w:type="dxa" w:w="200"/>
            </w:tcMar>
          </w:tcPr>
          <w:p>
            <w:pPr>
              <w:spacing w:before="0" w:after="60"/>
            </w:pPr>
            <w:r>
              <w:rPr>
                <w:rFonts w:ascii="Calibri" w:cs="Calibri" w:eastAsia="Calibri" w:hAnsi="Calibri"/>
                <w:b/>
                <w:bCs/>
                <w:color w:val="375A8C"/>
                <w:sz w:val="24"/>
                <w:szCs w:val="24"/>
              </w:rPr>
              <w:t xml:space="preserve">Improves Overall Productivity of Incident Handlers</w:t>
            </w:r>
          </w:p>
          <w:p>
            <w:pPr>
              <w:spacing w:line="360" w:lineRule="auto" w:before="0" w:after="0"/>
              <w:jc w:val="both"/>
            </w:pPr>
            <w:r>
              <w:rPr>
                <w:rFonts w:ascii="Calibri" w:cs="Calibri" w:eastAsia="Calibri" w:hAnsi="Calibri"/>
                <w:color w:val="333333"/>
                <w:sz w:val="24"/>
                <w:szCs w:val="24"/>
              </w:rPr>
              <w:t xml:space="preserve">By reducing the time spent on information gathering and manual data lookup during incident handling, the system enables agents to focus their attention on the resolution of the incident itself. The automatic display of department and manager information also reduces the likelihood of incorrect routing, which further improves productivity by avoiding the delays associated with reassigning misrouted incidents.</w:t>
            </w:r>
          </w:p>
        </w:tc>
      </w:tr>
      <w:tr>
        <w:tc>
          <w:tcPr>
            <w:tcW w:type="dxa" w:w="700"/>
            <w:tcBorders>
              <w:top w:val="single" w:color="375A8C" w:sz="1"/>
              <w:left w:val="single" w:color="375A8C" w:sz="1"/>
              <w:bottom w:val="single" w:color="375A8C" w:sz="1"/>
              <w:right w:val="single" w:color="375A8C" w:sz="1"/>
            </w:tcBorders>
            <w:shd w:fill="375A8C" w:val="clear"/>
            <w:tcMar>
              <w:top w:type="dxa" w:w="100"/>
              <w:left w:type="dxa" w:w="80"/>
              <w:bottom w:type="dxa" w:w="100"/>
              <w:right w:type="dxa" w:w="80"/>
            </w:tcMar>
            <w:vAlign w:val="center"/>
          </w:tcPr>
          <w:p>
            <w:pPr>
              <w:jc w:val="center"/>
            </w:pPr>
            <w:r>
              <w:rPr>
                <w:rFonts w:ascii="Calibri" w:cs="Calibri" w:eastAsia="Calibri" w:hAnsi="Calibri"/>
                <w:b/>
                <w:bCs/>
                <w:color w:val="FFFFFF"/>
                <w:sz w:val="28"/>
                <w:szCs w:val="28"/>
              </w:rPr>
              <w:t xml:space="preserve">▶</w:t>
            </w:r>
          </w:p>
        </w:tc>
        <w:tc>
          <w:tcPr>
            <w:tcW w:type="dxa" w:w="8948"/>
            <w:tcBorders>
              <w:top w:val="single" w:color="B0C4DE" w:sz="1"/>
              <w:left w:val="single" w:color="B0C4DE" w:sz="1"/>
              <w:bottom w:val="single" w:color="B0C4DE" w:sz="1"/>
              <w:right w:val="single" w:color="B0C4DE" w:sz="1"/>
            </w:tcBorders>
            <w:shd w:fill="EBF3FB" w:val="clear"/>
            <w:tcMar>
              <w:top w:type="dxa" w:w="100"/>
              <w:left w:type="dxa" w:w="200"/>
              <w:bottom w:type="dxa" w:w="100"/>
              <w:right w:type="dxa" w:w="200"/>
            </w:tcMar>
          </w:tcPr>
          <w:p>
            <w:pPr>
              <w:spacing w:before="0" w:after="60"/>
            </w:pPr>
            <w:r>
              <w:rPr>
                <w:rFonts w:ascii="Calibri" w:cs="Calibri" w:eastAsia="Calibri" w:hAnsi="Calibri"/>
                <w:b/>
                <w:bCs/>
                <w:color w:val="375A8C"/>
                <w:sz w:val="24"/>
                <w:szCs w:val="24"/>
              </w:rPr>
              <w:t xml:space="preserve">Ensures Better Data Organisation Within ServiceNow</w:t>
            </w:r>
          </w:p>
          <w:p>
            <w:pPr>
              <w:spacing w:line="360" w:lineRule="auto" w:before="0" w:after="0"/>
              <w:jc w:val="both"/>
            </w:pPr>
            <w:r>
              <w:rPr>
                <w:rFonts w:ascii="Calibri" w:cs="Calibri" w:eastAsia="Calibri" w:hAnsi="Calibri"/>
                <w:color w:val="333333"/>
                <w:sz w:val="24"/>
                <w:szCs w:val="24"/>
              </w:rPr>
              <w:t xml:space="preserve">The systematic import process, combined with the correct resolution of reference fields during transformation, ensures that all employee records in sys_user are accurately structured with properly linked department and manager references. This referential integrity improves the quality of data across the entire ServiceNow platform, benefiting not only incident management but also any other module or process that relies on the sys_user table.</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30"/>
              <w:left w:type="dxa" w:w="240"/>
              <w:bottom w:type="dxa" w:w="130"/>
              <w:right w:type="dxa" w:w="240"/>
            </w:tcMar>
          </w:tcPr>
          <w:p>
            <w:r>
              <w:rPr>
                <w:rFonts w:ascii="Calibri" w:cs="Calibri" w:eastAsia="Calibri" w:hAnsi="Calibri"/>
                <w:b/>
                <w:bCs/>
                <w:color w:val="FFFFFF"/>
                <w:sz w:val="22"/>
                <w:szCs w:val="22"/>
              </w:rPr>
              <w:t xml:space="preserve">Section 8  —  Conclusion</w:t>
            </w:r>
          </w:p>
        </w:tc>
      </w:tr>
    </w:tbl>
    <w:p>
      <w:pPr>
        <w:spacing w:before="80" w:after="80"/>
      </w:pPr>
      <w:r>
        <w:t xml:space="preserve"/>
      </w:r>
    </w:p>
    <w:p>
      <w:pPr>
        <w:pStyle w:val="Heading1"/>
        <w:spacing w:before="440" w:after="160"/>
      </w:pPr>
      <w:r>
        <w:rPr>
          <w:rFonts w:ascii="Calibri" w:cs="Calibri" w:eastAsia="Calibri" w:hAnsi="Calibri"/>
          <w:b/>
          <w:bCs/>
          <w:color w:val="1F3864"/>
          <w:sz w:val="34"/>
          <w:szCs w:val="34"/>
        </w:rPr>
        <w:t xml:space="preserve">8. Conclusion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Automating Employee Data Import project has successfully demonstrated how ServiceNow's native platform capabilities can be combined and configured to deliver a practical, efficient, and scalable automation solution for employee data management. Through the systematic application of Import Sets, Transform Maps, Dot Walking, and Dictionary Override, the project has transformed a manual, error-prone administrative process into a streamlined, repeatable, and reliable automated workflow.</w:t>
      </w:r>
    </w:p>
    <w:p>
      <w:pPr>
        <w:spacing w:line="360" w:lineRule="auto" w:before="80" w:after="160"/>
        <w:ind w:firstLine="720"/>
        <w:jc w:val="both"/>
      </w:pPr>
      <w:r>
        <w:rPr>
          <w:rFonts w:ascii="Calibri" w:cs="Calibri" w:eastAsia="Calibri" w:hAnsi="Calibri"/>
          <w:sz w:val="24"/>
          <w:szCs w:val="24"/>
        </w:rPr>
        <w:t xml:space="preserve">The implementation has achieved all five of the project's stated objectives. Employee records are now imported automatically from structured external files, eliminating manual data entry and the errors associated with it. All imported records are stored accurately in the sys_user table with correct field mappings and resolved relational references. The Incident form displays employee department and manager information automatically, providing incident agents with immediate access to the contextual data they need for routing and escalation. Default incident priority has been aligned with organisational policy through the Dictionary Override configuration, reducing unnecessary manual adjustment. Together, these outcomes deliver a measurable improvement in the efficiency and accuracy of incident management operations.</w:t>
      </w:r>
    </w:p>
    <w:p>
      <w:pPr>
        <w:spacing w:line="360" w:lineRule="auto" w:before="80" w:after="160"/>
        <w:ind w:firstLine="720"/>
        <w:jc w:val="both"/>
      </w:pPr>
      <w:r>
        <w:rPr>
          <w:rFonts w:ascii="Calibri" w:cs="Calibri" w:eastAsia="Calibri" w:hAnsi="Calibri"/>
          <w:sz w:val="24"/>
          <w:szCs w:val="24"/>
        </w:rPr>
        <w:t xml:space="preserve">Beyond the immediate functional outcomes, this project also demonstrates the broader potential of ServiceNow's configuration-based approach to workflow automation. By relying exclusively on built-in platform features rather than custom code, the solution is straightforward to maintain, easy to extend, and inherently compatible with future ServiceNow platform updates. The import framework established by the project can be reused for future employee data refresh cycles without requiring reconfiguration, providing a sustainable foundation for ongoing data management.</w:t>
      </w:r>
    </w:p>
    <w:p>
      <w:pPr>
        <w:spacing w:line="360" w:lineRule="auto" w:before="80" w:after="160"/>
        <w:ind w:firstLine="720"/>
        <w:jc w:val="both"/>
      </w:pPr>
      <w:r>
        <w:rPr>
          <w:rFonts w:ascii="Calibri" w:cs="Calibri" w:eastAsia="Calibri" w:hAnsi="Calibri"/>
          <w:sz w:val="24"/>
          <w:szCs w:val="24"/>
        </w:rPr>
        <w:t xml:space="preserve">The project further illustrates the value of treating documentation as an integral part of the implementation process rather than an afterthought. The comprehensive documentation produced across all phases of this project provides a clear, complete record of the system that supports knowledge transfer, future enhancement, and academic evaluation. It reflects the professional standards of technical documentation expected in both industry and academic settings, and serves as a model for the structured, evidence-based approach to IT project delivery that is characteristic of best practice in the field.</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
        <w:gridCol w:w="9428"/>
      </w:tblGrid>
      <w:tr>
        <w:tc>
          <w:tcPr>
            <w:tcW w:type="dxa" w:w="220"/>
            <w:tcBorders>
              <w:top w:val="single" w:color="1A6B42" w:sz="1"/>
              <w:left w:val="single" w:color="1A6B42" w:sz="1"/>
              <w:bottom w:val="single" w:color="1A6B42" w:sz="1"/>
              <w:right w:val="none" w:color="FFFFFF" w:sz="0"/>
            </w:tcBorders>
            <w:shd w:fill="1A6B42" w:val="clear"/>
            <w:tcMar>
              <w:top w:type="dxa" w:w="0"/>
              <w:left w:type="dxa" w:w="0"/>
              <w:bottom w:type="dxa" w:w="0"/>
              <w:right w:type="dxa" w:w="0"/>
            </w:tcMar>
          </w:tcPr>
          <w:p>
            <w:r>
              <w:t xml:space="preserve"/>
            </w:r>
          </w:p>
        </w:tc>
        <w:tc>
          <w:tcPr>
            <w:tcW w:type="dxa" w:w="9428"/>
            <w:tcBorders>
              <w:top w:val="single" w:color="1A6B42" w:sz="1"/>
              <w:left w:val="none" w:color="FFFFFF" w:sz="0"/>
              <w:bottom w:val="single" w:color="1A6B42" w:sz="1"/>
              <w:right w:val="single" w:color="1A6B42"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A6B42"/>
                <w:sz w:val="24"/>
                <w:szCs w:val="24"/>
              </w:rPr>
              <w:t xml:space="preserve">Project Outcome Summary</w:t>
            </w:r>
          </w:p>
          <w:p>
            <w:pPr>
              <w:pStyle w:val="ListParagraph"/>
              <w:numPr>
                <w:ilvl w:val="0"/>
                <w:numId w:val="2"/>
              </w:numPr>
              <w:spacing w:line="360" w:lineRule="auto" w:before="60" w:after="60"/>
            </w:pPr>
            <w:r>
              <w:rPr>
                <w:rFonts w:ascii="Calibri" w:cs="Calibri" w:eastAsia="Calibri" w:hAnsi="Calibri"/>
                <w:sz w:val="24"/>
                <w:szCs w:val="24"/>
              </w:rPr>
              <w:t xml:space="preserve">All employee records successfully imported and stored in the ServiceNow sys_user table.</w:t>
            </w:r>
          </w:p>
          <w:p>
            <w:pPr>
              <w:pStyle w:val="ListParagraph"/>
              <w:numPr>
                <w:ilvl w:val="0"/>
                <w:numId w:val="2"/>
              </w:numPr>
              <w:spacing w:line="360" w:lineRule="auto" w:before="60" w:after="60"/>
            </w:pPr>
            <w:r>
              <w:rPr>
                <w:rFonts w:ascii="Calibri" w:cs="Calibri" w:eastAsia="Calibri" w:hAnsi="Calibri"/>
                <w:sz w:val="24"/>
                <w:szCs w:val="24"/>
              </w:rPr>
              <w:t xml:space="preserve">All five required fields — Name, Email, Department, Manager, and Manager Email — correctly mapped and populated.</w:t>
            </w:r>
          </w:p>
          <w:p>
            <w:pPr>
              <w:pStyle w:val="ListParagraph"/>
              <w:numPr>
                <w:ilvl w:val="0"/>
                <w:numId w:val="2"/>
              </w:numPr>
              <w:spacing w:line="360" w:lineRule="auto" w:before="60" w:after="60"/>
            </w:pPr>
            <w:r>
              <w:rPr>
                <w:rFonts w:ascii="Calibri" w:cs="Calibri" w:eastAsia="Calibri" w:hAnsi="Calibri"/>
                <w:sz w:val="24"/>
                <w:szCs w:val="24"/>
              </w:rPr>
              <w:t xml:space="preserve">Incident form enriched with four Dot Walking fields providing automatic employee context display.</w:t>
            </w:r>
          </w:p>
          <w:p>
            <w:pPr>
              <w:pStyle w:val="ListParagraph"/>
              <w:numPr>
                <w:ilvl w:val="0"/>
                <w:numId w:val="2"/>
              </w:numPr>
              <w:spacing w:line="360" w:lineRule="auto" w:before="60" w:after="60"/>
            </w:pPr>
            <w:r>
              <w:rPr>
                <w:rFonts w:ascii="Calibri" w:cs="Calibri" w:eastAsia="Calibri" w:hAnsi="Calibri"/>
                <w:sz w:val="24"/>
                <w:szCs w:val="24"/>
              </w:rPr>
              <w:t xml:space="preserve">Dictionary Override active; all new incidents default to Priority 3 (Moderate).</w:t>
            </w:r>
          </w:p>
          <w:p>
            <w:pPr>
              <w:pStyle w:val="ListParagraph"/>
              <w:numPr>
                <w:ilvl w:val="0"/>
                <w:numId w:val="2"/>
              </w:numPr>
              <w:spacing w:line="360" w:lineRule="auto" w:before="60" w:after="60"/>
            </w:pPr>
            <w:r>
              <w:rPr>
                <w:rFonts w:ascii="Calibri" w:cs="Calibri" w:eastAsia="Calibri" w:hAnsi="Calibri"/>
                <w:sz w:val="24"/>
                <w:szCs w:val="24"/>
              </w:rPr>
              <w:t xml:space="preserve">All project objectives met; solution verified and documented across all implementation phases.</w:t>
            </w:r>
          </w:p>
        </w:tc>
      </w:tr>
    </w:tbl>
    <w:p>
      <w:pPr>
        <w:spacing w:before="200" w:after="80"/>
      </w:pPr>
      <w:r>
        <w:t xml:space="preserve"/>
      </w:r>
    </w:p>
    <w:p>
      <w:pPr>
        <w:pBdr>
          <w:bottom w:val="single" w:color="2E5496" w:sz="6" w:space="1"/>
        </w:pBdr>
        <w:spacing w:before="100" w:after="100"/>
      </w:pPr>
      <w:r>
        <w:t xml:space="preserve"/>
      </w:r>
    </w:p>
    <w:p>
      <w:pPr>
        <w:spacing w:before="80" w:after="80"/>
      </w:pPr>
      <w:r>
        <w:t xml:space="preserve"/>
      </w:r>
    </w:p>
    <w:p>
      <w:pPr>
        <w:spacing w:before="80" w:after="40"/>
        <w:jc w:val="center"/>
      </w:pPr>
      <w:r>
        <w:rPr>
          <w:rFonts w:ascii="Calibri" w:cs="Calibri" w:eastAsia="Calibri" w:hAnsi="Calibri"/>
          <w:i/>
          <w:iCs/>
          <w:color w:val="777777"/>
          <w:sz w:val="24"/>
          <w:szCs w:val="24"/>
        </w:rPr>
        <w:t xml:space="preserve">— End of Project Documentation —</w:t>
      </w:r>
    </w:p>
    <w:p>
      <w:pPr>
        <w:spacing w:before="40" w:after="80"/>
        <w:jc w:val="center"/>
      </w:pPr>
      <w:r>
        <w:rPr>
          <w:rFonts w:ascii="Calibri" w:cs="Calibri" w:eastAsia="Calibri" w:hAnsi="Calibri"/>
          <w:color w:val="999999"/>
          <w:sz w:val="18"/>
          <w:szCs w:val="18"/>
        </w:rPr>
        <w:t xml:space="preserve">Project Documentation  |  Automating Employee Data Import in ServiceNow  |  Version 1.0</w:t>
      </w:r>
    </w:p>
    <w:sectPr>
      <w:headerReference w:type="default" r:id="rId6"/>
      <w:footerReference w:type="default" r:id="rId7"/>
      <w:pgSz w:w="12240" w:h="15840" w:orient="portrait"/>
      <w:pgMar w:top="1440" w:right="1296" w:bottom="1440"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spacing w:before="120" w:after="0"/>
      <w:jc w:val="center"/>
    </w:pPr>
    <w:r>
      <w:rPr>
        <w:rFonts w:ascii="Calibri" w:cs="Calibri" w:eastAsia="Calibri" w:hAnsi="Calibri"/>
        <w:color w:val="555555"/>
        <w:sz w:val="18"/>
        <w:szCs w:val="18"/>
      </w:rPr>
      <w:t xml:space="preserve">Page </w:t>
    </w:r>
    <w:fldSimple w:instr="[object Object]"/>
    <w:r>
      <w:rPr>
        <w:rFonts w:ascii="Calibri" w:cs="Calibri" w:eastAsia="Calibri" w:hAnsi="Calibri"/>
        <w:color w:val="555555"/>
        <w:sz w:val="18"/>
        <w:szCs w:val="18"/>
      </w:rPr>
      <w:t xml:space="preserve">   —   ServiceNow Technical Project Report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before="0" w:after="120"/>
      <w:jc w:val="right"/>
    </w:pPr>
    <w:r>
      <w:rPr>
        <w:rFonts w:ascii="Calibri" w:cs="Calibri" w:eastAsia="Calibri" w:hAnsi="Calibri"/>
        <w:b/>
        <w:bCs/>
        <w:color w:val="1F3864"/>
        <w:sz w:val="18"/>
        <w:szCs w:val="18"/>
      </w:rPr>
      <w:t xml:space="preserve">Project Documentation  |  </w:t>
    </w:r>
    <w:r>
      <w:rPr>
        <w:rFonts w:ascii="Calibri" w:cs="Calibri" w:eastAsia="Calibri" w:hAnsi="Calibri"/>
        <w:color w:val="555555"/>
        <w:sz w:val="18"/>
        <w:szCs w:val="18"/>
      </w:rPr>
      <w:t xml:space="preserve">Automating Employee Data Import in ServiceNow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300" w:after="140"/>
      <w:outlineLvl w:val="1"/>
    </w:pPr>
    <w:rPr>
      <w:rFonts w:ascii="Calibri" w:cs="Calibri" w:eastAsia="Calibri" w:hAnsi="Calibri"/>
      <w:b/>
      <w:bCs/>
      <w:color w:val="2E5496"/>
      <w:sz w:val="28"/>
      <w:szCs w:val="28"/>
    </w:rPr>
  </w:style>
  <w:style w:type="paragraph" w:styleId="Heading3">
    <w:name w:val="Heading 3"/>
    <w:basedOn w:val="Normal"/>
    <w:next w:val="Normal"/>
    <w:qFormat/>
    <w:pPr>
      <w:spacing w:before="220" w:after="100"/>
      <w:outlineLvl w:val="2"/>
    </w:pPr>
    <w:rPr>
      <w:rFonts w:ascii="Calibri" w:cs="Calibri" w:eastAsia="Calibri" w:hAnsi="Calibri"/>
      <w:b/>
      <w:bCs/>
      <w:color w:val="37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2026-03-09T08:17:30.961Z</dcterms:created>
  <dcterms:modified xsi:type="dcterms:W3CDTF">2026-03-09T08:17:30.961Z</dcterms:modified>
</cp:coreProperties>
</file>

<file path=docProps/custom.xml><?xml version="1.0" encoding="utf-8"?>
<Properties xmlns="http://schemas.openxmlformats.org/officeDocument/2006/custom-properties" xmlns:vt="http://schemas.openxmlformats.org/officeDocument/2006/docPropsVTypes"/>
</file>