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t xml:space="preserve"/>
      </w:r>
    </w:p>
    <w:p>
      <w:pPr>
        <w:pBdr>
          <w:bottom w:val="single" w:color="1F3864" w:sz="18" w:space="1"/>
        </w:pBdr>
        <w:spacing w:before="0" w:after="0"/>
      </w:pPr>
      <w:r>
        <w:t xml:space="preserve"/>
      </w:r>
    </w:p>
    <w:p>
      <w:pPr>
        <w:spacing w:before="80" w:after="80"/>
      </w:pPr>
      <w:r>
        <w:t xml:space="preserve"/>
      </w:r>
    </w:p>
    <w:p>
      <w:pPr>
        <w:spacing w:before="100" w:after="80"/>
        <w:jc w:val="center"/>
      </w:pPr>
      <w:r>
        <w:rPr>
          <w:rFonts w:ascii="Calibri" w:cs="Calibri" w:eastAsia="Calibri" w:hAnsi="Calibri"/>
          <w:b/>
          <w:bCs/>
          <w:color w:val="2E5496"/>
          <w:sz w:val="20"/>
          <w:szCs w:val="20"/>
        </w:rPr>
        <w:t xml:space="preserve">SERVICENOW PROJECT DOCUMENTATION  |  PHASE 2</w:t>
      </w:r>
    </w:p>
    <w:p>
      <w:pPr>
        <w:spacing w:before="120" w:after="80"/>
      </w:pPr>
      <w:r>
        <w:t xml:space="preserve"/>
      </w:r>
    </w:p>
    <w:p>
      <w:pPr>
        <w:spacing w:before="60" w:after="80"/>
        <w:jc w:val="center"/>
      </w:pPr>
      <w:r>
        <w:rPr>
          <w:rFonts w:ascii="Calibri" w:cs="Calibri" w:eastAsia="Calibri" w:hAnsi="Calibri"/>
          <w:b/>
          <w:bCs/>
          <w:color w:val="1F3864"/>
          <w:sz w:val="72"/>
          <w:szCs w:val="72"/>
        </w:rPr>
        <w:t xml:space="preserve">2. Requirement Analysis</w:t>
      </w:r>
    </w:p>
    <w:p>
      <w:pPr>
        <w:spacing w:before="60" w:after="200"/>
        <w:jc w:val="center"/>
      </w:pPr>
      <w:r>
        <w:rPr>
          <w:rFonts w:ascii="Calibri" w:cs="Calibri" w:eastAsia="Calibri" w:hAnsi="Calibri"/>
          <w:i/>
          <w:iCs/>
          <w:color w:val="2E5496"/>
          <w:sz w:val="34"/>
          <w:szCs w:val="34"/>
        </w:rPr>
        <w:t xml:space="preserve">Automating Employee Data Import in ServiceNow</w:t>
      </w:r>
    </w:p>
    <w:p>
      <w:pPr>
        <w:spacing w:before="80" w:after="80"/>
      </w:pPr>
      <w:r>
        <w:t xml:space="preserve"/>
      </w:r>
    </w:p>
    <w:p>
      <w:pPr>
        <w:pBdr>
          <w:bottom w:val="single" w:color="1F3864" w:sz="18" w:space="1"/>
        </w:pBdr>
        <w:spacing w:before="0" w:after="0"/>
      </w:pPr>
      <w:r>
        <w:t xml:space="preserve"/>
      </w:r>
    </w:p>
    <w:p>
      <w:pPr>
        <w:spacing w:before="400" w:after="80"/>
      </w:pPr>
      <w:r>
        <w:t xml:space="preserve"/>
      </w:r>
    </w:p>
    <w:tbl>
      <w:tblPr>
        <w:tblW w:type="dxa" w:w="9348"/>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48"/>
      </w:tblGrid>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Title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Requirement Analysis — ServiceNow Project</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Phase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Phase 2 — Requirement Analysis</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Project</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Automating Employee Data Import in ServiceNow</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Type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Technical Project Documentation</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Target Audience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Project Team, Evaluators, Stakeholders</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Date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2025</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Version</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1.0</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Status</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Final</w:t>
            </w:r>
          </w:p>
        </w:tc>
      </w:tr>
    </w:tbl>
    <w:p>
      <w:pPr>
        <w:spacing w:before="500" w:after="80"/>
      </w:pPr>
      <w:r>
        <w:t xml:space="preserve"/>
      </w:r>
    </w:p>
    <w:p>
      <w:pPr>
        <w:spacing w:before="80" w:after="40"/>
        <w:jc w:val="center"/>
      </w:pPr>
      <w:r>
        <w:rPr>
          <w:rFonts w:ascii="Calibri" w:cs="Calibri" w:eastAsia="Calibri" w:hAnsi="Calibri"/>
          <w:i/>
          <w:iCs/>
          <w:color w:val="555555"/>
          <w:sz w:val="24"/>
          <w:szCs w:val="24"/>
        </w:rPr>
        <w:t xml:space="preserve">Prepared by the ServiceNow Implementation Team</w:t>
      </w:r>
    </w:p>
    <w:p>
      <w:r>
        <w:br w:type="page"/>
      </w:r>
    </w:p>
    <w:p>
      <w:pPr>
        <w:sectPr>
          <w:pgSz w:w="12240" w:h="15840" w:orient="portrait"/>
          <w:pgMar w:top="1440" w:right="1296" w:bottom="1440" w:left="1296" w:header="708" w:footer="708" w:gutter="0"/>
          <w:pgNumType/>
          <w:docGrid w:linePitch="360"/>
        </w:sectPr>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pPr>
              <w:jc w:val="left"/>
            </w:pPr>
            <w:r>
              <w:rPr>
                <w:rFonts w:ascii="Calibri" w:cs="Calibri" w:eastAsia="Calibri" w:hAnsi="Calibri"/>
                <w:b/>
                <w:bCs/>
                <w:color w:val="FFFFFF"/>
                <w:sz w:val="22"/>
                <w:szCs w:val="22"/>
              </w:rPr>
              <w:t xml:space="preserve">Section 1  —  Introduction to Requirement Analysis</w:t>
            </w:r>
          </w:p>
        </w:tc>
      </w:tr>
    </w:tbl>
    <w:p>
      <w:pPr>
        <w:spacing w:before="80" w:after="80"/>
      </w:pPr>
      <w:r>
        <w:t xml:space="preserve"/>
      </w:r>
    </w:p>
    <w:p>
      <w:pPr>
        <w:pStyle w:val="Heading1"/>
        <w:spacing w:before="400" w:after="160"/>
      </w:pPr>
      <w:r>
        <w:rPr>
          <w:rFonts w:ascii="Calibri" w:cs="Calibri" w:eastAsia="Calibri" w:hAnsi="Calibri"/>
          <w:b/>
          <w:bCs/>
          <w:color w:val="1F3864"/>
          <w:sz w:val="34"/>
          <w:szCs w:val="34"/>
        </w:rPr>
        <w:t xml:space="preserve">1. Introduction to Requirement Analysis</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Requirement Analysis is a foundational stage in any software development or system implementation project. It is the structured process by which the goals, expectations, constraints, and technical specifications of a project are identified, documented, and validated prior to the commencement of design or development activities. In the context of the ServiceNow project focused on Automating Employee Data Import, requirement analysis serves as the critical bridge between understanding the business problem and defining the technical solution.</w:t>
      </w:r>
    </w:p>
    <w:p>
      <w:pPr>
        <w:spacing w:line="360" w:lineRule="auto" w:before="80" w:after="160"/>
        <w:ind w:firstLine="720"/>
        <w:jc w:val="both"/>
      </w:pPr>
      <w:r>
        <w:rPr>
          <w:rFonts w:ascii="Calibri" w:cs="Calibri" w:eastAsia="Calibri" w:hAnsi="Calibri"/>
          <w:sz w:val="24"/>
          <w:szCs w:val="24"/>
        </w:rPr>
        <w:t xml:space="preserve">The primary purpose of requirement analysis is to ensure that all stakeholders — including business owners, system administrators, and end users — share a common and unambiguous understanding of what the system must accomplish. Without a thorough analysis of requirements, implementation efforts risk producing a solution that fails to address the actual business need, resulting in wasted resources, rework, and project delays.</w:t>
      </w:r>
    </w:p>
    <w:p>
      <w:pPr>
        <w:spacing w:line="360" w:lineRule="auto" w:before="80" w:after="160"/>
        <w:ind w:firstLine="720"/>
        <w:jc w:val="both"/>
      </w:pPr>
      <w:r>
        <w:rPr>
          <w:rFonts w:ascii="Calibri" w:cs="Calibri" w:eastAsia="Calibri" w:hAnsi="Calibri"/>
          <w:sz w:val="24"/>
          <w:szCs w:val="24"/>
        </w:rPr>
        <w:t xml:space="preserve">In the context of this project, requirement analysis involves examining the existing manual process of employee data management, identifying the specific pain points and inefficiencies, and translating those findings into a set of clearly defined requirements. These requirements span several categories, including business requirements that describe what the organization needs, functional requirements that describe what the system must do, non-functional requirements that describe how well the system must perform, and user requirements that describe the expectations of the people who will interact with the system.</w:t>
      </w:r>
    </w:p>
    <w:p>
      <w:pPr>
        <w:spacing w:line="360" w:lineRule="auto" w:before="80" w:after="160"/>
        <w:ind w:firstLine="720"/>
        <w:jc w:val="both"/>
      </w:pPr>
      <w:r>
        <w:rPr>
          <w:rFonts w:ascii="Calibri" w:cs="Calibri" w:eastAsia="Calibri" w:hAnsi="Calibri"/>
          <w:sz w:val="24"/>
          <w:szCs w:val="24"/>
        </w:rPr>
        <w:t xml:space="preserve">Requirement analysis is particularly important in a ServiceNow implementation because ServiceNow offers a wide array of native tools and modules, each with distinct capabilities and configurations. A thorough requirement analysis ensures that the correct tools — such as Import Sets, Transform Maps, and Dictionary Override — are selected and configured in a manner that precisely meets the project's objectives. It also helps identify potential constraints and risks early in the project, allowing the team to plan mitigation strategies before implementation begins.</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pPr>
              <w:jc w:val="left"/>
            </w:pPr>
            <w:r>
              <w:rPr>
                <w:rFonts w:ascii="Calibri" w:cs="Calibri" w:eastAsia="Calibri" w:hAnsi="Calibri"/>
                <w:b/>
                <w:bCs/>
                <w:color w:val="FFFFFF"/>
                <w:sz w:val="22"/>
                <w:szCs w:val="22"/>
              </w:rPr>
              <w:t xml:space="preserve">Section 2  —  Project Overview</w:t>
            </w:r>
          </w:p>
        </w:tc>
      </w:tr>
    </w:tbl>
    <w:p>
      <w:pPr>
        <w:spacing w:before="80" w:after="80"/>
      </w:pPr>
      <w:r>
        <w:t xml:space="preserve"/>
      </w:r>
    </w:p>
    <w:p>
      <w:pPr>
        <w:pStyle w:val="Heading1"/>
        <w:spacing w:before="400" w:after="160"/>
      </w:pPr>
      <w:r>
        <w:rPr>
          <w:rFonts w:ascii="Calibri" w:cs="Calibri" w:eastAsia="Calibri" w:hAnsi="Calibri"/>
          <w:b/>
          <w:bCs/>
          <w:color w:val="1F3864"/>
          <w:sz w:val="34"/>
          <w:szCs w:val="34"/>
        </w:rPr>
        <w:t xml:space="preserve">2. Project Overview</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project addresses a critical operational challenge faced by organizations that manage large volumes of employee data across multiple systems. In many enterprise environments, employee records are maintained in external systems or spreadsheets such as Google Sheets or Microsoft Excel. When these records need to be reflected in ServiceNow — particularly within the user management and incident management modules — the absence of an automated import mechanism forces administrators to perform manual data entry, a process that is both time-consuming and error-prone.</w:t>
      </w:r>
    </w:p>
    <w:p>
      <w:pPr>
        <w:spacing w:line="360" w:lineRule="auto" w:before="80" w:after="160"/>
        <w:ind w:firstLine="720"/>
        <w:jc w:val="both"/>
      </w:pPr>
      <w:r>
        <w:rPr>
          <w:rFonts w:ascii="Calibri" w:cs="Calibri" w:eastAsia="Calibri" w:hAnsi="Calibri"/>
          <w:sz w:val="24"/>
          <w:szCs w:val="24"/>
        </w:rPr>
        <w:t xml:space="preserve">This project implements an end-to-end automated solution for importing employee data from external sources into the ServiceNow platform. The solution leverages ServiceNow's native Import Sets and Transform Maps to load, stage, and transform data from a structured external file into the ServiceNow user table (sys_user). Once employee records are successfully imported, the data becomes available across the platform, including in the Incident Management module, where agent and affected user information is displayed.</w:t>
      </w:r>
    </w:p>
    <w:p>
      <w:pPr>
        <w:pStyle w:val="Heading2"/>
        <w:spacing w:before="300" w:after="140"/>
      </w:pPr>
      <w:r>
        <w:rPr>
          <w:rFonts w:ascii="Calibri" w:cs="Calibri" w:eastAsia="Calibri" w:hAnsi="Calibri"/>
          <w:b/>
          <w:bCs/>
          <w:color w:val="2E5496"/>
          <w:sz w:val="28"/>
          <w:szCs w:val="28"/>
        </w:rPr>
        <w:t xml:space="preserve">2.1 Scope of the Project</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Importing employee records containing fields such as Name, Email, Department, Manager, and Manager Email from an external file.</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Staging the imported data in a dedicated Import Set table within ServiceNow.</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Transforming and mapping the staged data to the appropriate fields in the sys_user target table using a configured Transform Map.</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Automatically populating relational fields such as Department and Manager Email using Dot Walking.</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Configuring Dictionary Override to enforce read-only access on the Manager Email field.</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Validating the imported records to ensure accuracy and completeness.</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2.2 Business Context</w:t>
      </w:r>
    </w:p>
    <w:p>
      <w:pPr>
        <w:spacing w:line="360" w:lineRule="auto" w:before="80" w:after="160"/>
        <w:ind w:firstLine="720"/>
        <w:jc w:val="both"/>
      </w:pPr>
      <w:r>
        <w:rPr>
          <w:rFonts w:ascii="Calibri" w:cs="Calibri" w:eastAsia="Calibri" w:hAnsi="Calibri"/>
          <w:sz w:val="24"/>
          <w:szCs w:val="24"/>
        </w:rPr>
        <w:t xml:space="preserve">The project is initiated in response to the growing need for accurate and up-to-date employee information within ServiceNow's incident management workflow. When an incident is raised in ServiceNow, the system needs to display accurate information about the affected employee, their department, and their direct manager. If this information is not properly maintained in the system, incident handlers are unable to route, prioritize, or escalate incidents effectively, leading to delays in resolution and diminished service quality.</w:t>
      </w:r>
    </w:p>
    <w:p>
      <w:pPr>
        <w:spacing w:line="360" w:lineRule="auto" w:before="80" w:after="160"/>
        <w:ind w:firstLine="720"/>
        <w:jc w:val="both"/>
      </w:pPr>
      <w:r>
        <w:rPr>
          <w:rFonts w:ascii="Calibri" w:cs="Calibri" w:eastAsia="Calibri" w:hAnsi="Calibri"/>
          <w:sz w:val="24"/>
          <w:szCs w:val="24"/>
        </w:rPr>
        <w:t xml:space="preserve">By automating the employee data import process, the organization eliminates the dependency on manual data entry, reduces the risk of data inconsistencies, and ensures that ServiceNow always reflects the current organizational structure, enabling more efficient and accurate incident management.</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pPr>
              <w:jc w:val="left"/>
            </w:pPr>
            <w:r>
              <w:rPr>
                <w:rFonts w:ascii="Calibri" w:cs="Calibri" w:eastAsia="Calibri" w:hAnsi="Calibri"/>
                <w:b/>
                <w:bCs/>
                <w:color w:val="FFFFFF"/>
                <w:sz w:val="22"/>
                <w:szCs w:val="22"/>
              </w:rPr>
              <w:t xml:space="preserve">Section 3  —  Business Requirements</w:t>
            </w:r>
          </w:p>
        </w:tc>
      </w:tr>
    </w:tbl>
    <w:p>
      <w:pPr>
        <w:spacing w:before="80" w:after="80"/>
      </w:pPr>
      <w:r>
        <w:t xml:space="preserve"/>
      </w:r>
    </w:p>
    <w:p>
      <w:pPr>
        <w:pStyle w:val="Heading1"/>
        <w:spacing w:before="400" w:after="160"/>
      </w:pPr>
      <w:r>
        <w:rPr>
          <w:rFonts w:ascii="Calibri" w:cs="Calibri" w:eastAsia="Calibri" w:hAnsi="Calibri"/>
          <w:b/>
          <w:bCs/>
          <w:color w:val="1F3864"/>
          <w:sz w:val="34"/>
          <w:szCs w:val="34"/>
        </w:rPr>
        <w:t xml:space="preserve">3. Business Requirements</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Business requirements define the high-level needs and objectives of the organization that the project must satisfy. These requirements are derived from the operational challenges identified during stakeholder consultations and process reviews. They describe what the business expects the system to achieve, without specifying the technical means by which those expectations will be met.</w:t>
      </w:r>
    </w:p>
    <w:p>
      <w:pPr>
        <w:spacing w:line="360" w:lineRule="auto" w:before="80" w:after="160"/>
        <w:ind w:firstLine="720"/>
        <w:jc w:val="both"/>
      </w:pPr>
      <w:r>
        <w:rPr>
          <w:rFonts w:ascii="Calibri" w:cs="Calibri" w:eastAsia="Calibri" w:hAnsi="Calibri"/>
          <w:sz w:val="24"/>
          <w:szCs w:val="24"/>
        </w:rPr>
        <w:t xml:space="preserve">The following business requirements have been identified for the Automating Employee Data Import project:</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3.1 Business Requirement Summary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448"/>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 ID</w:t>
            </w:r>
          </w:p>
        </w:tc>
        <w:tc>
          <w:tcPr>
            <w:tcW w:type="dxa" w:w="6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Requirement Description</w:t>
            </w:r>
          </w:p>
        </w:tc>
        <w:tc>
          <w:tcPr>
            <w:tcW w:type="dxa" w:w="24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Priority</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BR-01</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The system shall automatically import employee records from an external data source into ServiceNow without requiring manual data entry by administrators.</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BR-02</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All imported employee records shall be stored accurately and completely in the ServiceNow user table (sys_user), maintaining data integrity across all fields.</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BR-03</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Department and manager information associated with each employee shall be automatically displayed within ServiceNow incident records, enabling efficient incident routing and escalation.</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BR-04</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The automation solution shall reduce the time and effort required for employee data management, thereby improving the overall efficiency of incident handling operations.</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BR-05</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The solution shall support repeated import operations, allowing the organization to refresh employee data periodically without requiring system reconfiguration.</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E36C0A"/>
                <w:sz w:val="24"/>
                <w:szCs w:val="24"/>
              </w:rPr>
              <w:t xml:space="preserve">Medium</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BR-06</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The system shall provide a clear audit mechanism to identify and report on import errors, enabling prompt correction of data issues.</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E36C0A"/>
                <w:sz w:val="24"/>
                <w:szCs w:val="24"/>
              </w:rPr>
              <w:t xml:space="preserve">Medium</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3.2 Detailed Business Requirement Descriptions</w:t>
      </w:r>
    </w:p>
    <w:p>
      <w:pPr>
        <w:pStyle w:val="Heading3"/>
        <w:spacing w:before="200" w:after="100"/>
      </w:pPr>
      <w:r>
        <w:rPr>
          <w:rFonts w:ascii="Calibri" w:cs="Calibri" w:eastAsia="Calibri" w:hAnsi="Calibri"/>
          <w:b/>
          <w:bCs/>
          <w:color w:val="375A8C"/>
          <w:sz w:val="26"/>
          <w:szCs w:val="26"/>
        </w:rPr>
        <w:t xml:space="preserve">BR-01: Automated Employee Record Import</w:t>
      </w:r>
    </w:p>
    <w:p>
      <w:pPr>
        <w:spacing w:line="360" w:lineRule="auto" w:before="80" w:after="160"/>
        <w:ind w:firstLine="720"/>
        <w:jc w:val="both"/>
      </w:pPr>
      <w:r>
        <w:rPr>
          <w:rFonts w:ascii="Calibri" w:cs="Calibri" w:eastAsia="Calibri" w:hAnsi="Calibri"/>
          <w:sz w:val="24"/>
          <w:szCs w:val="24"/>
        </w:rPr>
        <w:t xml:space="preserve">The organization requires a mechanism that eliminates manual data entry for employee records in ServiceNow. The import process shall be initiated by an administrator uploading a structured data file, after which the system shall automatically process and load all employee records into the platform.</w:t>
      </w:r>
    </w:p>
    <w:p>
      <w:pPr>
        <w:pStyle w:val="Heading3"/>
        <w:spacing w:before="200" w:after="100"/>
      </w:pPr>
      <w:r>
        <w:rPr>
          <w:rFonts w:ascii="Calibri" w:cs="Calibri" w:eastAsia="Calibri" w:hAnsi="Calibri"/>
          <w:b/>
          <w:bCs/>
          <w:color w:val="375A8C"/>
          <w:sz w:val="26"/>
          <w:szCs w:val="26"/>
        </w:rPr>
        <w:t xml:space="preserve">BR-02: Accurate Storage in the ServiceNow User Table</w:t>
      </w:r>
    </w:p>
    <w:p>
      <w:pPr>
        <w:spacing w:line="360" w:lineRule="auto" w:before="80" w:after="160"/>
        <w:ind w:firstLine="720"/>
        <w:jc w:val="both"/>
      </w:pPr>
      <w:r>
        <w:rPr>
          <w:rFonts w:ascii="Calibri" w:cs="Calibri" w:eastAsia="Calibri" w:hAnsi="Calibri"/>
          <w:sz w:val="24"/>
          <w:szCs w:val="24"/>
        </w:rPr>
        <w:t xml:space="preserve">All employee data, including Name, Email, Department, Manager reference, and Manager Email, must be accurately stored in the sys_user table. The data must maintain relational integrity, with reference fields such as Department and Manager correctly linked to their respective records in related tables.</w:t>
      </w:r>
    </w:p>
    <w:p>
      <w:pPr>
        <w:pStyle w:val="Heading3"/>
        <w:spacing w:before="200" w:after="100"/>
      </w:pPr>
      <w:r>
        <w:rPr>
          <w:rFonts w:ascii="Calibri" w:cs="Calibri" w:eastAsia="Calibri" w:hAnsi="Calibri"/>
          <w:b/>
          <w:bCs/>
          <w:color w:val="375A8C"/>
          <w:sz w:val="26"/>
          <w:szCs w:val="26"/>
        </w:rPr>
        <w:t xml:space="preserve">BR-03: Incident Record Population</w:t>
      </w:r>
    </w:p>
    <w:p>
      <w:pPr>
        <w:spacing w:line="360" w:lineRule="auto" w:before="80" w:after="160"/>
        <w:ind w:firstLine="720"/>
        <w:jc w:val="both"/>
      </w:pPr>
      <w:r>
        <w:rPr>
          <w:rFonts w:ascii="Calibri" w:cs="Calibri" w:eastAsia="Calibri" w:hAnsi="Calibri"/>
          <w:sz w:val="24"/>
          <w:szCs w:val="24"/>
        </w:rPr>
        <w:t xml:space="preserve">When incidents are created or managed in ServiceNow, the system must be able to display the affected employee's department name and manager's email address automatically. This information should be retrieved dynamically from the employee's user record rather than requiring manual input during incident creation.</w:t>
      </w:r>
    </w:p>
    <w:p>
      <w:pPr>
        <w:pStyle w:val="Heading3"/>
        <w:spacing w:before="200" w:after="100"/>
      </w:pPr>
      <w:r>
        <w:rPr>
          <w:rFonts w:ascii="Calibri" w:cs="Calibri" w:eastAsia="Calibri" w:hAnsi="Calibri"/>
          <w:b/>
          <w:bCs/>
          <w:color w:val="375A8C"/>
          <w:sz w:val="26"/>
          <w:szCs w:val="26"/>
        </w:rPr>
        <w:t xml:space="preserve">BR-04: Improved Incident Handling Efficiency</w:t>
      </w:r>
    </w:p>
    <w:p>
      <w:pPr>
        <w:spacing w:line="360" w:lineRule="auto" w:before="80" w:after="160"/>
        <w:ind w:firstLine="720"/>
        <w:jc w:val="both"/>
      </w:pPr>
      <w:r>
        <w:rPr>
          <w:rFonts w:ascii="Calibri" w:cs="Calibri" w:eastAsia="Calibri" w:hAnsi="Calibri"/>
          <w:sz w:val="24"/>
          <w:szCs w:val="24"/>
        </w:rPr>
        <w:t xml:space="preserve">The availability of complete and accurate employee information within ServiceNow shall directly contribute to faster incident resolution. Agents will be able to identify the responsible department, escalate to the correct manager, and prioritize incidents appropriately based on organizational hierarchies, all without leaving the ServiceNow platform.</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pPr>
              <w:jc w:val="left"/>
            </w:pPr>
            <w:r>
              <w:rPr>
                <w:rFonts w:ascii="Calibri" w:cs="Calibri" w:eastAsia="Calibri" w:hAnsi="Calibri"/>
                <w:b/>
                <w:bCs/>
                <w:color w:val="FFFFFF"/>
                <w:sz w:val="22"/>
                <w:szCs w:val="22"/>
              </w:rPr>
              <w:t xml:space="preserve">Section 4  —  Functional Requirements</w:t>
            </w:r>
          </w:p>
        </w:tc>
      </w:tr>
    </w:tbl>
    <w:p>
      <w:pPr>
        <w:spacing w:before="80" w:after="80"/>
      </w:pPr>
      <w:r>
        <w:t xml:space="preserve"/>
      </w:r>
    </w:p>
    <w:p>
      <w:pPr>
        <w:pStyle w:val="Heading1"/>
        <w:spacing w:before="400" w:after="160"/>
      </w:pPr>
      <w:r>
        <w:rPr>
          <w:rFonts w:ascii="Calibri" w:cs="Calibri" w:eastAsia="Calibri" w:hAnsi="Calibri"/>
          <w:b/>
          <w:bCs/>
          <w:color w:val="1F3864"/>
          <w:sz w:val="34"/>
          <w:szCs w:val="34"/>
        </w:rPr>
        <w:t xml:space="preserve">4. Functional Requirements</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Functional requirements specify the specific behaviors, capabilities, and features that the system must provide in order to fulfill the business requirements. Each functional requirement describes a distinct system action or process that can be implemented, tested, and verified. The functional requirements for this project are derived from the business needs identified in the previous section and reflect the capabilities of the ServiceNow platform.</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4.1 Functional Requirement Summary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448"/>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 ID</w:t>
            </w:r>
          </w:p>
        </w:tc>
        <w:tc>
          <w:tcPr>
            <w:tcW w:type="dxa" w:w="6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Requirement Description</w:t>
            </w:r>
          </w:p>
        </w:tc>
        <w:tc>
          <w:tcPr>
            <w:tcW w:type="dxa" w:w="24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Priority</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FR-01</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The system shall accept employee data files in Excel (.xlsx), CSV (.csv), or XML (.xml) format for import processing.</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FR-02</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The system shall create and maintain an Import Set table to serve as a staging area for all incoming employee data prior to transformation.</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FR-03</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The system shall provide a Transform Map that defines field-level mappings between the Import Set table and the sys_user target table.</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FR-04</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The Transform Map shall support field mappings for the following data attributes: Name, Email, Department, Manager, and Manager Email.</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FR-05</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The system shall use Dot Walking to automatically retrieve the Department name and Manager Email from referenced records in related ServiceNow tables.</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FR-06</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The system shall allow the default priority value of incident records to be overridden using Dictionary Override configuration.</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E36C0A"/>
                <w:sz w:val="24"/>
                <w:szCs w:val="24"/>
              </w:rPr>
              <w:t xml:space="preserve">Medium</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FR-07</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The system shall designate the email field as a coalesce field in the Transform Map to prevent the creation of duplicate employee records during repeated import operations.</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FR-08</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The system shall generate a transformation log that records the outcome of each record processed, including any errors or failures encountered.</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E36C0A"/>
                <w:sz w:val="24"/>
                <w:szCs w:val="24"/>
              </w:rPr>
              <w:t xml:space="preserve">Medium</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4.2 Detailed Functional Requirement Descriptions</w:t>
      </w:r>
    </w:p>
    <w:p>
      <w:pPr>
        <w:pStyle w:val="Heading3"/>
        <w:spacing w:before="200" w:after="100"/>
      </w:pPr>
      <w:r>
        <w:rPr>
          <w:rFonts w:ascii="Calibri" w:cs="Calibri" w:eastAsia="Calibri" w:hAnsi="Calibri"/>
          <w:b/>
          <w:bCs/>
          <w:color w:val="375A8C"/>
          <w:sz w:val="26"/>
          <w:szCs w:val="26"/>
        </w:rPr>
        <w:t xml:space="preserve">FR-01: External File Import Support</w:t>
      </w:r>
    </w:p>
    <w:p>
      <w:pPr>
        <w:spacing w:line="360" w:lineRule="auto" w:before="80" w:after="160"/>
        <w:ind w:firstLine="720"/>
        <w:jc w:val="both"/>
      </w:pPr>
      <w:r>
        <w:rPr>
          <w:rFonts w:ascii="Calibri" w:cs="Calibri" w:eastAsia="Calibri" w:hAnsi="Calibri"/>
          <w:sz w:val="24"/>
          <w:szCs w:val="24"/>
        </w:rPr>
        <w:t xml:space="preserve">The import solution must accept structured data files in commonly used formats, including Microsoft Excel (.xlsx), Comma-Separated Values (.csv), and XML (.xml). This flexibility ensures compatibility with a variety of data preparation tools and source systems, allowing the organization to use whichever format is most convenient for data export and preparation.</w:t>
      </w:r>
    </w:p>
    <w:p>
      <w:pPr>
        <w:pStyle w:val="Heading3"/>
        <w:spacing w:before="200" w:after="100"/>
      </w:pPr>
      <w:r>
        <w:rPr>
          <w:rFonts w:ascii="Calibri" w:cs="Calibri" w:eastAsia="Calibri" w:hAnsi="Calibri"/>
          <w:b/>
          <w:bCs/>
          <w:color w:val="375A8C"/>
          <w:sz w:val="26"/>
          <w:szCs w:val="26"/>
        </w:rPr>
        <w:t xml:space="preserve">FR-02: Import Set Table Creation</w:t>
      </w:r>
    </w:p>
    <w:p>
      <w:pPr>
        <w:spacing w:line="360" w:lineRule="auto" w:before="80" w:after="160"/>
        <w:ind w:firstLine="720"/>
        <w:jc w:val="both"/>
      </w:pPr>
      <w:r>
        <w:rPr>
          <w:rFonts w:ascii="Calibri" w:cs="Calibri" w:eastAsia="Calibri" w:hAnsi="Calibri"/>
          <w:sz w:val="24"/>
          <w:szCs w:val="24"/>
        </w:rPr>
        <w:t xml:space="preserve">When a data file is uploaded through the ServiceNow Import Sets module, the system must automatically create or utilize a designated Import Set table. This staging table acts as a temporary repository for the raw imported data, holding the records until the Transform Map processes and transfers them to the target table. The Import Set table mirrors the column structure of the uploaded file, with each column represented as a field in the staging table.</w:t>
      </w:r>
    </w:p>
    <w:p>
      <w:pPr>
        <w:pStyle w:val="Heading3"/>
        <w:spacing w:before="200" w:after="100"/>
      </w:pPr>
      <w:r>
        <w:rPr>
          <w:rFonts w:ascii="Calibri" w:cs="Calibri" w:eastAsia="Calibri" w:hAnsi="Calibri"/>
          <w:b/>
          <w:bCs/>
          <w:color w:val="375A8C"/>
          <w:sz w:val="26"/>
          <w:szCs w:val="26"/>
        </w:rPr>
        <w:t xml:space="preserve">FR-03 and FR-04: Transform Map and Field Mapping</w:t>
      </w:r>
    </w:p>
    <w:p>
      <w:pPr>
        <w:spacing w:line="360" w:lineRule="auto" w:before="80" w:after="160"/>
        <w:ind w:firstLine="720"/>
        <w:jc w:val="both"/>
      </w:pPr>
      <w:r>
        <w:rPr>
          <w:rFonts w:ascii="Calibri" w:cs="Calibri" w:eastAsia="Calibri" w:hAnsi="Calibri"/>
          <w:sz w:val="24"/>
          <w:szCs w:val="24"/>
        </w:rPr>
        <w:t xml:space="preserve">A Transform Map must be configured to establish the correspondence between each field in the Import Set table and the appropriate field in the sys_user target table. The Transform Map must support mappings for all required employee data fields, including:</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Name: The employee's full name, mapped to the name field in sys_user.</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Email: The employee's email address, mapped to the email field in sys_user and designated as the coalesce field.</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Department: The name of the employee's department, mapped to the department reference field in sys_user.</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Manager: The employee's manager, mapped to the manager reference field in sys_user.</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Manager Email: The email address of the employee's manager, derived through Dot Walking.</w:t>
      </w:r>
    </w:p>
    <w:p>
      <w:pPr>
        <w:spacing w:before="80" w:after="80"/>
      </w:pPr>
      <w:r>
        <w:t xml:space="preserve"/>
      </w:r>
    </w:p>
    <w:p>
      <w:pPr>
        <w:pStyle w:val="Heading3"/>
        <w:spacing w:before="200" w:after="100"/>
      </w:pPr>
      <w:r>
        <w:rPr>
          <w:rFonts w:ascii="Calibri" w:cs="Calibri" w:eastAsia="Calibri" w:hAnsi="Calibri"/>
          <w:b/>
          <w:bCs/>
          <w:color w:val="375A8C"/>
          <w:sz w:val="26"/>
          <w:szCs w:val="26"/>
        </w:rPr>
        <w:t xml:space="preserve">FR-05: Dot Walking for Relational Field Population</w:t>
      </w:r>
    </w:p>
    <w:p>
      <w:pPr>
        <w:spacing w:line="360" w:lineRule="auto" w:before="80" w:after="160"/>
        <w:ind w:firstLine="720"/>
        <w:jc w:val="both"/>
      </w:pPr>
      <w:r>
        <w:rPr>
          <w:rFonts w:ascii="Calibri" w:cs="Calibri" w:eastAsia="Calibri" w:hAnsi="Calibri"/>
          <w:sz w:val="24"/>
          <w:szCs w:val="24"/>
        </w:rPr>
        <w:t xml:space="preserve">Dot Walking must be implemented within the Transform Map to automatically resolve and populate relational fields. Specifically, the Dot Walk expression manager.email must be used to traverse the manager reference field in sys_user and retrieve the email address of the referenced manager record. Similarly, department.name must be used where applicable to resolve the department name. This eliminates the need for the source data file to contain explicit sys_id values for reference fields.</w:t>
      </w:r>
    </w:p>
    <w:p>
      <w:pPr>
        <w:pStyle w:val="Heading3"/>
        <w:spacing w:before="200" w:after="100"/>
      </w:pPr>
      <w:r>
        <w:rPr>
          <w:rFonts w:ascii="Calibri" w:cs="Calibri" w:eastAsia="Calibri" w:hAnsi="Calibri"/>
          <w:b/>
          <w:bCs/>
          <w:color w:val="375A8C"/>
          <w:sz w:val="26"/>
          <w:szCs w:val="26"/>
        </w:rPr>
        <w:t xml:space="preserve">FR-06: Dictionary Override for Priority Customization</w:t>
      </w:r>
    </w:p>
    <w:p>
      <w:pPr>
        <w:spacing w:line="360" w:lineRule="auto" w:before="80" w:after="160"/>
        <w:ind w:firstLine="720"/>
        <w:jc w:val="both"/>
      </w:pPr>
      <w:r>
        <w:rPr>
          <w:rFonts w:ascii="Calibri" w:cs="Calibri" w:eastAsia="Calibri" w:hAnsi="Calibri"/>
          <w:sz w:val="24"/>
          <w:szCs w:val="24"/>
        </w:rPr>
        <w:t xml:space="preserve">The ServiceNow Dictionary Override mechanism must be applied to the Priority field of the Incident table (or another relevant field as specified) to allow the default value to be customized without modifying the base system dictionary. This configuration enables the organization to set a default priority level that aligns with its incident management policies, overriding the platform's default settings on a per-table basis.</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pPr>
              <w:jc w:val="left"/>
            </w:pPr>
            <w:r>
              <w:rPr>
                <w:rFonts w:ascii="Calibri" w:cs="Calibri" w:eastAsia="Calibri" w:hAnsi="Calibri"/>
                <w:b/>
                <w:bCs/>
                <w:color w:val="FFFFFF"/>
                <w:sz w:val="22"/>
                <w:szCs w:val="22"/>
              </w:rPr>
              <w:t xml:space="preserve">Section 5  —  Non-Functional Requirements</w:t>
            </w:r>
          </w:p>
        </w:tc>
      </w:tr>
    </w:tbl>
    <w:p>
      <w:pPr>
        <w:spacing w:before="80" w:after="80"/>
      </w:pPr>
      <w:r>
        <w:t xml:space="preserve"/>
      </w:r>
    </w:p>
    <w:p>
      <w:pPr>
        <w:pStyle w:val="Heading1"/>
        <w:spacing w:before="400" w:after="160"/>
      </w:pPr>
      <w:r>
        <w:rPr>
          <w:rFonts w:ascii="Calibri" w:cs="Calibri" w:eastAsia="Calibri" w:hAnsi="Calibri"/>
          <w:b/>
          <w:bCs/>
          <w:color w:val="1F3864"/>
          <w:sz w:val="34"/>
          <w:szCs w:val="34"/>
        </w:rPr>
        <w:t xml:space="preserve">5. Non-Functional Requirements</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Non-functional requirements define the quality attributes and operational standards that the system must meet. While functional requirements describe what the system does, non-functional requirements describe how well the system performs its functions. These requirements are critical for ensuring that the implemented solution is not only functionally correct but also reliable, secure, performant, and maintainable in a production environment.</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5.1 Non-Functional Requirement Summary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448"/>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 ID</w:t>
            </w:r>
          </w:p>
        </w:tc>
        <w:tc>
          <w:tcPr>
            <w:tcW w:type="dxa" w:w="6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Requirement Description</w:t>
            </w:r>
          </w:p>
        </w:tc>
        <w:tc>
          <w:tcPr>
            <w:tcW w:type="dxa" w:w="24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Priority</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NFR-01</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Data Accuracy: The system shall ensure that all imported employee records are accurately mapped and stored, with zero tolerance for field-level data corruption or misalignment.</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NFR-02</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Data Consistency: The system shall maintain referential integrity across all related tables, ensuring that reference fields such as Department and Manager are correctly resolved at all times.</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NFR-03</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Performance: The system shall be capable of processing and transforming a batch of up to 1,000 employee records within an acceptable time frame without degradation of platform performance.</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E36C0A"/>
                <w:sz w:val="24"/>
                <w:szCs w:val="24"/>
              </w:rPr>
              <w:t xml:space="preserve">Medium</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NFR-04</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Security: Access to the Import Sets module and Transform Map configuration shall be restricted to authorized administrators only, preventing unauthorized access to sensitive employee data.</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NFR-05</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Reliability: The import and transformation process shall be robust, capable of handling minor data anomalies gracefully without causing complete process failure.</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NFR-06</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Maintainability: The Transform Map and field mapping configurations shall be documented and structured in a manner that allows future administrators to modify or extend them with minimal effort.</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E36C0A"/>
                <w:sz w:val="24"/>
                <w:szCs w:val="24"/>
              </w:rPr>
              <w:t xml:space="preserve">Medium</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NFR-07</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Auditability: The system shall maintain a complete log of all import operations, including the status of each record processed, to support troubleshooting and compliance reporting.</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E36C0A"/>
                <w:sz w:val="24"/>
                <w:szCs w:val="24"/>
              </w:rPr>
              <w:t xml:space="preserve">Medium</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5.2 Detailed Non-Functional Requirement Descriptions</w:t>
      </w:r>
    </w:p>
    <w:p>
      <w:pPr>
        <w:pStyle w:val="Heading3"/>
        <w:spacing w:before="200" w:after="100"/>
      </w:pPr>
      <w:r>
        <w:rPr>
          <w:rFonts w:ascii="Calibri" w:cs="Calibri" w:eastAsia="Calibri" w:hAnsi="Calibri"/>
          <w:b/>
          <w:bCs/>
          <w:color w:val="375A8C"/>
          <w:sz w:val="26"/>
          <w:szCs w:val="26"/>
        </w:rPr>
        <w:t xml:space="preserve">NFR-01 and NFR-02: Data Accuracy and Consistency</w:t>
      </w:r>
    </w:p>
    <w:p>
      <w:pPr>
        <w:spacing w:line="360" w:lineRule="auto" w:before="80" w:after="160"/>
        <w:ind w:firstLine="720"/>
        <w:jc w:val="both"/>
      </w:pPr>
      <w:r>
        <w:rPr>
          <w:rFonts w:ascii="Calibri" w:cs="Calibri" w:eastAsia="Calibri" w:hAnsi="Calibri"/>
          <w:sz w:val="24"/>
          <w:szCs w:val="24"/>
        </w:rPr>
        <w:t xml:space="preserve">The correctness of imported employee data is of paramount importance, as inaccurate records will directly affect incident routing, escalation, and resolution workflows. The system must validate data at the point of transformation, flagging any records with missing required fields or unresolvable references. All reference fields must be resolved correctly, ensuring that department and manager associations reflect the true organizational structure as defined in ServiceNow's related tables.</w:t>
      </w:r>
    </w:p>
    <w:p>
      <w:pPr>
        <w:pStyle w:val="Heading3"/>
        <w:spacing w:before="200" w:after="100"/>
      </w:pPr>
      <w:r>
        <w:rPr>
          <w:rFonts w:ascii="Calibri" w:cs="Calibri" w:eastAsia="Calibri" w:hAnsi="Calibri"/>
          <w:b/>
          <w:bCs/>
          <w:color w:val="375A8C"/>
          <w:sz w:val="26"/>
          <w:szCs w:val="26"/>
        </w:rPr>
        <w:t xml:space="preserve">NFR-03: Import Performance</w:t>
      </w:r>
    </w:p>
    <w:p>
      <w:pPr>
        <w:spacing w:line="360" w:lineRule="auto" w:before="80" w:after="160"/>
        <w:ind w:firstLine="720"/>
        <w:jc w:val="both"/>
      </w:pPr>
      <w:r>
        <w:rPr>
          <w:rFonts w:ascii="Calibri" w:cs="Calibri" w:eastAsia="Calibri" w:hAnsi="Calibri"/>
          <w:sz w:val="24"/>
          <w:szCs w:val="24"/>
        </w:rPr>
        <w:t xml:space="preserve">The data import and transformation process must execute efficiently to avoid disrupting day-to-day ServiceNow operations. The system must be capable of processing batch imports of substantial size — up to 1,000 records — without causing noticeable performance degradation for other users of the platform. For larger datasets, the solution should support scheduled or batch-mode execution to distribute processing load appropriately.</w:t>
      </w:r>
    </w:p>
    <w:p>
      <w:pPr>
        <w:pStyle w:val="Heading3"/>
        <w:spacing w:before="200" w:after="100"/>
      </w:pPr>
      <w:r>
        <w:rPr>
          <w:rFonts w:ascii="Calibri" w:cs="Calibri" w:eastAsia="Calibri" w:hAnsi="Calibri"/>
          <w:b/>
          <w:bCs/>
          <w:color w:val="375A8C"/>
          <w:sz w:val="26"/>
          <w:szCs w:val="26"/>
        </w:rPr>
        <w:t xml:space="preserve">NFR-04: Security and Access Control</w:t>
      </w:r>
    </w:p>
    <w:p>
      <w:pPr>
        <w:spacing w:line="360" w:lineRule="auto" w:before="80" w:after="160"/>
        <w:ind w:firstLine="720"/>
        <w:jc w:val="both"/>
      </w:pPr>
      <w:r>
        <w:rPr>
          <w:rFonts w:ascii="Calibri" w:cs="Calibri" w:eastAsia="Calibri" w:hAnsi="Calibri"/>
          <w:sz w:val="24"/>
          <w:szCs w:val="24"/>
        </w:rPr>
        <w:t xml:space="preserve">Employee data is sensitive personal information and must be protected from unauthorized access at all stages of the import process. The Import Sets module, Transform Map configurations, and the resulting user records must be accessible only to users with the appropriate administrative roles. Data in transit between the source file and ServiceNow must be handled securely, and audit trails must be maintained to record who initiated each import operation and when.</w:t>
      </w:r>
    </w:p>
    <w:p>
      <w:pPr>
        <w:pStyle w:val="Heading3"/>
        <w:spacing w:before="200" w:after="100"/>
      </w:pPr>
      <w:r>
        <w:rPr>
          <w:rFonts w:ascii="Calibri" w:cs="Calibri" w:eastAsia="Calibri" w:hAnsi="Calibri"/>
          <w:b/>
          <w:bCs/>
          <w:color w:val="375A8C"/>
          <w:sz w:val="26"/>
          <w:szCs w:val="26"/>
        </w:rPr>
        <w:t xml:space="preserve">NFR-05 and NFR-06: Reliability and Maintainability</w:t>
      </w:r>
    </w:p>
    <w:p>
      <w:pPr>
        <w:spacing w:line="360" w:lineRule="auto" w:before="80" w:after="160"/>
        <w:ind w:firstLine="720"/>
        <w:jc w:val="both"/>
      </w:pPr>
      <w:r>
        <w:rPr>
          <w:rFonts w:ascii="Calibri" w:cs="Calibri" w:eastAsia="Calibri" w:hAnsi="Calibri"/>
          <w:sz w:val="24"/>
          <w:szCs w:val="24"/>
        </w:rPr>
        <w:t xml:space="preserve">The solution must be resilient to minor variations in the source data, such as empty optional fields or unexpected whitespace in text values, without failing the entire import operation. Records that cannot be processed successfully should be flagged individually, while the remainder of the batch continues to completion. Additionally, the configuration of the Transform Map and related components must be clearly documented and structured logically, enabling future administrators to update field mappings, add new fields, or modify transformation rules with confidence and without risk of unintended side effects.</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pPr>
              <w:jc w:val="left"/>
            </w:pPr>
            <w:r>
              <w:rPr>
                <w:rFonts w:ascii="Calibri" w:cs="Calibri" w:eastAsia="Calibri" w:hAnsi="Calibri"/>
                <w:b/>
                <w:bCs/>
                <w:color w:val="FFFFFF"/>
                <w:sz w:val="22"/>
                <w:szCs w:val="22"/>
              </w:rPr>
              <w:t xml:space="preserve">Section 6  —  System Requirements</w:t>
            </w:r>
          </w:p>
        </w:tc>
      </w:tr>
    </w:tbl>
    <w:p>
      <w:pPr>
        <w:spacing w:before="80" w:after="80"/>
      </w:pPr>
      <w:r>
        <w:t xml:space="preserve"/>
      </w:r>
    </w:p>
    <w:p>
      <w:pPr>
        <w:pStyle w:val="Heading1"/>
        <w:spacing w:before="400" w:after="160"/>
      </w:pPr>
      <w:r>
        <w:rPr>
          <w:rFonts w:ascii="Calibri" w:cs="Calibri" w:eastAsia="Calibri" w:hAnsi="Calibri"/>
          <w:b/>
          <w:bCs/>
          <w:color w:val="1F3864"/>
          <w:sz w:val="34"/>
          <w:szCs w:val="34"/>
        </w:rPr>
        <w:t xml:space="preserve">6. System Requirements</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System requirements describe the technical infrastructure, platform components, and environmental prerequisites necessary to implement and operate the employee data import automation solution. These requirements define the technical baseline that must be in place before implementation can commence.</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6.1 Technical System Requirements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2E5496" w:sz="1"/>
              <w:left w:val="single" w:color="2E5496" w:sz="1"/>
              <w:bottom w:val="single" w:color="2E5496" w:sz="1"/>
              <w:right w:val="single" w:color="2E5496" w:sz="1"/>
            </w:tcBorders>
            <w:shd w:fill="2E5496"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System Component</w:t>
            </w:r>
          </w:p>
        </w:tc>
        <w:tc>
          <w:tcPr>
            <w:tcW w:type="dxa" w:w="6648"/>
            <w:tcBorders>
              <w:top w:val="single" w:color="2E5496" w:sz="1"/>
              <w:left w:val="single" w:color="2E5496" w:sz="1"/>
              <w:bottom w:val="single" w:color="2E5496" w:sz="1"/>
              <w:right w:val="single" w:color="2E5496" w:sz="1"/>
            </w:tcBorders>
            <w:shd w:fill="2E5496"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Requirement Details</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ServiceNow Platform Access</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A licensed and operational ServiceNow instance is required. The implementing administrator must have access to a Personal Developer Instance (PDI) or an organizational ServiceNow environment with administrative privileges.</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sz w:val="24"/>
                <w:szCs w:val="24"/>
              </w:rPr>
              <w:t xml:space="preserve">Import Set Module</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The ServiceNow Import Sets module must be active and accessible within the instance. This module provides the functionality to load external data files, create staging tables, and manage import operations.</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Transform Map Module</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The Transform Map configuration tools within the ServiceNow Import Sets module must be accessible. This includes the ability to create Transform Maps, define Field Maps, configure coalesce fields, and execute transformation operations.</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sz w:val="24"/>
                <w:szCs w:val="24"/>
              </w:rPr>
              <w:t xml:space="preserve">Google Sheets or Microsoft Excel</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An application capable of creating and exporting structured tabular data in XLSX or CSV format is required for preparing the employee data source file. Google Sheets or Microsoft Excel are the recommended tools for this purpose.</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Internet Access</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Reliable internet access is required to connect to the ServiceNow cloud instance, upload data files, and access the platform's administrative interface.</w:t>
            </w:r>
          </w:p>
        </w:tc>
      </w:tr>
      <w:tr>
        <w:tc>
          <w:tcPr>
            <w:tcW w:type="dxa" w:w="3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sz w:val="24"/>
                <w:szCs w:val="24"/>
              </w:rPr>
              <w:t xml:space="preserve">Administrator Permissions</w:t>
            </w:r>
          </w:p>
        </w:tc>
        <w:tc>
          <w:tcPr>
            <w:tcW w:type="dxa" w:w="66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The user performing the implementation must hold the admin role within ServiceNow, granting access to the System Definition, Import Sets, Transform Maps, and Dictionary modules.</w:t>
            </w:r>
          </w:p>
        </w:tc>
      </w:tr>
      <w:tr>
        <w:tc>
          <w:tcPr>
            <w:tcW w:type="dxa" w:w="3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Web Browser</w:t>
            </w:r>
          </w:p>
        </w:tc>
        <w:tc>
          <w:tcPr>
            <w:tcW w:type="dxa" w:w="66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A modern, standards-compliant web browser (such as Google Chrome, Mozilla Firefox, or Microsoft Edge) is required to access the ServiceNow web interface.</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6.2 ServiceNow Module Dependencies</w:t>
      </w:r>
    </w:p>
    <w:p>
      <w:pPr>
        <w:spacing w:line="360" w:lineRule="auto" w:before="80" w:after="160"/>
        <w:ind w:firstLine="720"/>
        <w:jc w:val="both"/>
      </w:pPr>
      <w:r>
        <w:rPr>
          <w:rFonts w:ascii="Calibri" w:cs="Calibri" w:eastAsia="Calibri" w:hAnsi="Calibri"/>
          <w:sz w:val="24"/>
          <w:szCs w:val="24"/>
        </w:rPr>
        <w:t xml:space="preserve">The following ServiceNow modules and tables are directly involved in the implementation and must be accessible within the ServiceNow instance:</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System Import Sets: For loading data files and managing Import Set tables.</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sys_user Table: The target table for all imported employee records.</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cmn_department Table: Referenced by the Department field in sys_user, used for department resolution during Dot Walking.</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incident Table: The Incident table, which will leverage employee data for incident display and management.</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System Definition &gt; Dictionary: Required for configuring Dictionary Override on target fields.</w:t>
      </w:r>
    </w:p>
    <w:p>
      <w:pPr>
        <w:pStyle w:val="ListParagraph"/>
        <w:numPr>
          <w:ilvl w:val="0"/>
          <w:numId w:val="2"/>
        </w:numPr>
        <w:spacing w:line="360" w:lineRule="auto" w:before="60" w:after="60"/>
        <w:ind w:left="720" w:hanging="360"/>
      </w:pPr>
      <w:r>
        <w:rPr>
          <w:rFonts w:ascii="Calibri" w:cs="Calibri" w:eastAsia="Calibri" w:hAnsi="Calibri"/>
          <w:sz w:val="24"/>
          <w:szCs w:val="24"/>
        </w:rPr>
        <w:t xml:space="preserve">System Definition &gt; Tables &amp; Columns: For reviewing and verifying field-level configurations.</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pPr>
              <w:jc w:val="left"/>
            </w:pPr>
            <w:r>
              <w:rPr>
                <w:rFonts w:ascii="Calibri" w:cs="Calibri" w:eastAsia="Calibri" w:hAnsi="Calibri"/>
                <w:b/>
                <w:bCs/>
                <w:color w:val="FFFFFF"/>
                <w:sz w:val="22"/>
                <w:szCs w:val="22"/>
              </w:rPr>
              <w:t xml:space="preserve">Section 7  —  User Requirements</w:t>
            </w:r>
          </w:p>
        </w:tc>
      </w:tr>
    </w:tbl>
    <w:p>
      <w:pPr>
        <w:spacing w:before="80" w:after="80"/>
      </w:pPr>
      <w:r>
        <w:t xml:space="preserve"/>
      </w:r>
    </w:p>
    <w:p>
      <w:pPr>
        <w:pStyle w:val="Heading1"/>
        <w:spacing w:before="400" w:after="160"/>
      </w:pPr>
      <w:r>
        <w:rPr>
          <w:rFonts w:ascii="Calibri" w:cs="Calibri" w:eastAsia="Calibri" w:hAnsi="Calibri"/>
          <w:b/>
          <w:bCs/>
          <w:color w:val="1F3864"/>
          <w:sz w:val="34"/>
          <w:szCs w:val="34"/>
        </w:rPr>
        <w:t xml:space="preserve">7. User Requirements</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User requirements capture the expectations, needs, and goals of the individuals who will interact with the implemented solution. These requirements are expressed from the user's perspective and describe the outcomes that users expect the system to deliver. Identifying user requirements ensures that the technical solution is designed with the end user's experience and efficiency in mind.</w:t>
      </w:r>
    </w:p>
    <w:p>
      <w:pPr>
        <w:spacing w:line="360" w:lineRule="auto" w:before="80" w:after="160"/>
        <w:ind w:firstLine="720"/>
        <w:jc w:val="both"/>
      </w:pPr>
      <w:r>
        <w:rPr>
          <w:rFonts w:ascii="Calibri" w:cs="Calibri" w:eastAsia="Calibri" w:hAnsi="Calibri"/>
          <w:sz w:val="24"/>
          <w:szCs w:val="24"/>
        </w:rPr>
        <w:t xml:space="preserve">For this project, the primary user groups are System Administrators responsible for data management and import operations, and Incident Management Agents who will benefit from enriched employee data within the ServiceNow platform.</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7.1 System Administrator Requirements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448"/>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 ID</w:t>
            </w:r>
          </w:p>
        </w:tc>
        <w:tc>
          <w:tcPr>
            <w:tcW w:type="dxa" w:w="6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Requirement Description</w:t>
            </w:r>
          </w:p>
        </w:tc>
        <w:tc>
          <w:tcPr>
            <w:tcW w:type="dxa" w:w="24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Priority</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UR-01</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As a System Administrator, I require the ability to import a batch of employee records by uploading a single structured data file, without the need to enter data manually for each record.</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UR-02</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As a System Administrator, I require the import process to automatically map source file columns to the appropriate ServiceNow fields, minimizing the manual effort required to configure field mappings.</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UR-03</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As a System Administrator, I require a clear and informative transformation log that identifies any records that failed during processing, along with sufficient detail to diagnose and correct the underlying data issues.</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E36C0A"/>
                <w:sz w:val="24"/>
                <w:szCs w:val="24"/>
              </w:rPr>
              <w:t xml:space="preserve">Medium</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UR-04</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As a System Administrator, I require the import solution to be reusable, allowing the same Transform Map and configuration to be applied to future import operations without requiring reconfiguration.</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E36C0A"/>
                <w:sz w:val="24"/>
                <w:szCs w:val="24"/>
              </w:rPr>
              <w:t xml:space="preserve">Medium</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7.2 Incident Management Agent Requirements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448"/>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 ID</w:t>
            </w:r>
          </w:p>
        </w:tc>
        <w:tc>
          <w:tcPr>
            <w:tcW w:type="dxa" w:w="60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Requirement Description</w:t>
            </w:r>
          </w:p>
        </w:tc>
        <w:tc>
          <w:tcPr>
            <w:tcW w:type="dxa" w:w="24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Priority</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UR-05</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As an Incident Management Agent, I require that the department information of the affected employee is automatically displayed in the incident record, without requiring me to look up this information manually.</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UR-06</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As an Incident Management Agent, I require that the manager's email address of the affected employee is automatically displayed in the incident record, enabling me to escalate the incident to the appropriate contact without additional research.</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sz w:val="24"/>
                <w:szCs w:val="24"/>
              </w:rPr>
              <w:t xml:space="preserve">UR-07</w:t>
            </w:r>
          </w:p>
        </w:tc>
        <w:tc>
          <w:tcPr>
            <w:tcW w:type="dxa" w:w="60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sz w:val="24"/>
                <w:szCs w:val="24"/>
              </w:rPr>
              <w:t xml:space="preserve">As an Incident Management Agent, I require that employee information displayed in incidents is always current and accurate, reflecting the most recent import of employee data.</w:t>
            </w:r>
          </w:p>
        </w:tc>
        <w:tc>
          <w:tcPr>
            <w:tcW w:type="dxa" w:w="24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center"/>
            </w:pPr>
            <w:r>
              <w:rPr>
                <w:rFonts w:ascii="Calibri" w:cs="Calibri" w:eastAsia="Calibri" w:hAnsi="Calibri"/>
                <w:b/>
                <w:bCs/>
                <w:color w:val="C00000"/>
                <w:sz w:val="24"/>
                <w:szCs w:val="24"/>
              </w:rPr>
              <w:t xml:space="preserve">High</w:t>
            </w:r>
          </w:p>
        </w:tc>
      </w:tr>
      <w:tr>
        <w:tc>
          <w:tcPr>
            <w:tcW w:type="dxa" w:w="12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sz w:val="24"/>
                <w:szCs w:val="24"/>
              </w:rPr>
              <w:t xml:space="preserve">UR-08</w:t>
            </w:r>
          </w:p>
        </w:tc>
        <w:tc>
          <w:tcPr>
            <w:tcW w:type="dxa" w:w="60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sz w:val="24"/>
                <w:szCs w:val="24"/>
              </w:rPr>
              <w:t xml:space="preserve">As an Incident Management Agent, I require that incident priority defaults are set in accordance with organizational policy, reducing the need for manual priority adjustments during incident creation.</w:t>
            </w:r>
          </w:p>
        </w:tc>
        <w:tc>
          <w:tcPr>
            <w:tcW w:type="dxa" w:w="24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center"/>
            </w:pPr>
            <w:r>
              <w:rPr>
                <w:rFonts w:ascii="Calibri" w:cs="Calibri" w:eastAsia="Calibri" w:hAnsi="Calibri"/>
                <w:b/>
                <w:bCs/>
                <w:color w:val="E36C0A"/>
                <w:sz w:val="24"/>
                <w:szCs w:val="24"/>
              </w:rPr>
              <w:t xml:space="preserve">Medium</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7.3 User Requirement Narrative</w:t>
      </w:r>
    </w:p>
    <w:p>
      <w:pPr>
        <w:spacing w:line="360" w:lineRule="auto" w:before="80" w:after="160"/>
        <w:ind w:firstLine="720"/>
        <w:jc w:val="both"/>
      </w:pPr>
      <w:r>
        <w:rPr>
          <w:rFonts w:ascii="Calibri" w:cs="Calibri" w:eastAsia="Calibri" w:hAnsi="Calibri"/>
          <w:sz w:val="24"/>
          <w:szCs w:val="24"/>
        </w:rPr>
        <w:t xml:space="preserve">End users of the ServiceNow platform place a high value on the availability of complete and accurate employee information within the context of their daily workflows. For Incident Management Agents, the ability to view an affected employee's department and manager directly within the incident record eliminates the need to navigate to the user profile separately, saving time and reducing the risk of contacting the wrong stakeholder during an active incident.</w:t>
      </w:r>
    </w:p>
    <w:p>
      <w:pPr>
        <w:spacing w:line="360" w:lineRule="auto" w:before="80" w:after="160"/>
        <w:ind w:firstLine="720"/>
        <w:jc w:val="both"/>
      </w:pPr>
      <w:r>
        <w:rPr>
          <w:rFonts w:ascii="Calibri" w:cs="Calibri" w:eastAsia="Calibri" w:hAnsi="Calibri"/>
          <w:sz w:val="24"/>
          <w:szCs w:val="24"/>
        </w:rPr>
        <w:t xml:space="preserve">For System Administrators, the most pressing user need is simplicity and repeatability in the import process. Administrators require a solution that can be executed with minimal steps, provides clear feedback on success or failure, and does not require deep technical knowledge to operate on a routine basis. The ability to re-run the import process with an updated data file — without reconfiguring the entire setup — is particularly important for organizations where employee data changes frequently.</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pPr>
              <w:jc w:val="left"/>
            </w:pPr>
            <w:r>
              <w:rPr>
                <w:rFonts w:ascii="Calibri" w:cs="Calibri" w:eastAsia="Calibri" w:hAnsi="Calibri"/>
                <w:b/>
                <w:bCs/>
                <w:color w:val="FFFFFF"/>
                <w:sz w:val="22"/>
                <w:szCs w:val="22"/>
              </w:rPr>
              <w:t xml:space="preserve">Section 8  —  Constraints</w:t>
            </w:r>
          </w:p>
        </w:tc>
      </w:tr>
    </w:tbl>
    <w:p>
      <w:pPr>
        <w:spacing w:before="80" w:after="80"/>
      </w:pPr>
      <w:r>
        <w:t xml:space="preserve"/>
      </w:r>
    </w:p>
    <w:p>
      <w:pPr>
        <w:pStyle w:val="Heading1"/>
        <w:spacing w:before="400" w:after="160"/>
      </w:pPr>
      <w:r>
        <w:rPr>
          <w:rFonts w:ascii="Calibri" w:cs="Calibri" w:eastAsia="Calibri" w:hAnsi="Calibri"/>
          <w:b/>
          <w:bCs/>
          <w:color w:val="1F3864"/>
          <w:sz w:val="34"/>
          <w:szCs w:val="34"/>
        </w:rPr>
        <w:t xml:space="preserve">8. Constraints</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Constraints are conditions or limitations that restrict the design, implementation, or operation of the solution. Unlike requirements, which describe what the system must do or how well it must perform, constraints represent fixed boundaries within which the project must operate. Identifying constraints early in the requirement analysis process is essential for setting realistic expectations and designing a solution that is achievable within the given limitations.</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8.1 Technical Constraints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2E5496" w:sz="1"/>
              <w:left w:val="single" w:color="2E5496" w:sz="1"/>
              <w:bottom w:val="single" w:color="2E5496" w:sz="1"/>
              <w:right w:val="single" w:color="2E5496" w:sz="1"/>
            </w:tcBorders>
            <w:shd w:fill="2E5496"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Constraint</w:t>
            </w:r>
          </w:p>
        </w:tc>
        <w:tc>
          <w:tcPr>
            <w:tcW w:type="dxa" w:w="6848"/>
            <w:tcBorders>
              <w:top w:val="single" w:color="2E5496" w:sz="1"/>
              <w:left w:val="single" w:color="2E5496" w:sz="1"/>
              <w:bottom w:val="single" w:color="2E5496" w:sz="1"/>
              <w:right w:val="single" w:color="2E5496" w:sz="1"/>
            </w:tcBorders>
            <w:shd w:fill="2E5496"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Description and Impact</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Data Format Dependency</w:t>
            </w:r>
          </w:p>
        </w:tc>
        <w:tc>
          <w:tcPr>
            <w:tcW w:type="dxa" w:w="6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The import solution is dependent on the source data file being structured in a consistent and expected format. If the column headers, data types, or field values in the uploaded file do not match the configuration expected by the Transform Map, the mapping will fail or produce incorrect results. Administrators must ensure that the data file conforms to the predefined template before initiating an import.</w:t>
            </w:r>
          </w:p>
        </w:tc>
      </w:tr>
      <w:tr>
        <w:tc>
          <w:tcPr>
            <w:tcW w:type="dxa" w:w="28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sz w:val="24"/>
                <w:szCs w:val="24"/>
              </w:rPr>
              <w:t xml:space="preserve">ServiceNow Access Permissions</w:t>
            </w:r>
          </w:p>
        </w:tc>
        <w:tc>
          <w:tcPr>
            <w:tcW w:type="dxa" w:w="68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The implementation and execution of the import solution require administrative-level access to the ServiceNow instance. Organizations with strict access control policies may face challenges in granting the necessary permissions to all members of the implementation team. Any restrictions on access to the Import Sets, Transform Maps, or Dictionary modules will limit the team's ability to configure or execute the solution.</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Field Mapping Accuracy</w:t>
            </w:r>
          </w:p>
        </w:tc>
        <w:tc>
          <w:tcPr>
            <w:tcW w:type="dxa" w:w="6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The accuracy of the Transform Map field mappings is critical to the success of the import operation. If source fields are incorrectly mapped to target fields — for example, mapping the Manager field to the Department field — the imported records will contain incorrect data. This constraint requires thorough review and testing of all field mappings before the solution is used in a production environment.</w:t>
            </w:r>
          </w:p>
        </w:tc>
      </w:tr>
      <w:tr>
        <w:tc>
          <w:tcPr>
            <w:tcW w:type="dxa" w:w="28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sz w:val="24"/>
                <w:szCs w:val="24"/>
              </w:rPr>
              <w:t xml:space="preserve">Reference Field Resolution</w:t>
            </w:r>
          </w:p>
        </w:tc>
        <w:tc>
          <w:tcPr>
            <w:tcW w:type="dxa" w:w="68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Dot Walking relies on the existence of correctly referenced records in the related tables. If a department name in the source file does not match any existing department record in the cmn_department table, the department field in the imported user record will not be resolved correctly. Similarly, if a manager referenced in the source data does not yet exist in the sys_user table, the manager reference will fail to resolve.</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Import File Size Limitations</w:t>
            </w:r>
          </w:p>
        </w:tc>
        <w:tc>
          <w:tcPr>
            <w:tcW w:type="dxa" w:w="6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ServiceNow's Import Sets module may impose limitations on the size of the data file that can be uploaded through the standard interface. Very large files containing thousands of records may need to be processed in smaller batches to avoid upload or processing timeouts.</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8.2 Organizational Constraints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2E5496" w:sz="1"/>
              <w:left w:val="single" w:color="2E5496" w:sz="1"/>
              <w:bottom w:val="single" w:color="2E5496" w:sz="1"/>
              <w:right w:val="single" w:color="2E5496" w:sz="1"/>
            </w:tcBorders>
            <w:shd w:fill="2E5496"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Constraint</w:t>
            </w:r>
          </w:p>
        </w:tc>
        <w:tc>
          <w:tcPr>
            <w:tcW w:type="dxa" w:w="6848"/>
            <w:tcBorders>
              <w:top w:val="single" w:color="2E5496" w:sz="1"/>
              <w:left w:val="single" w:color="2E5496" w:sz="1"/>
              <w:bottom w:val="single" w:color="2E5496" w:sz="1"/>
              <w:right w:val="single" w:color="2E5496" w:sz="1"/>
            </w:tcBorders>
            <w:shd w:fill="2E5496"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Description and Impact</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Change Management</w:t>
            </w:r>
          </w:p>
        </w:tc>
        <w:tc>
          <w:tcPr>
            <w:tcW w:type="dxa" w:w="6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Any changes to the ServiceNow configuration, including the creation of Transform Maps, Dictionary Overrides, or Import Set tables, must be reviewed and approved through the organization's change management process. This may introduce delays in the implementation schedule.</w:t>
            </w:r>
          </w:p>
        </w:tc>
      </w:tr>
      <w:tr>
        <w:tc>
          <w:tcPr>
            <w:tcW w:type="dxa" w:w="28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sz w:val="24"/>
                <w:szCs w:val="24"/>
              </w:rPr>
              <w:t xml:space="preserve">Data Governance</w:t>
            </w:r>
          </w:p>
        </w:tc>
        <w:tc>
          <w:tcPr>
            <w:tcW w:type="dxa" w:w="68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The import of employee data into ServiceNow must comply with the organization's data governance policies, including policies related to data privacy, data retention, and the handling of personally identifiable information (PII). The solution must be reviewed by the relevant data governance team before being deployed to a production environment.</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User Training</w:t>
            </w:r>
          </w:p>
        </w:tc>
        <w:tc>
          <w:tcPr>
            <w:tcW w:type="dxa" w:w="6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Administrators responsible for executing the import process must be adequately trained on the use of the Import Sets module and the steps required to upload and transform data correctly. Without proper training, the risk of operational errors during the import process is significantly elevated.</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8.3 Risk Summary</w:t>
      </w:r>
    </w:p>
    <w:p>
      <w:pPr>
        <w:spacing w:line="360" w:lineRule="auto" w:before="80" w:after="160"/>
        <w:ind w:firstLine="720"/>
        <w:jc w:val="both"/>
      </w:pPr>
      <w:r>
        <w:rPr>
          <w:rFonts w:ascii="Calibri" w:cs="Calibri" w:eastAsia="Calibri" w:hAnsi="Calibri"/>
          <w:sz w:val="24"/>
          <w:szCs w:val="24"/>
        </w:rPr>
        <w:t xml:space="preserve">The following table summarizes the key risks associated with the identified constraints and provides a brief description of the recommended mitigation strategy for each:</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2E5496" w:sz="1"/>
              <w:left w:val="single" w:color="2E5496" w:sz="1"/>
              <w:bottom w:val="single" w:color="2E5496" w:sz="1"/>
              <w:right w:val="single" w:color="2E5496" w:sz="1"/>
            </w:tcBorders>
            <w:shd w:fill="2E5496"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Risk</w:t>
            </w:r>
          </w:p>
        </w:tc>
        <w:tc>
          <w:tcPr>
            <w:tcW w:type="dxa" w:w="6248"/>
            <w:tcBorders>
              <w:top w:val="single" w:color="2E5496" w:sz="1"/>
              <w:left w:val="single" w:color="2E5496" w:sz="1"/>
              <w:bottom w:val="single" w:color="2E5496" w:sz="1"/>
              <w:right w:val="single" w:color="2E5496" w:sz="1"/>
            </w:tcBorders>
            <w:shd w:fill="2E5496"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Recommended Mitigation Strategy</w:t>
            </w:r>
          </w:p>
        </w:tc>
      </w:tr>
      <w:tr>
        <w:tc>
          <w:tcPr>
            <w:tcW w:type="dxa" w:w="34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Incorrect file format submitted for import</w:t>
            </w:r>
          </w:p>
        </w:tc>
        <w:tc>
          <w:tcPr>
            <w:tcW w:type="dxa" w:w="6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Maintain a standardized import file template and provide administrators with clear data preparation guidelines before each import cycle.</w:t>
            </w:r>
          </w:p>
        </w:tc>
      </w:tr>
      <w:tr>
        <w:tc>
          <w:tcPr>
            <w:tcW w:type="dxa" w:w="34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sz w:val="24"/>
                <w:szCs w:val="24"/>
              </w:rPr>
              <w:t xml:space="preserve">Reference field resolution failures</w:t>
            </w:r>
          </w:p>
        </w:tc>
        <w:tc>
          <w:tcPr>
            <w:tcW w:type="dxa" w:w="6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Ensure that all department and manager records are created in ServiceNow prior to importing employee data, and include data validation checks in the pre-import review process.</w:t>
            </w:r>
          </w:p>
        </w:tc>
      </w:tr>
      <w:tr>
        <w:tc>
          <w:tcPr>
            <w:tcW w:type="dxa" w:w="34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Unauthorized access to sensitive employee data</w:t>
            </w:r>
          </w:p>
        </w:tc>
        <w:tc>
          <w:tcPr>
            <w:tcW w:type="dxa" w:w="6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Apply the principle of least privilege by granting Import Set and Transform Map access only to authorized administrators, and conduct periodic access reviews.</w:t>
            </w:r>
          </w:p>
        </w:tc>
      </w:tr>
      <w:tr>
        <w:tc>
          <w:tcPr>
            <w:tcW w:type="dxa" w:w="34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r>
              <w:rPr>
                <w:rFonts w:ascii="Calibri" w:cs="Calibri" w:eastAsia="Calibri" w:hAnsi="Calibri"/>
                <w:b/>
                <w:bCs/>
                <w:sz w:val="24"/>
                <w:szCs w:val="24"/>
              </w:rPr>
              <w:t xml:space="preserve">Transform Map misconfiguration</w:t>
            </w:r>
          </w:p>
        </w:tc>
        <w:tc>
          <w:tcPr>
            <w:tcW w:type="dxa" w:w="62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sz w:val="24"/>
                <w:szCs w:val="24"/>
              </w:rPr>
              <w:t xml:space="preserve">Conduct thorough testing of all field mappings in a development or sandbox environment before deploying the Transform Map to production.</w:t>
            </w:r>
          </w:p>
        </w:tc>
      </w:tr>
      <w:tr>
        <w:tc>
          <w:tcPr>
            <w:tcW w:type="dxa" w:w="34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r>
              <w:rPr>
                <w:rFonts w:ascii="Calibri" w:cs="Calibri" w:eastAsia="Calibri" w:hAnsi="Calibri"/>
                <w:b/>
                <w:bCs/>
                <w:sz w:val="24"/>
                <w:szCs w:val="24"/>
              </w:rPr>
              <w:t xml:space="preserve">Import process failure on large datasets</w:t>
            </w:r>
          </w:p>
        </w:tc>
        <w:tc>
          <w:tcPr>
            <w:tcW w:type="dxa" w:w="62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sz w:val="24"/>
                <w:szCs w:val="24"/>
              </w:rPr>
              <w:t xml:space="preserve">Divide large employee data files into smaller batches for import, and schedule large-volume import operations during off-peak hours to minimize platform impact.</w:t>
            </w:r>
          </w:p>
        </w:tc>
      </w:tr>
    </w:tbl>
    <w:p>
      <w:pPr>
        <w:spacing w:before="200" w:after="80"/>
      </w:pPr>
      <w:r>
        <w:t xml:space="preserve"/>
      </w:r>
    </w:p>
    <w:p>
      <w:pPr>
        <w:pBdr>
          <w:bottom w:val="single" w:color="2E5496" w:sz="6" w:space="1"/>
        </w:pBdr>
        <w:spacing w:before="100" w:after="100"/>
      </w:pPr>
      <w:r>
        <w:t xml:space="preserve"/>
      </w:r>
    </w:p>
    <w:p>
      <w:pPr>
        <w:spacing w:before="80" w:after="80"/>
      </w:pPr>
      <w:r>
        <w:t xml:space="preserve"/>
      </w:r>
    </w:p>
    <w:p>
      <w:pPr>
        <w:spacing w:before="80" w:after="40"/>
        <w:jc w:val="center"/>
      </w:pPr>
      <w:r>
        <w:rPr>
          <w:rFonts w:ascii="Calibri" w:cs="Calibri" w:eastAsia="Calibri" w:hAnsi="Calibri"/>
          <w:i/>
          <w:iCs/>
          <w:color w:val="777777"/>
          <w:sz w:val="24"/>
          <w:szCs w:val="24"/>
        </w:rPr>
        <w:t xml:space="preserve">— End of Requirement Analysis Document —</w:t>
      </w:r>
    </w:p>
    <w:p>
      <w:pPr>
        <w:spacing w:before="40" w:after="80"/>
        <w:jc w:val="center"/>
      </w:pPr>
      <w:r>
        <w:rPr>
          <w:rFonts w:ascii="Calibri" w:cs="Calibri" w:eastAsia="Calibri" w:hAnsi="Calibri"/>
          <w:color w:val="999999"/>
          <w:sz w:val="18"/>
          <w:szCs w:val="18"/>
        </w:rPr>
        <w:t xml:space="preserve">2. Requirement Analysis  |  Automating Employee Data Import in ServiceNow  |  Version 1.0</w:t>
      </w:r>
    </w:p>
    <w:sectPr>
      <w:headerReference w:type="default" r:id="rId6"/>
      <w:footerReference w:type="default" r:id="rId7"/>
      <w:pgSz w:w="12240" w:h="15840" w:orient="portrait"/>
      <w:pgMar w:top="1440" w:right="1296" w:bottom="1440" w:left="129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spacing w:before="120" w:after="0"/>
      <w:jc w:val="center"/>
    </w:pPr>
    <w:r>
      <w:rPr>
        <w:rFonts w:ascii="Calibri" w:cs="Calibri" w:eastAsia="Calibri" w:hAnsi="Calibri"/>
        <w:color w:val="555555"/>
        <w:sz w:val="18"/>
        <w:szCs w:val="18"/>
      </w:rPr>
      <w:t xml:space="preserve">Page </w:t>
    </w:r>
    <w:fldSimple w:instr="[object Object]"/>
    <w:r>
      <w:rPr>
        <w:rFonts w:ascii="Calibri" w:cs="Calibri" w:eastAsia="Calibri" w:hAnsi="Calibri"/>
        <w:color w:val="555555"/>
        <w:sz w:val="18"/>
        <w:szCs w:val="18"/>
      </w:rPr>
      <w:t xml:space="preserve">   |   ServiceNow Project Documentation  —  Phase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before="0" w:after="120"/>
      <w:jc w:val="right"/>
    </w:pPr>
    <w:r>
      <w:rPr>
        <w:rFonts w:ascii="Calibri" w:cs="Calibri" w:eastAsia="Calibri" w:hAnsi="Calibri"/>
        <w:b/>
        <w:bCs/>
        <w:color w:val="1F3864"/>
        <w:sz w:val="18"/>
        <w:szCs w:val="18"/>
      </w:rPr>
      <w:t xml:space="preserve">2. Requirement Analysis  |  </w:t>
    </w:r>
    <w:r>
      <w:rPr>
        <w:rFonts w:ascii="Calibri" w:cs="Calibri" w:eastAsia="Calibri" w:hAnsi="Calibri"/>
        <w:color w:val="555555"/>
        <w:sz w:val="18"/>
        <w:szCs w:val="18"/>
      </w:rPr>
      <w:t xml:space="preserve">Automating Employee Data Import in ServiceNow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1F3864"/>
      <w:sz w:val="34"/>
      <w:szCs w:val="34"/>
    </w:rPr>
  </w:style>
  <w:style w:type="paragraph" w:styleId="Heading2">
    <w:name w:val="Heading 2"/>
    <w:basedOn w:val="Normal"/>
    <w:next w:val="Normal"/>
    <w:qFormat/>
    <w:pPr>
      <w:spacing w:before="300" w:after="140"/>
      <w:outlineLvl w:val="1"/>
    </w:pPr>
    <w:rPr>
      <w:rFonts w:ascii="Calibri" w:cs="Calibri" w:eastAsia="Calibri" w:hAnsi="Calibri"/>
      <w:b/>
      <w:bCs/>
      <w:color w:val="2E5496"/>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375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2026-03-09T07:52:20.472Z</dcterms:created>
  <dcterms:modified xsi:type="dcterms:W3CDTF">2026-03-09T07:52:20.473Z</dcterms:modified>
</cp:coreProperties>
</file>

<file path=docProps/custom.xml><?xml version="1.0" encoding="utf-8"?>
<Properties xmlns="http://schemas.openxmlformats.org/officeDocument/2006/custom-properties" xmlns:vt="http://schemas.openxmlformats.org/officeDocument/2006/docPropsVTypes"/>
</file>