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drawing>
          <wp:inline distT="0" distB="0" distL="0" distR="0">
            <wp:extent cx="190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762000"/>
                    </a:xfrm>
                    <a:prstGeom prst="rect">
                      <a:avLst/>
                    </a:prstGeom>
                  </pic:spPr>
                </pic:pic>
              </a:graphicData>
            </a:graphic>
          </wp:inline>
        </w:drawing>
      </w:r>
    </w:p>
    <w:p>
      <w:pPr>
        <w:spacing w:after="60" w:before="180"/>
      </w:pPr>
      <w:r>
        <w:rPr>
          <w:rFonts w:ascii="Georgia" w:cs="Georgia" w:eastAsia="Georgia" w:hAnsi="Georgia"/>
          <w:b/>
          <w:bCs/>
          <w:color w:val="0B182D"/>
          <w:sz w:val="56"/>
          <w:szCs w:val="56"/>
        </w:rPr>
        <w:t xml:space="preserve">Campaign Brief</w:t>
      </w:r>
    </w:p>
    <w:p>
      <w:pPr>
        <w:spacing w:after="420"/>
      </w:pPr>
      <w:r>
        <w:rPr>
          <w:rFonts w:ascii="Calibri" w:cs="Calibri" w:eastAsia="Calibri" w:hAnsi="Calibri"/>
          <w:i/>
          <w:iCs/>
          <w:color w:val="5A5F66"/>
          <w:sz w:val="24"/>
          <w:szCs w:val="24"/>
        </w:rPr>
        <w:t xml:space="preserve">One number, one audience, one belief - and how you will judge it, decided before launch</w:t>
      </w:r>
    </w:p>
    <w:p>
      <w:pPr>
        <w:pBdr>
          <w:top w:val="single" w:color="D8D2C4" w:sz="6" w:space="10"/>
        </w:pBdr>
        <w:spacing w:after="300"/>
      </w:pPr>
      <w:r>
        <w:rPr>
          <w:sz w:val="2"/>
          <w:szCs w:val="2"/>
        </w:rPr>
        <w:t xml:space="preserve"/>
      </w:r>
    </w:p>
    <w:p>
      <w:pPr>
        <w:spacing w:after="170" w:before="0" w:line="276"/>
      </w:pPr>
      <w:r>
        <w:rPr>
          <w:rFonts w:ascii="Calibri" w:cs="Calibri" w:eastAsia="Calibri" w:hAnsi="Calibri"/>
          <w:color w:val="1A1A1A"/>
          <w:sz w:val="21"/>
          <w:szCs w:val="21"/>
        </w:rPr>
        <w:t xml:space="preserve">Most campaigns I review went wrong before anything was made. Not in the creative or the targeting - in the brief. It asked for “awareness among SMBs”, or it listed eleven audiences, or it never said how anyone would know whether the campaign worked. So the read-out afterwards could say whatever the team needed it to say.</w:t>
      </w:r>
    </w:p>
    <w:p>
      <w:pPr>
        <w:spacing w:after="170" w:before="0" w:line="276"/>
      </w:pPr>
      <w:r>
        <w:rPr>
          <w:rFonts w:ascii="Calibri" w:cs="Calibri" w:eastAsia="Calibri" w:hAnsi="Calibri"/>
          <w:color w:val="1A1A1A"/>
          <w:sz w:val="21"/>
          <w:szCs w:val="21"/>
        </w:rPr>
        <w:t xml:space="preserve">A good brief makes three decisions before any money is spent: the one number the campaign moves; the one audience and the one thing you want them to believe; and how you will judge it, including what would make you stop. Everything else in this template follows from those three.</w:t>
      </w:r>
    </w:p>
    <w:p>
      <w:pPr>
        <w:spacing w:after="170" w:before="0" w:line="276"/>
      </w:pPr>
      <w:r>
        <w:rPr>
          <w:rFonts w:ascii="Calibri" w:cs="Calibri" w:eastAsia="Calibri" w:hAnsi="Calibri"/>
          <w:color w:val="1A1A1A"/>
          <w:sz w:val="21"/>
          <w:szCs w:val="21"/>
        </w:rPr>
        <w:t xml:space="preserve">Sections 1 to 5 are the strategy. Sections 6 to 8 are the plan. Section 9 is the version you hand to whoever makes the work. Section 10 is filled in afterwards, on the date you set before launch, and section 11 is the check before the brief goes out.</w:t>
      </w:r>
    </w:p>
    <w:p>
      <w:pPr>
        <w:pBdr>
          <w:left w:val="single" w:color="B26A00" w:sz="12" w:space="10"/>
        </w:pBdr>
        <w:spacing w:after="170" w:before="180" w:line="276"/>
        <w:ind w:left="260"/>
      </w:pPr>
      <w:r>
        <w:rPr>
          <w:rFonts w:ascii="Calibri" w:cs="Calibri" w:eastAsia="Calibri" w:hAnsi="Calibri"/>
          <w:b/>
          <w:bCs/>
          <w:color w:val="0B182D"/>
          <w:sz w:val="21"/>
          <w:szCs w:val="21"/>
        </w:rPr>
        <w:t xml:space="preserve">How this template is marked up. </w:t>
      </w:r>
      <w:r>
        <w:rPr>
          <w:rFonts w:ascii="Calibri" w:cs="Calibri" w:eastAsia="Calibri" w:hAnsi="Calibri"/>
          <w:color w:val="3A3F46"/>
          <w:sz w:val="21"/>
          <w:szCs w:val="21"/>
        </w:rPr>
        <w:t xml:space="preserve">Everything in this document is either an instruction or an example. Table rows and answers beginning “e.g.” are one worked example carried through the whole brief: Fieldnote, a scheduling app for small field-service businesses, running a campaign to heating and cooling contractors. Fieldnote is invented and so are its numbers. Delete those rows and write your own. Empty rows and ruled lines are yours to fill in. Text in [square brackets] is a placeholder.</w:t>
      </w:r>
    </w:p>
    <w:p>
      <w:r>
        <w:br w:type="page"/>
      </w:r>
    </w:p>
    <w:p>
      <w:pPr>
        <w:pStyle w:val="Heading1"/>
        <w:keepNext/>
        <w:spacing w:after="170" w:before="360"/>
      </w:pPr>
      <w:r>
        <w:rPr>
          <w:rFonts w:ascii="Georgia" w:cs="Georgia" w:eastAsia="Georgia" w:hAnsi="Georgia"/>
          <w:b/>
          <w:bCs/>
          <w:color w:val="0B182D"/>
          <w:sz w:val="30"/>
          <w:szCs w:val="30"/>
        </w:rPr>
        <w:t xml:space="preserve">1. The number this campaign moves</w:t>
      </w:r>
    </w:p>
    <w:p>
      <w:pPr>
        <w:keepNext/>
        <w:spacing w:after="170" w:before="0" w:line="276"/>
      </w:pPr>
      <w:r>
        <w:rPr>
          <w:rFonts w:ascii="Calibri" w:cs="Calibri" w:eastAsia="Calibri" w:hAnsi="Calibri"/>
          <w:color w:val="1A1A1A"/>
          <w:sz w:val="21"/>
          <w:szCs w:val="21"/>
        </w:rPr>
        <w:t xml:space="preserve">Start with the decision the campaign serves, not the deliverable. Name one business number, what it is today and where that figure came from, and what it should be by when. If there are two numbers, there are two campaigns.</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500"/>
        <w:gridCol w:w="3060"/>
        <w:gridCol w:w="2800"/>
      </w:tblGrid>
      <w:tr>
        <w:trPr>
          <w:tblHeader/>
        </w:trPr>
        <w:tc>
          <w:tcPr>
            <w:tcW w:type="dxa" w:w="35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The number, exactly defined</w:t>
            </w:r>
          </w:p>
        </w:tc>
        <w:tc>
          <w:tcPr>
            <w:tcW w:type="dxa" w:w="30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Today, and where that figure came from</w:t>
            </w:r>
          </w:p>
        </w:tc>
        <w:tc>
          <w:tcPr>
            <w:tcW w:type="dxa" w:w="28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Target, and by when</w:t>
            </w:r>
          </w:p>
        </w:tc>
      </w:tr>
      <w:tr>
        <w:trPr>
          <w:cantSplit/>
        </w:trPr>
        <w:tc>
          <w:tcPr>
            <w:tcW w:type="dxa" w:w="3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New paid accounts from heating and cooling contractors, per month</w:t>
            </w:r>
          </w:p>
        </w:tc>
        <w:tc>
          <w:tcPr>
            <w:tcW w:type="dxa" w:w="30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12 a month, average of June to August, from billing records</w:t>
            </w:r>
          </w:p>
        </w:tc>
        <w:tc>
          <w:tcPr>
            <w:tcW w:type="dxa" w:w="28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20 a month by the end of November</w:t>
            </w:r>
          </w:p>
        </w:tc>
      </w:tr>
      <w:tr>
        <w:trPr>
          <w:cantSplit/>
        </w:trPr>
        <w:tc>
          <w:tcPr>
            <w:tcW w:type="dxa" w:w="35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30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28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pBdr>
          <w:left w:val="single" w:color="B26A00" w:sz="12" w:space="10"/>
        </w:pBdr>
        <w:spacing w:after="170" w:before="80" w:line="272"/>
        <w:ind w:left="260"/>
      </w:pPr>
      <w:r>
        <w:rPr>
          <w:rFonts w:ascii="Calibri" w:cs="Calibri" w:eastAsia="Calibri" w:hAnsi="Calibri"/>
          <w:color w:val="3A3F46"/>
          <w:sz w:val="20"/>
          <w:szCs w:val="20"/>
        </w:rPr>
        <w:t xml:space="preserve">If the honest goal is awareness, name what awareness should change and how you will see it: branded search volume, the answers to “How did you hear about us?”, replies to outbound. “Raise awareness” with no number is how a campaign ends in a report nobody can disagree with.</w:t>
      </w:r>
    </w:p>
    <w:p>
      <w:pPr>
        <w:pStyle w:val="Heading1"/>
        <w:keepNext/>
        <w:spacing w:after="170" w:before="360"/>
      </w:pPr>
      <w:r>
        <w:rPr>
          <w:rFonts w:ascii="Georgia" w:cs="Georgia" w:eastAsia="Georgia" w:hAnsi="Georgia"/>
          <w:b/>
          <w:bCs/>
          <w:color w:val="0B182D"/>
          <w:sz w:val="30"/>
          <w:szCs w:val="30"/>
        </w:rPr>
        <w:t xml:space="preserve">2. Who it is for</w:t>
      </w:r>
    </w:p>
    <w:p>
      <w:pPr>
        <w:keepNext/>
        <w:spacing w:after="170" w:before="0" w:line="276"/>
      </w:pPr>
      <w:r>
        <w:rPr>
          <w:rFonts w:ascii="Calibri" w:cs="Calibri" w:eastAsia="Calibri" w:hAnsi="Calibri"/>
          <w:color w:val="1A1A1A"/>
          <w:sz w:val="21"/>
          <w:szCs w:val="21"/>
        </w:rPr>
        <w:t xml:space="preserve">One audience per brief, described so specifically that a salesperson could name ten of them. Then the three things most briefs leave out: what they do today instead of buying from you, what makes this month different for them, and where they already spend their attention.</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00"/>
        <w:gridCol w:w="3200"/>
        <w:gridCol w:w="3560"/>
      </w:tblGrid>
      <w:tr>
        <w:trPr>
          <w:tblHeader/>
        </w:trPr>
        <w:tc>
          <w:tcPr>
            <w:tcW w:type="dxa" w:w="2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Question</w:t>
            </w:r>
          </w:p>
        </w:tc>
        <w:tc>
          <w:tcPr>
            <w:tcW w:type="dxa" w:w="32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Why it matters</w:t>
            </w:r>
          </w:p>
        </w:tc>
        <w:tc>
          <w:tcPr>
            <w:tcW w:type="dxa" w:w="35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Your answer</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Who, exactly?</w:t>
            </w:r>
          </w:p>
        </w:tc>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 description you could build a list from, not a category.</w:t>
            </w:r>
          </w:p>
        </w:tc>
        <w:tc>
          <w:tcPr>
            <w:tcW w:type="dxa" w:w="35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Owners of heating and cooling businesses with 5 to 20 technicians, in the US</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do they use today instead?</w:t>
            </w:r>
          </w:p>
        </w:tc>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real alternative is usually a spreadsheet, a person or nothing - rarely a competitor.</w:t>
            </w:r>
          </w:p>
        </w:tc>
        <w:tc>
          <w:tcPr>
            <w:tcW w:type="dxa" w:w="35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A whiteboard and a group text; some use a spreadsheet</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Why now?</w:t>
            </w:r>
          </w:p>
        </w:tc>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trigger that makes this month different from last month.</w:t>
            </w:r>
          </w:p>
        </w:tc>
        <w:tc>
          <w:tcPr>
            <w:tcW w:type="dxa" w:w="35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The autumn rush: more calls than the whiteboard can handle</w:t>
            </w:r>
          </w:p>
        </w:tc>
      </w:tr>
      <w:tr>
        <w:trPr>
          <w:cantSplit/>
        </w:trPr>
        <w:tc>
          <w:tcPr>
            <w:tcW w:type="dxa" w:w="2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Where are they already?</w:t>
            </w:r>
          </w:p>
        </w:tc>
        <w:tc>
          <w:tcPr>
            <w:tcW w:type="dxa" w:w="32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Take it from what customers told you, not from assumption.</w:t>
            </w:r>
          </w:p>
        </w:tc>
        <w:tc>
          <w:tcPr>
            <w:tcW w:type="dxa" w:w="35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e.g. Two trade podcasts and a Facebook group, named most often in our signup answers</w:t>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3. The one thing we want them to believe</w:t>
      </w:r>
    </w:p>
    <w:p>
      <w:pPr>
        <w:keepNext/>
        <w:spacing w:after="170" w:before="0" w:line="276"/>
      </w:pPr>
      <w:r>
        <w:rPr>
          <w:rFonts w:ascii="Calibri" w:cs="Calibri" w:eastAsia="Calibri" w:hAnsi="Calibri"/>
          <w:color w:val="1A1A1A"/>
          <w:sz w:val="21"/>
          <w:szCs w:val="21"/>
        </w:rPr>
        <w:t xml:space="preserve">One sentence. If it needs “and”, pick one. Then list the reasons a sceptical buyer should believe it, and be honest about which ones they can check for themselves.</w:t>
      </w:r>
    </w:p>
    <w:p>
      <w:pPr>
        <w:keepNext/>
        <w:keepLines/>
        <w:shd w:fill="F6F1E7" w:color="auto" w:val="clear"/>
        <w:spacing w:after="0" w:line="276"/>
        <w:ind w:left="200" w:right="200"/>
      </w:pPr>
      <w:r>
        <w:rPr>
          <w:rFonts w:ascii="Calibri" w:cs="Calibri" w:eastAsia="Calibri" w:hAnsi="Calibri"/>
          <w:color w:val="1A1A1A"/>
          <w:sz w:val="20"/>
          <w:szCs w:val="20"/>
        </w:rPr>
        <w:t xml:space="preserve">[Audience] who [situation] should [action], because [the one thing we want them to believe].</w:t>
      </w:r>
    </w:p>
    <w:p>
      <w:pPr>
        <w:keepNext/>
        <w:keepLines/>
        <w:shd w:fill="F6F1E7" w:color="auto" w:val="clear"/>
        <w:spacing w:after="0" w:line="276"/>
        <w:ind w:left="200" w:right="200"/>
      </w:pPr>
      <w:r>
        <w:rPr>
          <w:rFonts w:ascii="Calibri" w:cs="Calibri" w:eastAsia="Calibri" w:hAnsi="Calibri"/>
          <w:color w:val="1A1A1A"/>
          <w:sz w:val="20"/>
          <w:szCs w:val="20"/>
        </w:rPr>
        <w:t xml:space="preserve"> </w:t>
      </w:r>
    </w:p>
    <w:p>
      <w:pPr>
        <w:keepNext w:val="false"/>
        <w:keepLines/>
        <w:shd w:fill="F6F1E7" w:color="auto" w:val="clear"/>
        <w:spacing w:after="0" w:line="276"/>
        <w:ind w:left="200" w:right="200"/>
      </w:pPr>
      <w:r>
        <w:rPr>
          <w:rFonts w:ascii="Calibri" w:cs="Calibri" w:eastAsia="Calibri" w:hAnsi="Calibri"/>
          <w:color w:val="1A1A1A"/>
          <w:sz w:val="20"/>
          <w:szCs w:val="20"/>
        </w:rPr>
        <w:t xml:space="preserve">e.g. Heating and cooling owners drowning in autumn calls should move their schedule into Fieldnote this week, because it takes an afternoon, not a project.</w:t>
      </w:r>
    </w:p>
    <w:p>
      <w:pPr>
        <w:spacing w:after="120" w:before="0" w:line="276"/>
      </w:pPr>
      <w:r>
        <w:rPr>
          <w:rFonts w:ascii="Calibri" w:cs="Calibri" w:eastAsia="Calibri" w:hAnsi="Calibri"/>
          <w:color w:val="1A1A1A"/>
          <w:sz w:val="8"/>
          <w:szCs w:val="8"/>
        </w:rPr>
        <w:t xml:space="preserve"/>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500"/>
        <w:gridCol w:w="2360"/>
        <w:gridCol w:w="3500"/>
      </w:tblGrid>
      <w:tr>
        <w:trPr>
          <w:tblHeader/>
        </w:trPr>
        <w:tc>
          <w:tcPr>
            <w:tcW w:type="dxa" w:w="35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Reason to believe</w:t>
            </w:r>
          </w:p>
        </w:tc>
        <w:tc>
          <w:tcPr>
            <w:tcW w:type="dxa" w:w="23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Can the buyer check it?</w:t>
            </w:r>
          </w:p>
        </w:tc>
        <w:tc>
          <w:tcPr>
            <w:tcW w:type="dxa" w:w="35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Where it comes from</w:t>
            </w:r>
          </w:p>
        </w:tc>
      </w:tr>
      <w:tr>
        <w:trPr>
          <w:cantSplit/>
        </w:trPr>
        <w:tc>
          <w:tcPr>
            <w:tcW w:type="dxa" w:w="3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Imports a spreadsheet schedule in one step</w:t>
            </w:r>
          </w:p>
        </w:tc>
        <w:tc>
          <w:tcPr>
            <w:tcW w:type="dxa" w:w="2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Yes - free trial, with the import on day one</w:t>
            </w:r>
          </w:p>
        </w:tc>
        <w:tc>
          <w:tcPr>
            <w:tcW w:type="dxa" w:w="3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The product itself</w:t>
            </w:r>
          </w:p>
        </w:tc>
      </w:tr>
      <w:tr>
        <w:trPr>
          <w:cantSplit/>
        </w:trPr>
        <w:tc>
          <w:tcPr>
            <w:tcW w:type="dxa" w:w="3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A contractor like them moved over in an afternoon</w:t>
            </w:r>
          </w:p>
        </w:tc>
        <w:tc>
          <w:tcPr>
            <w:tcW w:type="dxa" w:w="2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Yes, if they agree to a reference call</w:t>
            </w:r>
          </w:p>
        </w:tc>
        <w:tc>
          <w:tcPr>
            <w:tcW w:type="dxa" w:w="3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A named customer who has approved the quote in writing</w:t>
            </w:r>
          </w:p>
        </w:tc>
      </w:tr>
      <w:tr>
        <w:trPr>
          <w:cantSplit/>
        </w:trPr>
        <w:tc>
          <w:tcPr>
            <w:tcW w:type="dxa" w:w="35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23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35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pBdr>
          <w:left w:val="single" w:color="B26A00" w:sz="12" w:space="10"/>
        </w:pBdr>
        <w:spacing w:after="170" w:before="80" w:line="272"/>
        <w:ind w:left="260"/>
      </w:pPr>
      <w:r>
        <w:rPr>
          <w:rFonts w:ascii="Calibri" w:cs="Calibri" w:eastAsia="Calibri" w:hAnsi="Calibri"/>
          <w:color w:val="3A3F46"/>
          <w:sz w:val="20"/>
          <w:szCs w:val="20"/>
        </w:rPr>
        <w:t xml:space="preserve">A proof the buyer can check beats a claim they have to trust. Any figure in the campaign needs a source you could show on request - your own data with its definition, or a named published study - and every customer name or quote needs written permission for this use.</w:t>
      </w:r>
    </w:p>
    <w:p>
      <w:pPr>
        <w:pStyle w:val="Heading1"/>
        <w:keepNext/>
        <w:spacing w:after="170" w:before="360"/>
      </w:pPr>
      <w:r>
        <w:rPr>
          <w:rFonts w:ascii="Georgia" w:cs="Georgia" w:eastAsia="Georgia" w:hAnsi="Georgia"/>
          <w:b/>
          <w:bCs/>
          <w:color w:val="0B182D"/>
          <w:sz w:val="30"/>
          <w:szCs w:val="30"/>
        </w:rPr>
        <w:t xml:space="preserve">4. The offer and the ask</w:t>
      </w:r>
    </w:p>
    <w:p>
      <w:pPr>
        <w:keepNext/>
        <w:spacing w:after="170" w:before="0" w:line="276"/>
      </w:pPr>
      <w:r>
        <w:rPr>
          <w:rFonts w:ascii="Calibri" w:cs="Calibri" w:eastAsia="Calibri" w:hAnsi="Calibri"/>
          <w:color w:val="1A1A1A"/>
          <w:sz w:val="21"/>
          <w:szCs w:val="21"/>
        </w:rPr>
        <w:t xml:space="preserve">One action you want them to take, what they get for taking it, and whatever might stop them. The last line is the one briefs skip, and it is often where a campaign loses most of its people.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00"/>
        <w:gridCol w:w="6760"/>
      </w:tblGrid>
      <w:tr>
        <w:trPr>
          <w:tblHeader/>
        </w:trPr>
        <w:tc>
          <w:tcPr>
            <w:tcW w:type="dxa" w:w="2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
            </w:r>
          </w:p>
        </w:tc>
        <w:tc>
          <w:tcPr>
            <w:tcW w:type="dxa" w:w="67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Your answer</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one action</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Start a free trial and import the schedule</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they get for it</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The whole autumn schedule in one place by the end of the day</w:t>
            </w:r>
          </w:p>
        </w:tc>
      </w:tr>
      <w:tr>
        <w:trPr>
          <w:cantSplit/>
        </w:trPr>
        <w:tc>
          <w:tcPr>
            <w:tcW w:type="dxa" w:w="2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What could stop them</w:t>
            </w:r>
          </w:p>
        </w:tc>
        <w:tc>
          <w:tcPr>
            <w:tcW w:type="dxa" w:w="67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e.g. Fear of losing jobs during the switch: offer a call to help with the import</w:t>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5. Mandatories and no-gos</w:t>
      </w:r>
    </w:p>
    <w:p>
      <w:pPr>
        <w:keepNext/>
        <w:spacing w:after="170" w:before="0" w:line="276"/>
      </w:pPr>
      <w:r>
        <w:rPr>
          <w:rFonts w:ascii="Calibri" w:cs="Calibri" w:eastAsia="Calibri" w:hAnsi="Calibri"/>
          <w:color w:val="1A1A1A"/>
          <w:sz w:val="21"/>
          <w:szCs w:val="21"/>
        </w:rPr>
        <w:t xml:space="preserve">Write down what every piece must include and what none may say, and who checks each. These are the things that get a campaign pulled after launch when nobody wrote them down before it.</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600"/>
        <w:gridCol w:w="3400"/>
        <w:gridCol w:w="2360"/>
      </w:tblGrid>
      <w:tr>
        <w:trPr>
          <w:tblHeader/>
        </w:trPr>
        <w:tc>
          <w:tcPr>
            <w:tcW w:type="dxa" w:w="3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Mandatory or no-go</w:t>
            </w:r>
          </w:p>
        </w:tc>
        <w:tc>
          <w:tcPr>
            <w:tcW w:type="dxa" w:w="34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Why</w:t>
            </w:r>
          </w:p>
        </w:tc>
        <w:tc>
          <w:tcPr>
            <w:tcW w:type="dxa" w:w="23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Who checks it</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Voice: the rules in your brand voice guide</w:t>
            </w:r>
          </w:p>
        </w:tc>
        <w:tc>
          <w:tcPr>
            <w:tcW w:type="dxa" w:w="34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So it sounds like you, not like the category</w:t>
            </w:r>
          </w:p>
        </w:tc>
        <w:tc>
          <w:tcPr>
            <w:tcW w:type="dxa" w:w="2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Marketing lead</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Every figure has a source you could show</w:t>
            </w:r>
          </w:p>
        </w:tc>
        <w:tc>
          <w:tcPr>
            <w:tcW w:type="dxa" w:w="34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A claim a buyer can disprove costs more than it earns</w:t>
            </w:r>
          </w:p>
        </w:tc>
        <w:tc>
          <w:tcPr>
            <w:tcW w:type="dxa" w:w="2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Whoever approves the copy</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Paid creators disclose the relationship, with the post itself</w:t>
            </w:r>
          </w:p>
        </w:tc>
        <w:tc>
          <w:tcPr>
            <w:tcW w:type="dxa" w:w="34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In the US the FTC expects it, and expects brands to monitor it</w:t>
            </w:r>
          </w:p>
        </w:tc>
        <w:tc>
          <w:tcPr>
            <w:tcW w:type="dxa" w:w="2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Partnerships owner</w:t>
            </w:r>
          </w:p>
        </w:tc>
      </w:tr>
      <w:tr>
        <w:trPr>
          <w:cantSplit/>
        </w:trPr>
        <w:tc>
          <w:tcPr>
            <w:tcW w:type="dxa" w:w="3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Customer names, logos and quotes only with written permission</w:t>
            </w:r>
          </w:p>
        </w:tc>
        <w:tc>
          <w:tcPr>
            <w:tcW w:type="dxa" w:w="34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Permission is per use, not a general yes</w:t>
            </w:r>
          </w:p>
        </w:tc>
        <w:tc>
          <w:tcPr>
            <w:tcW w:type="dxa" w:w="2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Marketing lead</w:t>
            </w:r>
          </w:p>
        </w:tc>
      </w:tr>
      <w:tr>
        <w:trPr>
          <w:cantSplit/>
        </w:trPr>
        <w:tc>
          <w:tcPr>
            <w:tcW w:type="dxa" w:w="3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34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23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6. Channels and budget, worked backwards</w:t>
      </w:r>
    </w:p>
    <w:p>
      <w:pPr>
        <w:keepNext/>
        <w:spacing w:after="170" w:before="0" w:line="276"/>
      </w:pPr>
      <w:r>
        <w:rPr>
          <w:rFonts w:ascii="Calibri" w:cs="Calibri" w:eastAsia="Calibri" w:hAnsi="Calibri"/>
          <w:color w:val="1A1A1A"/>
          <w:sz w:val="21"/>
          <w:szCs w:val="21"/>
        </w:rPr>
        <w:t xml:space="preserve">Start from the target in section 1 and work back to what each channel has to deliver and what that will cost. If the channels do not add up to the target, change the target or the plan now, not after launch.</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300"/>
        <w:gridCol w:w="1500"/>
        <w:gridCol w:w="4560"/>
      </w:tblGrid>
      <w:tr>
        <w:trPr>
          <w:tblHeader/>
        </w:trPr>
        <w:tc>
          <w:tcPr>
            <w:tcW w:type="dxa" w:w="33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Channel and its job</w:t>
            </w:r>
          </w:p>
        </w:tc>
        <w:tc>
          <w:tcPr>
            <w:tcW w:type="dxa" w:w="15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Budget</w:t>
            </w:r>
          </w:p>
        </w:tc>
        <w:tc>
          <w:tcPr>
            <w:tcW w:type="dxa" w:w="45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What it must deliver, and the arithmetic</w:t>
            </w:r>
          </w:p>
        </w:tc>
      </w:tr>
      <w:tr>
        <w:trPr>
          <w:cantSplit/>
        </w:trPr>
        <w:tc>
          <w:tcPr>
            <w:tcW w:type="dxa" w:w="3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Sponsor the two trade podcasts - reach them where they already are</w:t>
            </w:r>
          </w:p>
        </w:tc>
        <w:tc>
          <w:tcPr>
            <w:tcW w:type="dxa" w:w="1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$3,000</w:t>
            </w:r>
          </w:p>
        </w:tc>
        <w:tc>
          <w:tcPr>
            <w:tcW w:type="dxa" w:w="45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Judged on signup answers naming the podcast; 3 new accounts would pay for it at our target cost</w:t>
            </w:r>
          </w:p>
        </w:tc>
      </w:tr>
      <w:tr>
        <w:trPr>
          <w:cantSplit/>
        </w:trPr>
        <w:tc>
          <w:tcPr>
            <w:tcW w:type="dxa" w:w="3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Paid search on scheduling-software terms - catch the ones already looking</w:t>
            </w:r>
          </w:p>
        </w:tc>
        <w:tc>
          <w:tcPr>
            <w:tcW w:type="dxa" w:w="15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$4,000</w:t>
            </w:r>
          </w:p>
        </w:tc>
        <w:tc>
          <w:tcPr>
            <w:tcW w:type="dxa" w:w="45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$4,000 at $50 per trial is 80 trials; at 10% trial to paid, 8 accounts</w:t>
            </w:r>
          </w:p>
        </w:tc>
      </w:tr>
      <w:tr>
        <w:trPr>
          <w:cantSplit/>
        </w:trPr>
        <w:tc>
          <w:tcPr>
            <w:tcW w:type="dxa" w:w="33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15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45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keepNext/>
        <w:spacing w:after="110" w:before="60" w:line="276"/>
      </w:pPr>
      <w:r>
        <w:rPr>
          <w:rFonts w:ascii="Calibri" w:cs="Calibri" w:eastAsia="Calibri" w:hAnsi="Calibri"/>
          <w:b/>
          <w:bCs/>
          <w:color w:val="1A1A1A"/>
          <w:sz w:val="21"/>
          <w:szCs w:val="21"/>
        </w:rPr>
        <w:t xml:space="preserve">Do the channels add up to the target in section 1? If not, what changes?</w:t>
      </w:r>
    </w:p>
    <w:tbl>
      <w:tblPr>
        <w:tblW w:type="dxa" w:w="9360"/>
        <w:tblBorders>
          <w:top w:val="none" w:color="FFFFFF" w:sz="0"/>
          <w:left w:val="none" w:color="FFFFFF" w:sz="0"/>
          <w:bottom w:val="single" w:color="D8D2C4" w:sz="4"/>
          <w:right w:val="none" w:color="FFFFFF" w:sz="0"/>
          <w:insideH w:val="single" w:color="D8D2C4" w:sz="4"/>
          <w:insideV w:val="none" w:color="FFFFFF" w:sz="0"/>
        </w:tblBorders>
      </w:tblPr>
      <w:tblGrid>
        <w:gridCol w:w="9360"/>
      </w:tblGrid>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7. How we will judge it - decided before launch</w:t>
      </w:r>
    </w:p>
    <w:p>
      <w:pPr>
        <w:keepNext/>
        <w:spacing w:after="170" w:before="0" w:line="276"/>
      </w:pPr>
      <w:r>
        <w:rPr>
          <w:rFonts w:ascii="Calibri" w:cs="Calibri" w:eastAsia="Calibri" w:hAnsi="Calibri"/>
          <w:color w:val="1A1A1A"/>
          <w:sz w:val="21"/>
          <w:szCs w:val="21"/>
        </w:rPr>
        <w:t xml:space="preserve">Write the measurement down now, while nobody is invested in the answer. After launch, every campaign finds a reason to keep going.</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000"/>
        <w:gridCol w:w="6360"/>
      </w:tblGrid>
      <w:tr>
        <w:trPr>
          <w:tblHeader/>
        </w:trPr>
        <w:tc>
          <w:tcPr>
            <w:tcW w:type="dxa" w:w="30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Decision</w:t>
            </w:r>
          </w:p>
        </w:tc>
        <w:tc>
          <w:tcPr>
            <w:tcW w:type="dxa" w:w="63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Your answer</w:t>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one metric, exactly defined</w:t>
            </w:r>
          </w:p>
        </w:tc>
        <w:tc>
          <w:tcPr>
            <w:tcW w:type="dxa" w:w="6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New paid accounts from contractors, counted at the first payment</w:t>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How it is measured</w:t>
            </w:r>
          </w:p>
        </w:tc>
        <w:tc>
          <w:tcPr>
            <w:tcW w:type="dxa" w:w="6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Tagged links on every placement, plus the open “How did you hear about us?” field at signup</w:t>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you compare against</w:t>
            </w:r>
          </w:p>
        </w:tc>
        <w:tc>
          <w:tcPr>
            <w:tcW w:type="dxa" w:w="6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The June to August baseline. Weakness: autumn is busier anyway, so the same months last year are checked too</w:t>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number that means it worked</w:t>
            </w:r>
          </w:p>
        </w:tc>
        <w:tc>
          <w:tcPr>
            <w:tcW w:type="dxa" w:w="6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20 a month in November</w:t>
            </w:r>
          </w:p>
        </w:tc>
      </w:tr>
      <w:tr>
        <w:trPr>
          <w:cantSplit/>
        </w:trPr>
        <w:tc>
          <w:tcPr>
            <w:tcW w:type="dxa" w:w="30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would make you stop or change</w:t>
            </w:r>
          </w:p>
        </w:tc>
        <w:tc>
          <w:tcPr>
            <w:tcW w:type="dxa" w:w="63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By the end of week 3, fewer than 20 trials from the podcasts: move that budget to search</w:t>
            </w:r>
          </w:p>
        </w:tc>
      </w:tr>
      <w:tr>
        <w:trPr>
          <w:cantSplit/>
        </w:trPr>
        <w:tc>
          <w:tcPr>
            <w:tcW w:type="dxa" w:w="30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The one date you read it</w:t>
            </w:r>
          </w:p>
        </w:tc>
        <w:tc>
          <w:tcPr>
            <w:tcW w:type="dxa" w:w="63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e.g. 5 December. Weekly checks are for delivery and spend only, not results</w:t>
            </w:r>
          </w:p>
        </w:tc>
      </w:tr>
    </w:tbl>
    <w:p>
      <w:pPr>
        <w:spacing w:after="60" w:before="0" w:line="276"/>
      </w:pPr>
      <w:r>
        <w:rPr>
          <w:rFonts w:ascii="Calibri" w:cs="Calibri" w:eastAsia="Calibri" w:hAnsi="Calibri"/>
          <w:color w:val="1A1A1A"/>
          <w:sz w:val="8"/>
          <w:szCs w:val="8"/>
        </w:rPr>
        <w:t xml:space="preserve"/>
      </w:r>
    </w:p>
    <w:p>
      <w:pPr>
        <w:pBdr>
          <w:left w:val="single" w:color="B26A00" w:sz="12" w:space="10"/>
        </w:pBdr>
        <w:spacing w:after="170" w:before="80" w:line="272"/>
        <w:ind w:left="260"/>
      </w:pPr>
      <w:r>
        <w:rPr>
          <w:rFonts w:ascii="Calibri" w:cs="Calibri" w:eastAsia="Calibri" w:hAnsi="Calibri"/>
          <w:color w:val="3A3F46"/>
          <w:sz w:val="20"/>
          <w:szCs w:val="20"/>
        </w:rPr>
        <w:t xml:space="preserve">Pick the comparison deliberately and write down its weakness. A baseline from quieter months flatters a busy-season campaign; a holdout group, a region you leave out, or the same period last year are all stronger, and each has its own flaw.</w:t>
      </w:r>
    </w:p>
    <w:p>
      <w:pPr>
        <w:pStyle w:val="Heading1"/>
        <w:keepNext/>
        <w:spacing w:after="170" w:before="360"/>
      </w:pPr>
      <w:r>
        <w:rPr>
          <w:rFonts w:ascii="Georgia" w:cs="Georgia" w:eastAsia="Georgia" w:hAnsi="Georgia"/>
          <w:b/>
          <w:bCs/>
          <w:color w:val="0B182D"/>
          <w:sz w:val="30"/>
          <w:szCs w:val="30"/>
        </w:rPr>
        <w:t xml:space="preserve">8. Timeline, owners and one approver</w:t>
      </w:r>
    </w:p>
    <w:p>
      <w:pPr>
        <w:keepNext/>
        <w:spacing w:after="170" w:before="0" w:line="276"/>
      </w:pPr>
      <w:r>
        <w:rPr>
          <w:rFonts w:ascii="Calibri" w:cs="Calibri" w:eastAsia="Calibri" w:hAnsi="Calibri"/>
          <w:color w:val="1A1A1A"/>
          <w:sz w:val="21"/>
          <w:szCs w:val="21"/>
        </w:rPr>
        <w:t xml:space="preserve">Every milestone gets one owner. The brief gets one approver - with three, a brief is approved by whoever replies last.</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5160"/>
        <w:gridCol w:w="1900"/>
        <w:gridCol w:w="2300"/>
      </w:tblGrid>
      <w:tr>
        <w:trPr>
          <w:tblHeader/>
        </w:trPr>
        <w:tc>
          <w:tcPr>
            <w:tcW w:type="dxa" w:w="51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Milestone</w:t>
            </w:r>
          </w:p>
        </w:tc>
        <w:tc>
          <w:tcPr>
            <w:tcW w:type="dxa" w:w="19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Date</w:t>
            </w:r>
          </w:p>
        </w:tc>
        <w:tc>
          <w:tcPr>
            <w:tcW w:type="dxa" w:w="23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Owner</w:t>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Brief approved</w:t>
            </w:r>
          </w:p>
        </w:tc>
        <w:tc>
          <w:tcPr>
            <w:tcW w:type="dxa" w:w="19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First round of creative</w:t>
            </w:r>
          </w:p>
        </w:tc>
        <w:tc>
          <w:tcPr>
            <w:tcW w:type="dxa" w:w="19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Tracking tested end to end, from ad click to the metric in section 7</w:t>
            </w:r>
          </w:p>
        </w:tc>
        <w:tc>
          <w:tcPr>
            <w:tcW w:type="dxa" w:w="19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Launch</w:t>
            </w:r>
          </w:p>
        </w:tc>
        <w:tc>
          <w:tcPr>
            <w:tcW w:type="dxa" w:w="19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Mid-point check: delivery and spend only</w:t>
            </w:r>
          </w:p>
        </w:tc>
        <w:tc>
          <w:tcPr>
            <w:tcW w:type="dxa" w:w="19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5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Read date (section 7)</w:t>
            </w:r>
          </w:p>
        </w:tc>
        <w:tc>
          <w:tcPr>
            <w:tcW w:type="dxa" w:w="19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51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Read-out shared (section 10)</w:t>
            </w:r>
          </w:p>
        </w:tc>
        <w:tc>
          <w:tcPr>
            <w:tcW w:type="dxa" w:w="19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c>
          <w:tcPr>
            <w:tcW w:type="dxa" w:w="23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keepNext/>
        <w:spacing w:after="110" w:before="60" w:line="276"/>
      </w:pPr>
      <w:r>
        <w:rPr>
          <w:rFonts w:ascii="Calibri" w:cs="Calibri" w:eastAsia="Calibri" w:hAnsi="Calibri"/>
          <w:b/>
          <w:bCs/>
          <w:color w:val="1A1A1A"/>
          <w:sz w:val="21"/>
          <w:szCs w:val="21"/>
        </w:rPr>
        <w:t xml:space="preserve">Approver</w:t>
      </w:r>
    </w:p>
    <w:tbl>
      <w:tblPr>
        <w:tblW w:type="dxa" w:w="9360"/>
        <w:tblBorders>
          <w:top w:val="none" w:color="FFFFFF" w:sz="0"/>
          <w:left w:val="none" w:color="FFFFFF" w:sz="0"/>
          <w:bottom w:val="single" w:color="D8D2C4" w:sz="4"/>
          <w:right w:val="none" w:color="FFFFFF" w:sz="0"/>
          <w:insideH w:val="single" w:color="D8D2C4" w:sz="4"/>
          <w:insideV w:val="none" w:color="FFFFFF" w:sz="0"/>
        </w:tblBorders>
      </w:tblPr>
      <w:tblGrid>
        <w:gridCol w:w="9360"/>
      </w:tblGrid>
      <w:tr>
        <w:trPr>
          <w:cantSplit/>
          <w:trHeight w:val="460" w:hRule="atLeast"/>
        </w:trPr>
        <w:tc>
          <w:tcPr>
            <w:tcW w:type="dxa" w:w="9360"/>
            <w:tcMar>
              <w:top w:type="dxa" w:w="40"/>
              <w:left w:type="dxa" w:w="0"/>
              <w:bottom w:type="dxa" w:w="40"/>
              <w:right w:type="dxa" w:w="0"/>
            </w:tcMar>
          </w:tcPr>
          <w:p>
            <w:pPr>
              <w:spacing w:after="0"/>
            </w:pPr>
            <w:r>
              <w:rPr>
                <w:sz w:val="21"/>
                <w:szCs w:val="21"/>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9. The creative brief</w:t>
      </w:r>
    </w:p>
    <w:p>
      <w:pPr>
        <w:keepNext/>
        <w:spacing w:after="170" w:before="0" w:line="276"/>
      </w:pPr>
      <w:r>
        <w:rPr>
          <w:rFonts w:ascii="Calibri" w:cs="Calibri" w:eastAsia="Calibri" w:hAnsi="Calibri"/>
          <w:color w:val="1A1A1A"/>
          <w:sz w:val="21"/>
          <w:szCs w:val="21"/>
        </w:rPr>
        <w:t xml:space="preserve">The version for whoever makes the work - designer, writer, agency or creator. It should fit on this page. If the maker asks what the campaign is about and the answer takes more than a sentence, go back to section 3.</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2600"/>
        <w:gridCol w:w="6760"/>
      </w:tblGrid>
      <w:tr>
        <w:trPr>
          <w:tblHeader/>
        </w:trPr>
        <w:tc>
          <w:tcPr>
            <w:tcW w:type="dxa" w:w="26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
            </w:r>
          </w:p>
        </w:tc>
        <w:tc>
          <w:tcPr>
            <w:tcW w:type="dxa" w:w="67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Your answer</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one thing to believe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Moving your schedule to Fieldnote takes an afternoon, not a project</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Who it is for, in one line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Heating and cooling owners in the autumn rush</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Tone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Plain and practical, like a peer who has been through it. See the brand voice guide</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Formats and specs</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30-second podcast read; two search ads; one landing page</w:t>
            </w:r>
          </w:p>
        </w:tc>
      </w:tr>
      <w:tr>
        <w:trPr>
          <w:cantSplit/>
        </w:trPr>
        <w:tc>
          <w:tcPr>
            <w:tcW w:type="dxa" w:w="26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Must include</w:t>
            </w:r>
          </w:p>
        </w:tc>
        <w:tc>
          <w:tcPr>
            <w:tcW w:type="dxa" w:w="67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e.g. The free import; the offer of help with the switch</w:t>
            </w:r>
          </w:p>
        </w:tc>
      </w:tr>
      <w:tr>
        <w:trPr>
          <w:cantSplit/>
        </w:trPr>
        <w:tc>
          <w:tcPr>
            <w:tcW w:type="dxa" w:w="26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What good looks like</w:t>
            </w:r>
          </w:p>
        </w:tc>
        <w:tc>
          <w:tcPr>
            <w:tcW w:type="dxa" w:w="67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e.g. One piece you admire, and why</w:t>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10. The read-out</w:t>
      </w:r>
    </w:p>
    <w:p>
      <w:pPr>
        <w:keepNext/>
        <w:spacing w:after="170" w:before="0" w:line="276"/>
      </w:pPr>
      <w:r>
        <w:rPr>
          <w:rFonts w:ascii="Calibri" w:cs="Calibri" w:eastAsia="Calibri" w:hAnsi="Calibri"/>
          <w:color w:val="1A1A1A"/>
          <w:sz w:val="21"/>
          <w:szCs w:val="21"/>
        </w:rPr>
        <w:t xml:space="preserve">Filled in on the read date from section 7, against the numbers written before launch. It is a short document on purpose: what happened, what else was going on, what you learned, and the decision.</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3200"/>
        <w:gridCol w:w="6160"/>
      </w:tblGrid>
      <w:tr>
        <w:trPr>
          <w:tblHeader/>
        </w:trPr>
        <w:tc>
          <w:tcPr>
            <w:tcW w:type="dxa" w:w="32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
            </w:r>
          </w:p>
        </w:tc>
        <w:tc>
          <w:tcPr>
            <w:tcW w:type="dxa" w:w="61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Result</w:t>
            </w:r>
          </w:p>
        </w:tc>
      </w:tr>
      <w:tr>
        <w:trPr>
          <w:cantSplit/>
        </w:trPr>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metric against today's figure and the target</w:t>
            </w:r>
          </w:p>
        </w:tc>
        <w:tc>
          <w:tcPr>
            <w:tcW w:type="dxa" w:w="6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else changed in the period (pricing, seasonality, other campaigns)</w:t>
            </w:r>
          </w:p>
        </w:tc>
        <w:tc>
          <w:tcPr>
            <w:tcW w:type="dxa" w:w="6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the “How did you hear about us?” answers said</w:t>
            </w:r>
          </w:p>
        </w:tc>
        <w:tc>
          <w:tcPr>
            <w:tcW w:type="dxa" w:w="6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What we learned, in one sentence</w:t>
            </w:r>
          </w:p>
        </w:tc>
        <w:tc>
          <w:tcPr>
            <w:tcW w:type="dxa" w:w="6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32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The decision: scale, change or stop</w:t>
            </w:r>
          </w:p>
        </w:tc>
        <w:tc>
          <w:tcPr>
            <w:tcW w:type="dxa" w:w="61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spacing w:after="200" w:before="100" w:line="276"/>
      </w:pPr>
      <w:r>
        <w:rPr>
          <w:rFonts w:ascii="Calibri" w:cs="Calibri" w:eastAsia="Calibri" w:hAnsi="Calibri"/>
          <w:i/>
          <w:iCs/>
          <w:color w:val="5A5F66"/>
          <w:sz w:val="20"/>
          <w:szCs w:val="20"/>
        </w:rPr>
        <w:t xml:space="preserve">A campaign that missed its number and taught you something specific is a result. A campaign read out without the number written down beforehand is not, whatever it shows.</w:t>
      </w:r>
    </w:p>
    <w:p>
      <w:pPr>
        <w:pStyle w:val="Heading1"/>
        <w:keepNext/>
        <w:spacing w:after="170" w:before="360"/>
      </w:pPr>
      <w:r>
        <w:rPr>
          <w:rFonts w:ascii="Georgia" w:cs="Georgia" w:eastAsia="Georgia" w:hAnsi="Georgia"/>
          <w:b/>
          <w:bCs/>
          <w:color w:val="0B182D"/>
          <w:sz w:val="30"/>
          <w:szCs w:val="30"/>
        </w:rPr>
        <w:t xml:space="preserve">11. Before you send this brief</w:t>
      </w:r>
    </w:p>
    <w:p>
      <w:pPr>
        <w:keepNext/>
        <w:spacing w:after="170" w:before="0" w:line="276"/>
      </w:pPr>
      <w:r>
        <w:rPr>
          <w:rFonts w:ascii="Calibri" w:cs="Calibri" w:eastAsia="Calibri" w:hAnsi="Calibri"/>
          <w:color w:val="1A1A1A"/>
          <w:sz w:val="21"/>
          <w:szCs w:val="21"/>
        </w:rPr>
        <w:t xml:space="preserve">Check the brief in front of you, not the one you meant to write.</w:t>
      </w:r>
    </w:p>
    <w:tbl>
      <w:tblPr>
        <w:tblW w:type="dxa" w:w="9360"/>
        <w:tblBorders>
          <w:top w:val="single" w:color="D8D2C4" w:sz="4"/>
          <w:left w:val="single" w:color="D8D2C4" w:sz="4"/>
          <w:bottom w:val="single" w:color="D8D2C4" w:sz="4"/>
          <w:right w:val="single" w:color="D8D2C4" w:sz="4"/>
          <w:insideH w:val="single" w:color="D8D2C4" w:sz="4"/>
          <w:insideV w:val="single" w:color="D8D2C4" w:sz="4"/>
        </w:tblBorders>
      </w:tblPr>
      <w:tblGrid>
        <w:gridCol w:w="8160"/>
        <w:gridCol w:w="1200"/>
      </w:tblGrid>
      <w:tr>
        <w:trPr>
          <w:tblHeader/>
        </w:trPr>
        <w:tc>
          <w:tcPr>
            <w:tcW w:type="dxa" w:w="816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Check</w:t>
            </w:r>
          </w:p>
        </w:tc>
        <w:tc>
          <w:tcPr>
            <w:tcW w:type="dxa" w:w="1200"/>
            <w:shd w:fill="F6F1E7" w:color="auto" w:val="clear"/>
            <w:tcMar>
              <w:top w:type="dxa" w:w="90"/>
              <w:left w:type="dxa" w:w="130"/>
              <w:bottom w:type="dxa" w:w="90"/>
              <w:right w:type="dxa" w:w="130"/>
            </w:tcMar>
          </w:tcPr>
          <w:p>
            <w:pPr>
              <w:keepNext/>
              <w:keepLines/>
              <w:spacing w:after="0" w:line="264"/>
            </w:pPr>
            <w:r>
              <w:rPr>
                <w:rFonts w:ascii="Calibri" w:cs="Calibri" w:eastAsia="Calibri" w:hAnsi="Calibri"/>
                <w:b/>
                <w:bCs/>
                <w:color w:val="0B182D"/>
                <w:sz w:val="19"/>
                <w:szCs w:val="19"/>
              </w:rPr>
              <w:t xml:space="preserve">Done</w:t>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One number, with today's figure, its source and a date</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One audience, specific enough to name ten of them</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One thing we want them to believe, in a sentence without “and”</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Every reason to believe is something the buyer can check, or has a source</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channels add up to the target</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The metric, the comparison, the threshold, the stop rule and the read date are written down</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One owner per milestone and one approver</w:t>
            </w:r>
          </w:p>
        </w:tc>
        <w:tc>
          <w:tcPr>
            <w:tcW w:type="dxa" w:w="1200"/>
            <w:tcMar>
              <w:top w:type="dxa" w:w="90"/>
              <w:left w:type="dxa" w:w="130"/>
              <w:bottom w:type="dxa" w:w="90"/>
              <w:right w:type="dxa" w:w="130"/>
            </w:tcMar>
          </w:tcPr>
          <w:p>
            <w:pPr>
              <w:keepNext/>
              <w:keepLines/>
              <w:spacing w:after="0" w:line="264"/>
            </w:pPr>
            <w:r>
              <w:rPr>
                <w:rFonts w:ascii="Calibri" w:cs="Calibri" w:eastAsia="Calibri" w:hAnsi="Calibri"/>
                <w:b w:val="false"/>
                <w:bCs w:val="false"/>
                <w:color w:val="1A1A1A"/>
                <w:sz w:val="19"/>
                <w:szCs w:val="19"/>
              </w:rPr>
              <w:t xml:space="preserve"/>
            </w:r>
          </w:p>
        </w:tc>
      </w:tr>
      <w:tr>
        <w:trPr>
          <w:cantSplit/>
        </w:trPr>
        <w:tc>
          <w:tcPr>
            <w:tcW w:type="dxa" w:w="816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Tracking will be tested end to end before launch</w:t>
            </w:r>
          </w:p>
        </w:tc>
        <w:tc>
          <w:tcPr>
            <w:tcW w:type="dxa" w:w="1200"/>
            <w:tcMar>
              <w:top w:type="dxa" w:w="90"/>
              <w:left w:type="dxa" w:w="130"/>
              <w:bottom w:type="dxa" w:w="90"/>
              <w:right w:type="dxa" w:w="130"/>
            </w:tcMar>
          </w:tcPr>
          <w:p>
            <w:pPr>
              <w:keepNext w:val="false"/>
              <w:keepLines/>
              <w:spacing w:after="0" w:line="264"/>
            </w:pPr>
            <w:r>
              <w:rPr>
                <w:rFonts w:ascii="Calibri" w:cs="Calibri" w:eastAsia="Calibri" w:hAnsi="Calibri"/>
                <w:b w:val="false"/>
                <w:bCs w:val="false"/>
                <w:color w:val="1A1A1A"/>
                <w:sz w:val="19"/>
                <w:szCs w:val="19"/>
              </w:rPr>
              <w:t xml:space="preserve"/>
            </w:r>
          </w:p>
        </w:tc>
      </w:tr>
    </w:tbl>
    <w:p>
      <w:pPr>
        <w:spacing w:after="60" w:before="0" w:line="276"/>
      </w:pPr>
      <w:r>
        <w:rPr>
          <w:rFonts w:ascii="Calibri" w:cs="Calibri" w:eastAsia="Calibri" w:hAnsi="Calibri"/>
          <w:color w:val="1A1A1A"/>
          <w:sz w:val="8"/>
          <w:szCs w:val="8"/>
        </w:rPr>
        <w:t xml:space="preserve"/>
      </w:r>
    </w:p>
    <w:p>
      <w:pPr>
        <w:pStyle w:val="Heading1"/>
        <w:keepNext/>
        <w:spacing w:after="170" w:before="360"/>
      </w:pPr>
      <w:r>
        <w:rPr>
          <w:rFonts w:ascii="Georgia" w:cs="Georgia" w:eastAsia="Georgia" w:hAnsi="Georgia"/>
          <w:b/>
          <w:bCs/>
          <w:color w:val="0B182D"/>
          <w:sz w:val="30"/>
          <w:szCs w:val="30"/>
        </w:rPr>
        <w:t xml:space="preserve">12. Run it with your agent</w:t>
      </w:r>
    </w:p>
    <w:p>
      <w:pPr>
        <w:spacing w:after="150" w:before="0" w:line="276"/>
      </w:pPr>
      <w:r>
        <w:rPr>
          <w:rFonts w:ascii="Calibri" w:cs="Calibri" w:eastAsia="Calibri" w:hAnsi="Calibri"/>
          <w:color w:val="1A1A1A"/>
          <w:sz w:val="21"/>
          <w:szCs w:val="21"/>
        </w:rPr>
        <w:t xml:space="preserve">The same method runs as the free AAJ agent skill campaign-orchestrator. Describe the goal and it works out which problem you actually have, then runs Diagnose, Design and Execute in order, calling the other AAJ skills as each step needs them.</w:t>
      </w:r>
    </w:p>
    <w:p>
      <w:pPr>
        <w:spacing w:after="150" w:before="0" w:line="276"/>
      </w:pPr>
      <w:r>
        <w:rPr>
          <w:rFonts w:ascii="Calibri" w:cs="Calibri" w:eastAsia="Calibri" w:hAnsi="Calibri"/>
          <w:color w:val="1A1A1A"/>
          <w:sz w:val="21"/>
          <w:szCs w:val="21"/>
        </w:rPr>
        <w:t xml:space="preserve">Install it into any agent that supports skills:</w:t>
      </w:r>
    </w:p>
    <w:p>
      <w:pPr>
        <w:shd w:fill="F4F4F2" w:color="auto" w:val="clear"/>
        <w:spacing w:after="200" w:line="260"/>
        <w:ind w:left="200" w:right="200"/>
      </w:pPr>
      <w:r>
        <w:rPr>
          <w:rFonts w:ascii="Consolas" w:cs="Consolas" w:eastAsia="Consolas" w:hAnsi="Consolas"/>
          <w:color w:val="1A1A1A"/>
          <w:sz w:val="18"/>
          <w:szCs w:val="18"/>
        </w:rPr>
        <w:t xml:space="preserve">npx skills add sarojkjha/aaj-marketing-skills --skill campaign-orchestrator</w:t>
      </w:r>
    </w:p>
    <w:p>
      <w:pPr>
        <w:spacing w:after="110" w:before="0" w:line="276"/>
      </w:pPr>
      <w:r>
        <w:rPr>
          <w:rFonts w:ascii="Calibri" w:cs="Calibri" w:eastAsia="Calibri" w:hAnsi="Calibri"/>
          <w:color w:val="5A5F66"/>
          <w:sz w:val="20"/>
          <w:szCs w:val="20"/>
        </w:rPr>
        <w:t xml:space="preserve">The skill: skills.aajconsult.com/skills/campaign-orchestrator</w:t>
      </w:r>
    </w:p>
    <w:p>
      <w:pPr>
        <w:spacing w:after="110" w:before="0" w:line="276"/>
      </w:pPr>
      <w:r>
        <w:rPr>
          <w:rFonts w:ascii="Calibri" w:cs="Calibri" w:eastAsia="Calibri" w:hAnsi="Calibri"/>
          <w:color w:val="5A5F66"/>
          <w:sz w:val="20"/>
          <w:szCs w:val="20"/>
        </w:rPr>
        <w:t xml:space="preserve">Working the budget backwards by channel: aajconsult.com/tools/paid-media-budget-allocator</w:t>
      </w:r>
    </w:p>
    <w:p>
      <w:pPr>
        <w:spacing w:after="110" w:before="0" w:line="276"/>
      </w:pPr>
      <w:r>
        <w:rPr>
          <w:rFonts w:ascii="Calibri" w:cs="Calibri" w:eastAsia="Calibri" w:hAnsi="Calibri"/>
          <w:color w:val="5A5F66"/>
          <w:sz w:val="20"/>
          <w:szCs w:val="20"/>
        </w:rPr>
        <w:t xml:space="preserve">Coding the “How did you hear about us?” answers: aajconsult.com/tools/self-reported-attribution-coder</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spacing w:before="120"/>
    </w:pPr>
    <w:r>
      <w:rPr>
        <w:rFonts w:ascii="Calibri" w:cs="Calibri" w:eastAsia="Calibri" w:hAnsi="Calibri"/>
        <w:color w:val="5A5F66"/>
        <w:sz w:val="16"/>
        <w:szCs w:val="16"/>
      </w:rPr>
      <w:t xml:space="preserve">aajconsult.com</w:t>
    </w:r>
    <w:r>
      <w:tab/>
    </w:r>
    <w:r>
      <w:drawing>
        <wp:inline distT="0" distB="0" distL="0" distR="0">
          <wp:extent cx="438150" cy="175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175260"/>
                  </a:xfrm>
                  <a:prstGeom prst="rect">
                    <a:avLst/>
                  </a:prstGeom>
                </pic:spPr>
              </pic:pic>
            </a:graphicData>
          </a:graphic>
        </wp:inline>
      </w:drawing>
    </w:r>
    <w:r>
      <w:tab/>
    </w:r>
    <w:r>
      <w:rPr>
        <w:rFonts w:ascii="Calibri" w:cs="Calibri" w:eastAsia="Calibri" w:hAnsi="Calibri"/>
        <w:color w:val="5A5F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7c38ca0086d931005d2abfb646ef07e3459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752e78ba8b4303c4f3fe4578d6e7c0303a49ae0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Brief</dc:title>
  <dc:creator>AAJ</dc:creator>
  <cp:lastModifiedBy>Un-named</cp:lastModifiedBy>
  <cp:revision>1</cp:revision>
  <dcterms:created xsi:type="dcterms:W3CDTF">2026-09-26T07:54:32.281Z</dcterms:created>
  <dcterms:modified xsi:type="dcterms:W3CDTF">2026-09-26T07:54:32.281Z</dcterms:modified>
</cp:coreProperties>
</file>

<file path=docProps/custom.xml><?xml version="1.0" encoding="utf-8"?>
<Properties xmlns="http://schemas.openxmlformats.org/officeDocument/2006/custom-properties" xmlns:vt="http://schemas.openxmlformats.org/officeDocument/2006/docPropsVTypes"/>
</file>