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B5530" w14:textId="77777777" w:rsidR="007B6E28" w:rsidRPr="00E00285" w:rsidRDefault="00000000">
      <w:pPr>
        <w:pStyle w:val="Title"/>
        <w:spacing w:after="0"/>
        <w:jc w:val="cente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Supplementary File 1</w:t>
      </w:r>
    </w:p>
    <w:p w14:paraId="533FFB1D" w14:textId="77777777" w:rsidR="007B6E28" w:rsidRPr="00E00285" w:rsidRDefault="00000000">
      <w:pPr>
        <w:pStyle w:val="Title"/>
        <w:jc w:val="cente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Complete Spatial Transcriptomics Case Studies</w:t>
      </w:r>
    </w:p>
    <w:p w14:paraId="589157DB" w14:textId="77777777" w:rsidR="007B6E28" w:rsidRPr="00E00285" w:rsidRDefault="00000000">
      <w:pPr>
        <w:pStyle w:val="Subtitle"/>
        <w:jc w:val="cente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Arabidopsis thaliana seedling development and inflamed murine lacrimal gland remodeling</w:t>
      </w:r>
    </w:p>
    <w:p w14:paraId="5AE461F8" w14:textId="77777777" w:rsidR="007B6E28" w:rsidRPr="00E00285" w:rsidRDefault="007B6E28">
      <w:pPr>
        <w:rPr>
          <w:rFonts w:ascii="Times New Roman" w:eastAsia="Times New Roman" w:hAnsi="Times New Roman" w:cs="Times New Roman"/>
          <w:color w:val="000000" w:themeColor="text1"/>
          <w:sz w:val="24"/>
          <w:szCs w:val="24"/>
        </w:rPr>
      </w:pPr>
    </w:p>
    <w:p w14:paraId="068F592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This supplementary document integrates two complete spatial transcriptomics case studies into one continuous, results-guided analysis. Figure and table numbering is continuous across both studies. All numerical values were taken from the supplied final output files, and the biological interpretations were written at the spatial bin or spot level supported by those outputs.</w:t>
      </w:r>
    </w:p>
    <w:p w14:paraId="445B58B9"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Interpretive scope. </w:t>
      </w:r>
      <w:r w:rsidRPr="00E00285">
        <w:rPr>
          <w:rFonts w:ascii="Times New Roman" w:eastAsia="Times New Roman" w:hAnsi="Times New Roman" w:cs="Times New Roman"/>
          <w:color w:val="000000" w:themeColor="text1"/>
          <w:sz w:val="24"/>
          <w:szCs w:val="24"/>
        </w:rPr>
        <w:t xml:space="preserve">Each case study represents one tissue section. The analyses establish spatially organized transcriptional domains within the analyzed section, but they do not provide replicate-supported population-level inference. </w:t>
      </w:r>
      <w:proofErr w:type="spellStart"/>
      <w:r w:rsidRPr="00E00285">
        <w:rPr>
          <w:rFonts w:ascii="Times New Roman" w:eastAsia="Times New Roman" w:hAnsi="Times New Roman" w:cs="Times New Roman"/>
          <w:color w:val="000000" w:themeColor="text1"/>
          <w:sz w:val="24"/>
          <w:szCs w:val="24"/>
        </w:rPr>
        <w:t>Visium</w:t>
      </w:r>
      <w:proofErr w:type="spellEnd"/>
      <w:r w:rsidRPr="00E00285">
        <w:rPr>
          <w:rFonts w:ascii="Times New Roman" w:eastAsia="Times New Roman" w:hAnsi="Times New Roman" w:cs="Times New Roman"/>
          <w:color w:val="000000" w:themeColor="text1"/>
          <w:sz w:val="24"/>
          <w:szCs w:val="24"/>
        </w:rPr>
        <w:t xml:space="preserve"> HD bins and </w:t>
      </w:r>
      <w:proofErr w:type="spellStart"/>
      <w:r w:rsidRPr="00E00285">
        <w:rPr>
          <w:rFonts w:ascii="Times New Roman" w:eastAsia="Times New Roman" w:hAnsi="Times New Roman" w:cs="Times New Roman"/>
          <w:color w:val="000000" w:themeColor="text1"/>
          <w:sz w:val="24"/>
          <w:szCs w:val="24"/>
        </w:rPr>
        <w:t>Visium</w:t>
      </w:r>
      <w:proofErr w:type="spellEnd"/>
      <w:r w:rsidRPr="00E00285">
        <w:rPr>
          <w:rFonts w:ascii="Times New Roman" w:eastAsia="Times New Roman" w:hAnsi="Times New Roman" w:cs="Times New Roman"/>
          <w:color w:val="000000" w:themeColor="text1"/>
          <w:sz w:val="24"/>
          <w:szCs w:val="24"/>
        </w:rPr>
        <w:t xml:space="preserve"> spots are capture units rather than automatically segmented single cells.</w:t>
      </w:r>
    </w:p>
    <w:p w14:paraId="7F679635" w14:textId="77777777" w:rsidR="007B6E28" w:rsidRPr="00E00285" w:rsidRDefault="00000000">
      <w:pPr>
        <w:keepNext/>
        <w:pBdr>
          <w:top w:val="nil"/>
          <w:left w:val="nil"/>
          <w:bottom w:val="nil"/>
          <w:right w:val="nil"/>
          <w:between w:val="nil"/>
        </w:pBdr>
        <w:spacing w:before="140" w:after="60" w:line="276"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Table S1. </w:t>
      </w:r>
      <w:r w:rsidRPr="00E00285">
        <w:rPr>
          <w:rFonts w:ascii="Times New Roman" w:eastAsia="Times New Roman" w:hAnsi="Times New Roman" w:cs="Times New Roman"/>
          <w:color w:val="000000" w:themeColor="text1"/>
          <w:sz w:val="24"/>
          <w:szCs w:val="24"/>
        </w:rPr>
        <w:t>Overview of the two spatial transcriptomics case studies.</w:t>
      </w:r>
    </w:p>
    <w:tbl>
      <w:tblPr>
        <w:tblStyle w:val="a"/>
        <w:tblW w:w="101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4"/>
        <w:gridCol w:w="1253"/>
        <w:gridCol w:w="1160"/>
        <w:gridCol w:w="1206"/>
        <w:gridCol w:w="2642"/>
        <w:gridCol w:w="2517"/>
      </w:tblGrid>
      <w:tr w:rsidR="007B6E28" w:rsidRPr="00E00285" w14:paraId="3275D23F" w14:textId="77777777">
        <w:tc>
          <w:tcPr>
            <w:tcW w:w="1414" w:type="dxa"/>
          </w:tcPr>
          <w:p w14:paraId="43FA69C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Case study</w:t>
            </w:r>
          </w:p>
        </w:tc>
        <w:tc>
          <w:tcPr>
            <w:tcW w:w="1253" w:type="dxa"/>
          </w:tcPr>
          <w:p w14:paraId="78B8371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Platform and reference</w:t>
            </w:r>
          </w:p>
        </w:tc>
        <w:tc>
          <w:tcPr>
            <w:tcW w:w="1160" w:type="dxa"/>
          </w:tcPr>
          <w:p w14:paraId="4E25E0E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Analysis unit</w:t>
            </w:r>
          </w:p>
        </w:tc>
        <w:tc>
          <w:tcPr>
            <w:tcW w:w="1206" w:type="dxa"/>
          </w:tcPr>
          <w:p w14:paraId="1E326B8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Retained units</w:t>
            </w:r>
          </w:p>
        </w:tc>
        <w:tc>
          <w:tcPr>
            <w:tcW w:w="2642" w:type="dxa"/>
          </w:tcPr>
          <w:p w14:paraId="0F53801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Central biological question</w:t>
            </w:r>
          </w:p>
        </w:tc>
        <w:tc>
          <w:tcPr>
            <w:tcW w:w="2517" w:type="dxa"/>
          </w:tcPr>
          <w:p w14:paraId="1166DE9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Downstream analyses</w:t>
            </w:r>
          </w:p>
        </w:tc>
      </w:tr>
      <w:tr w:rsidR="007B6E28" w:rsidRPr="00E00285" w14:paraId="5CDD3E42" w14:textId="77777777">
        <w:tc>
          <w:tcPr>
            <w:tcW w:w="1414" w:type="dxa"/>
          </w:tcPr>
          <w:p w14:paraId="6D0F85B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Arabidopsis seedling</w:t>
            </w:r>
          </w:p>
        </w:tc>
        <w:tc>
          <w:tcPr>
            <w:tcW w:w="1253" w:type="dxa"/>
          </w:tcPr>
          <w:p w14:paraId="078A8F1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10x Genomics </w:t>
            </w:r>
            <w:proofErr w:type="spellStart"/>
            <w:r w:rsidRPr="00E00285">
              <w:rPr>
                <w:rFonts w:ascii="Times New Roman" w:eastAsia="Times New Roman" w:hAnsi="Times New Roman" w:cs="Times New Roman"/>
                <w:color w:val="000000" w:themeColor="text1"/>
                <w:sz w:val="24"/>
                <w:szCs w:val="24"/>
              </w:rPr>
              <w:t>Visium</w:t>
            </w:r>
            <w:proofErr w:type="spellEnd"/>
            <w:r w:rsidRPr="00E00285">
              <w:rPr>
                <w:rFonts w:ascii="Times New Roman" w:eastAsia="Times New Roman" w:hAnsi="Times New Roman" w:cs="Times New Roman"/>
                <w:color w:val="000000" w:themeColor="text1"/>
                <w:sz w:val="24"/>
                <w:szCs w:val="24"/>
              </w:rPr>
              <w:t xml:space="preserve"> HD 3′; TAIR10</w:t>
            </w:r>
          </w:p>
        </w:tc>
        <w:tc>
          <w:tcPr>
            <w:tcW w:w="1160" w:type="dxa"/>
          </w:tcPr>
          <w:p w14:paraId="69A0EAE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8 µm capture bin</w:t>
            </w:r>
          </w:p>
        </w:tc>
        <w:tc>
          <w:tcPr>
            <w:tcW w:w="1206" w:type="dxa"/>
          </w:tcPr>
          <w:p w14:paraId="5D618A6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1,516 bins</w:t>
            </w:r>
          </w:p>
        </w:tc>
        <w:tc>
          <w:tcPr>
            <w:tcW w:w="2642" w:type="dxa"/>
          </w:tcPr>
          <w:p w14:paraId="02082289" w14:textId="2F0AB4E4"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Can bin-level spatial </w:t>
            </w:r>
            <w:r w:rsidR="00596EFE" w:rsidRPr="00E00285">
              <w:rPr>
                <w:rFonts w:ascii="Times New Roman" w:eastAsia="Times New Roman" w:hAnsi="Times New Roman" w:cs="Times New Roman"/>
                <w:color w:val="000000" w:themeColor="text1"/>
                <w:sz w:val="24"/>
                <w:szCs w:val="24"/>
              </w:rPr>
              <w:t>expressions</w:t>
            </w:r>
            <w:r w:rsidRPr="00E00285">
              <w:rPr>
                <w:rFonts w:ascii="Times New Roman" w:eastAsia="Times New Roman" w:hAnsi="Times New Roman" w:cs="Times New Roman"/>
                <w:color w:val="000000" w:themeColor="text1"/>
                <w:sz w:val="24"/>
                <w:szCs w:val="24"/>
              </w:rPr>
              <w:t xml:space="preserve"> recover seedling tissue domains and their metabolic/developmental programs?</w:t>
            </w:r>
          </w:p>
        </w:tc>
        <w:tc>
          <w:tcPr>
            <w:tcW w:w="2517" w:type="dxa"/>
          </w:tcPr>
          <w:p w14:paraId="0D21985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QC, log normalization, marker validation, PCA/UMAP/clustering, marker discovery, Moran’s I SVGs, pairwise DE, ORA/GSEA, distance-based GAMs</w:t>
            </w:r>
          </w:p>
        </w:tc>
      </w:tr>
      <w:tr w:rsidR="007B6E28" w:rsidRPr="00E00285" w14:paraId="40381511" w14:textId="77777777">
        <w:tc>
          <w:tcPr>
            <w:tcW w:w="1414" w:type="dxa"/>
          </w:tcPr>
          <w:p w14:paraId="2EAA4AD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Inflamed lacrimal gland</w:t>
            </w:r>
          </w:p>
        </w:tc>
        <w:tc>
          <w:tcPr>
            <w:tcW w:w="1253" w:type="dxa"/>
          </w:tcPr>
          <w:p w14:paraId="5606526E"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Visium</w:t>
            </w:r>
            <w:proofErr w:type="spellEnd"/>
            <w:r w:rsidRPr="00E00285">
              <w:rPr>
                <w:rFonts w:ascii="Times New Roman" w:eastAsia="Times New Roman" w:hAnsi="Times New Roman" w:cs="Times New Roman"/>
                <w:color w:val="000000" w:themeColor="text1"/>
                <w:sz w:val="24"/>
                <w:szCs w:val="24"/>
              </w:rPr>
              <w:t xml:space="preserve"> section; Case_1 / NOD.H-2b_1</w:t>
            </w:r>
          </w:p>
        </w:tc>
        <w:tc>
          <w:tcPr>
            <w:tcW w:w="1160" w:type="dxa"/>
          </w:tcPr>
          <w:p w14:paraId="4B951981"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Visium</w:t>
            </w:r>
            <w:proofErr w:type="spellEnd"/>
            <w:r w:rsidRPr="00E00285">
              <w:rPr>
                <w:rFonts w:ascii="Times New Roman" w:eastAsia="Times New Roman" w:hAnsi="Times New Roman" w:cs="Times New Roman"/>
                <w:color w:val="000000" w:themeColor="text1"/>
                <w:sz w:val="24"/>
                <w:szCs w:val="24"/>
              </w:rPr>
              <w:t xml:space="preserve"> spot</w:t>
            </w:r>
          </w:p>
        </w:tc>
        <w:tc>
          <w:tcPr>
            <w:tcW w:w="1206" w:type="dxa"/>
          </w:tcPr>
          <w:p w14:paraId="3200580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1,516 spots</w:t>
            </w:r>
          </w:p>
        </w:tc>
        <w:tc>
          <w:tcPr>
            <w:tcW w:w="2642" w:type="dxa"/>
          </w:tcPr>
          <w:p w14:paraId="523D1F0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Is the section organized as a mosaic of epithelial-secretory, antigen-presenting, lymphoid, and humoral niches?</w:t>
            </w:r>
          </w:p>
        </w:tc>
        <w:tc>
          <w:tcPr>
            <w:tcW w:w="2517" w:type="dxa"/>
          </w:tcPr>
          <w:p w14:paraId="0DDBB19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QC, </w:t>
            </w:r>
            <w:proofErr w:type="spellStart"/>
            <w:r w:rsidRPr="00E00285">
              <w:rPr>
                <w:rFonts w:ascii="Times New Roman" w:eastAsia="Times New Roman" w:hAnsi="Times New Roman" w:cs="Times New Roman"/>
                <w:color w:val="000000" w:themeColor="text1"/>
                <w:sz w:val="24"/>
                <w:szCs w:val="24"/>
              </w:rPr>
              <w:t>SCTransform</w:t>
            </w:r>
            <w:proofErr w:type="spellEnd"/>
            <w:r w:rsidRPr="00E00285">
              <w:rPr>
                <w:rFonts w:ascii="Times New Roman" w:eastAsia="Times New Roman" w:hAnsi="Times New Roman" w:cs="Times New Roman"/>
                <w:color w:val="000000" w:themeColor="text1"/>
                <w:sz w:val="24"/>
                <w:szCs w:val="24"/>
              </w:rPr>
              <w:t xml:space="preserve">, PCA/UMAP/clustering, marker discovery, GO enrichment, module scoring, SVGs, neighborhood mixing, 2D GAMs, </w:t>
            </w:r>
            <w:proofErr w:type="spellStart"/>
            <w:r w:rsidRPr="00E00285">
              <w:rPr>
                <w:rFonts w:ascii="Times New Roman" w:eastAsia="Times New Roman" w:hAnsi="Times New Roman" w:cs="Times New Roman"/>
                <w:color w:val="000000" w:themeColor="text1"/>
                <w:sz w:val="24"/>
                <w:szCs w:val="24"/>
              </w:rPr>
              <w:t>STdeconvolve</w:t>
            </w:r>
            <w:proofErr w:type="spellEnd"/>
          </w:p>
        </w:tc>
      </w:tr>
    </w:tbl>
    <w:p w14:paraId="428CFDA6" w14:textId="77777777" w:rsidR="007B6E28" w:rsidRPr="00E00285" w:rsidRDefault="00000000">
      <w:pPr>
        <w:spacing w:before="40" w:after="12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Note. </w:t>
      </w:r>
      <w:r w:rsidRPr="00E00285">
        <w:rPr>
          <w:rFonts w:ascii="Times New Roman" w:eastAsia="Times New Roman" w:hAnsi="Times New Roman" w:cs="Times New Roman"/>
          <w:i/>
          <w:iCs/>
          <w:color w:val="000000" w:themeColor="text1"/>
          <w:sz w:val="24"/>
          <w:szCs w:val="24"/>
        </w:rPr>
        <w:t>The retained units are independent capture locations within one section, not biological replicates.</w:t>
      </w:r>
    </w:p>
    <w:p w14:paraId="35EBA64B" w14:textId="77777777" w:rsidR="007B6E28" w:rsidRPr="00E00285" w:rsidRDefault="00000000">
      <w:pPr>
        <w:pStyle w:val="Heading1"/>
        <w:pageBreakBefore/>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lastRenderedPageBreak/>
        <w:t>General analytical framework</w:t>
      </w:r>
    </w:p>
    <w:p w14:paraId="2C574EA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Both workflows followed the same analytical logic: quality control, normalization, dimension reduction, graph-based clustering, marker discovery, spatial validation, and biological interpretation. The plant case study then emphasized tissue-domain differential expression, pathway analysis, and distance from a developmental organizer. The lacrimal gland case study emphasized biological program scoring, neighborhood mixing, two-dimensional spatial gradients, spatially variable genes, and reference-free latent topic deconvolution.</w:t>
      </w:r>
    </w:p>
    <w:p w14:paraId="2C72555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Seurat functions were used for data handling, normalization, clustering, marker testing, and spatial visualization. Functional enrichment used </w:t>
      </w:r>
      <w:proofErr w:type="spellStart"/>
      <w:r w:rsidRPr="00E00285">
        <w:rPr>
          <w:rFonts w:ascii="Times New Roman" w:eastAsia="Times New Roman" w:hAnsi="Times New Roman" w:cs="Times New Roman"/>
          <w:color w:val="000000" w:themeColor="text1"/>
          <w:sz w:val="24"/>
          <w:szCs w:val="24"/>
        </w:rPr>
        <w:t>clusterProfiler</w:t>
      </w:r>
      <w:proofErr w:type="spellEnd"/>
      <w:r w:rsidRPr="00E00285">
        <w:rPr>
          <w:rFonts w:ascii="Times New Roman" w:eastAsia="Times New Roman" w:hAnsi="Times New Roman" w:cs="Times New Roman"/>
          <w:color w:val="000000" w:themeColor="text1"/>
          <w:sz w:val="24"/>
          <w:szCs w:val="24"/>
        </w:rPr>
        <w:t xml:space="preserve">, continuous spatial trends were modeled with generalized additive models, and the lacrimal gland section was additionally analyzed with </w:t>
      </w:r>
      <w:proofErr w:type="spellStart"/>
      <w:r w:rsidRPr="00E00285">
        <w:rPr>
          <w:rFonts w:ascii="Times New Roman" w:eastAsia="Times New Roman" w:hAnsi="Times New Roman" w:cs="Times New Roman"/>
          <w:color w:val="000000" w:themeColor="text1"/>
          <w:sz w:val="24"/>
          <w:szCs w:val="24"/>
        </w:rPr>
        <w:t>STdeconvolve</w:t>
      </w:r>
      <w:proofErr w:type="spellEnd"/>
      <w:r w:rsidRPr="00E00285">
        <w:rPr>
          <w:rFonts w:ascii="Times New Roman" w:eastAsia="Times New Roman" w:hAnsi="Times New Roman" w:cs="Times New Roman"/>
          <w:color w:val="000000" w:themeColor="text1"/>
          <w:sz w:val="24"/>
          <w:szCs w:val="24"/>
        </w:rPr>
        <w:t>. Adjusted P values were interpreted using Benjamini-Hochberg correction where applicable. Because both datasets contain one section, spot- or bin-level tests are treated as descriptive and exploratory rather than as substitutes for biological replication.</w:t>
      </w:r>
    </w:p>
    <w:p w14:paraId="39407BD7" w14:textId="77777777" w:rsidR="007B6E28" w:rsidRPr="00E00285" w:rsidRDefault="00000000">
      <w:pPr>
        <w:pStyle w:val="Heading1"/>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Part I. Arabidopsis thaliana seedling analyzed with </w:t>
      </w:r>
      <w:proofErr w:type="spellStart"/>
      <w:r w:rsidRPr="00E00285">
        <w:rPr>
          <w:rFonts w:ascii="Times New Roman" w:eastAsia="Times New Roman" w:hAnsi="Times New Roman" w:cs="Times New Roman"/>
          <w:color w:val="000000" w:themeColor="text1"/>
          <w:sz w:val="24"/>
          <w:szCs w:val="24"/>
        </w:rPr>
        <w:t>Visium</w:t>
      </w:r>
      <w:proofErr w:type="spellEnd"/>
      <w:r w:rsidRPr="00E00285">
        <w:rPr>
          <w:rFonts w:ascii="Times New Roman" w:eastAsia="Times New Roman" w:hAnsi="Times New Roman" w:cs="Times New Roman"/>
          <w:color w:val="000000" w:themeColor="text1"/>
          <w:sz w:val="24"/>
          <w:szCs w:val="24"/>
        </w:rPr>
        <w:t xml:space="preserve"> HD</w:t>
      </w:r>
    </w:p>
    <w:p w14:paraId="79DBB866"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 Biological rationale and research question</w:t>
      </w:r>
    </w:p>
    <w:p w14:paraId="7D3E245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Early seedling establishment requires spatial coordination of photosynthesis, reserve mobilization, cell-wall remodeling, root growth, vascular transport, and meristem maintenance. Conventional bulk RNA sequencing averages across these compartments, while dissociation-based single-cell workflows can disrupt spatial architecture and may introduce tissue-processing artifacts. This case study asked whether a standard Seurat workflow applied directly to 8 µm </w:t>
      </w:r>
      <w:proofErr w:type="spellStart"/>
      <w:r w:rsidRPr="00E00285">
        <w:rPr>
          <w:rFonts w:ascii="Times New Roman" w:eastAsia="Times New Roman" w:hAnsi="Times New Roman" w:cs="Times New Roman"/>
          <w:color w:val="000000" w:themeColor="text1"/>
          <w:sz w:val="24"/>
          <w:szCs w:val="24"/>
        </w:rPr>
        <w:t>Visium</w:t>
      </w:r>
      <w:proofErr w:type="spellEnd"/>
      <w:r w:rsidRPr="00E00285">
        <w:rPr>
          <w:rFonts w:ascii="Times New Roman" w:eastAsia="Times New Roman" w:hAnsi="Times New Roman" w:cs="Times New Roman"/>
          <w:color w:val="000000" w:themeColor="text1"/>
          <w:sz w:val="24"/>
          <w:szCs w:val="24"/>
        </w:rPr>
        <w:t xml:space="preserve"> HD bins could reconstruct anatomically coherent tissue domains across an intact Arabidopsis seedling and recover pathway signatures consistent with the known metabolic and developmental roles of those domains.</w:t>
      </w:r>
    </w:p>
    <w:p w14:paraId="54048D5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The sample analyzed was the publicly available 10x Genomics </w:t>
      </w:r>
      <w:proofErr w:type="spellStart"/>
      <w:r w:rsidRPr="00E00285">
        <w:rPr>
          <w:rFonts w:ascii="Times New Roman" w:eastAsia="Times New Roman" w:hAnsi="Times New Roman" w:cs="Times New Roman"/>
          <w:color w:val="000000" w:themeColor="text1"/>
          <w:sz w:val="24"/>
          <w:szCs w:val="24"/>
        </w:rPr>
        <w:t>Visium</w:t>
      </w:r>
      <w:proofErr w:type="spellEnd"/>
      <w:r w:rsidRPr="00E00285">
        <w:rPr>
          <w:rFonts w:ascii="Times New Roman" w:eastAsia="Times New Roman" w:hAnsi="Times New Roman" w:cs="Times New Roman"/>
          <w:color w:val="000000" w:themeColor="text1"/>
          <w:sz w:val="24"/>
          <w:szCs w:val="24"/>
        </w:rPr>
        <w:t xml:space="preserve"> HD 3′ Arabidopsis thaliana seedling dataset processed against TAIR10. The 8 µm output was selected because it provides a practical compromise between the sparsity of 2 µm bins and the lower spatial resolution of 16 µm aggregation (10x Genomics, 2025; Satija Lab, 2025).</w:t>
      </w:r>
    </w:p>
    <w:p w14:paraId="4DAF5949"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 Dataset, quality control, and normalization</w:t>
      </w:r>
    </w:p>
    <w:p w14:paraId="5B012A12" w14:textId="77777777" w:rsidR="007B6E28" w:rsidRPr="00E00285" w:rsidRDefault="00000000">
      <w:pPr>
        <w:keepNext/>
        <w:pBdr>
          <w:top w:val="nil"/>
          <w:left w:val="nil"/>
          <w:bottom w:val="nil"/>
          <w:right w:val="nil"/>
          <w:between w:val="nil"/>
        </w:pBdr>
        <w:spacing w:before="140" w:after="60" w:line="276"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Table S2. </w:t>
      </w:r>
      <w:r w:rsidRPr="00E00285">
        <w:rPr>
          <w:rFonts w:ascii="Times New Roman" w:eastAsia="Times New Roman" w:hAnsi="Times New Roman" w:cs="Times New Roman"/>
          <w:color w:val="000000" w:themeColor="text1"/>
          <w:sz w:val="24"/>
          <w:szCs w:val="24"/>
        </w:rPr>
        <w:t xml:space="preserve">Dataset characteristics and quality-control outcome for the Arabidopsis </w:t>
      </w:r>
      <w:proofErr w:type="spellStart"/>
      <w:r w:rsidRPr="00E00285">
        <w:rPr>
          <w:rFonts w:ascii="Times New Roman" w:eastAsia="Times New Roman" w:hAnsi="Times New Roman" w:cs="Times New Roman"/>
          <w:color w:val="000000" w:themeColor="text1"/>
          <w:sz w:val="24"/>
          <w:szCs w:val="24"/>
        </w:rPr>
        <w:t>Visium</w:t>
      </w:r>
      <w:proofErr w:type="spellEnd"/>
      <w:r w:rsidRPr="00E00285">
        <w:rPr>
          <w:rFonts w:ascii="Times New Roman" w:eastAsia="Times New Roman" w:hAnsi="Times New Roman" w:cs="Times New Roman"/>
          <w:color w:val="000000" w:themeColor="text1"/>
          <w:sz w:val="24"/>
          <w:szCs w:val="24"/>
        </w:rPr>
        <w:t xml:space="preserve"> HD case study.</w:t>
      </w:r>
    </w:p>
    <w:tbl>
      <w:tblPr>
        <w:tblStyle w:val="a0"/>
        <w:tblW w:w="91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8"/>
        <w:gridCol w:w="4210"/>
      </w:tblGrid>
      <w:tr w:rsidR="007B6E28" w:rsidRPr="00E00285" w14:paraId="7E278564" w14:textId="77777777">
        <w:tc>
          <w:tcPr>
            <w:tcW w:w="4988" w:type="dxa"/>
          </w:tcPr>
          <w:p w14:paraId="56B7EB9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Metric</w:t>
            </w:r>
          </w:p>
        </w:tc>
        <w:tc>
          <w:tcPr>
            <w:tcW w:w="4210" w:type="dxa"/>
          </w:tcPr>
          <w:p w14:paraId="68D63E7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Value</w:t>
            </w:r>
          </w:p>
        </w:tc>
      </w:tr>
      <w:tr w:rsidR="007B6E28" w:rsidRPr="00E00285" w14:paraId="53D2EE0F" w14:textId="77777777">
        <w:tc>
          <w:tcPr>
            <w:tcW w:w="4988" w:type="dxa"/>
          </w:tcPr>
          <w:p w14:paraId="4D353A9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Dataset</w:t>
            </w:r>
          </w:p>
        </w:tc>
        <w:tc>
          <w:tcPr>
            <w:tcW w:w="4210" w:type="dxa"/>
          </w:tcPr>
          <w:p w14:paraId="0E14ECF3"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Visium</w:t>
            </w:r>
            <w:proofErr w:type="spellEnd"/>
            <w:r w:rsidRPr="00E00285">
              <w:rPr>
                <w:rFonts w:ascii="Times New Roman" w:eastAsia="Times New Roman" w:hAnsi="Times New Roman" w:cs="Times New Roman"/>
                <w:color w:val="000000" w:themeColor="text1"/>
                <w:sz w:val="24"/>
                <w:szCs w:val="24"/>
              </w:rPr>
              <w:t xml:space="preserve"> HD 3′ Spatial Gene Expression: Arabidopsis thaliana seedling</w:t>
            </w:r>
          </w:p>
        </w:tc>
      </w:tr>
      <w:tr w:rsidR="007B6E28" w:rsidRPr="00E00285" w14:paraId="37462B52" w14:textId="77777777">
        <w:tc>
          <w:tcPr>
            <w:tcW w:w="4988" w:type="dxa"/>
          </w:tcPr>
          <w:p w14:paraId="5E038FB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Reference genome</w:t>
            </w:r>
          </w:p>
        </w:tc>
        <w:tc>
          <w:tcPr>
            <w:tcW w:w="4210" w:type="dxa"/>
          </w:tcPr>
          <w:p w14:paraId="49AE1AC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TAIR10</w:t>
            </w:r>
          </w:p>
        </w:tc>
      </w:tr>
      <w:tr w:rsidR="007B6E28" w:rsidRPr="00E00285" w14:paraId="649385F3" w14:textId="77777777">
        <w:tc>
          <w:tcPr>
            <w:tcW w:w="4988" w:type="dxa"/>
          </w:tcPr>
          <w:p w14:paraId="19F8B94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Analysis resolution</w:t>
            </w:r>
          </w:p>
        </w:tc>
        <w:tc>
          <w:tcPr>
            <w:tcW w:w="4210" w:type="dxa"/>
          </w:tcPr>
          <w:p w14:paraId="75E81C5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8 µm bins</w:t>
            </w:r>
          </w:p>
        </w:tc>
      </w:tr>
      <w:tr w:rsidR="007B6E28" w:rsidRPr="00E00285" w14:paraId="6815B4C0" w14:textId="77777777">
        <w:tc>
          <w:tcPr>
            <w:tcW w:w="4988" w:type="dxa"/>
          </w:tcPr>
          <w:p w14:paraId="0A86A76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Total sequencing reads</w:t>
            </w:r>
          </w:p>
        </w:tc>
        <w:tc>
          <w:tcPr>
            <w:tcW w:w="4210" w:type="dxa"/>
          </w:tcPr>
          <w:p w14:paraId="6AD0D20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141,748,868</w:t>
            </w:r>
          </w:p>
        </w:tc>
      </w:tr>
      <w:tr w:rsidR="007B6E28" w:rsidRPr="00E00285" w14:paraId="599838D7" w14:textId="77777777">
        <w:tc>
          <w:tcPr>
            <w:tcW w:w="4988" w:type="dxa"/>
          </w:tcPr>
          <w:p w14:paraId="23C406B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Sequencing saturation</w:t>
            </w:r>
          </w:p>
        </w:tc>
        <w:tc>
          <w:tcPr>
            <w:tcW w:w="4210" w:type="dxa"/>
          </w:tcPr>
          <w:p w14:paraId="3243441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98.1%</w:t>
            </w:r>
          </w:p>
        </w:tc>
      </w:tr>
      <w:tr w:rsidR="007B6E28" w:rsidRPr="00E00285" w14:paraId="14DF25DF" w14:textId="77777777">
        <w:tc>
          <w:tcPr>
            <w:tcW w:w="4988" w:type="dxa"/>
          </w:tcPr>
          <w:p w14:paraId="3FC96E1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Raw 8 µm bins</w:t>
            </w:r>
          </w:p>
        </w:tc>
        <w:tc>
          <w:tcPr>
            <w:tcW w:w="4210" w:type="dxa"/>
          </w:tcPr>
          <w:p w14:paraId="2D90537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7,356</w:t>
            </w:r>
          </w:p>
        </w:tc>
      </w:tr>
      <w:tr w:rsidR="007B6E28" w:rsidRPr="00E00285" w14:paraId="571521E6" w14:textId="77777777">
        <w:tc>
          <w:tcPr>
            <w:tcW w:w="4988" w:type="dxa"/>
          </w:tcPr>
          <w:p w14:paraId="4FBC987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On-tissue bins</w:t>
            </w:r>
          </w:p>
        </w:tc>
        <w:tc>
          <w:tcPr>
            <w:tcW w:w="4210" w:type="dxa"/>
          </w:tcPr>
          <w:p w14:paraId="1132709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7,214</w:t>
            </w:r>
          </w:p>
        </w:tc>
      </w:tr>
      <w:tr w:rsidR="007B6E28" w:rsidRPr="00E00285" w14:paraId="5C31F480" w14:textId="77777777">
        <w:tc>
          <w:tcPr>
            <w:tcW w:w="4988" w:type="dxa"/>
          </w:tcPr>
          <w:p w14:paraId="60C2495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Mean genes per on-tissue bin</w:t>
            </w:r>
          </w:p>
        </w:tc>
        <w:tc>
          <w:tcPr>
            <w:tcW w:w="4210" w:type="dxa"/>
          </w:tcPr>
          <w:p w14:paraId="1885B30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105.9</w:t>
            </w:r>
          </w:p>
        </w:tc>
      </w:tr>
      <w:tr w:rsidR="007B6E28" w:rsidRPr="00E00285" w14:paraId="1DB331C8" w14:textId="77777777">
        <w:tc>
          <w:tcPr>
            <w:tcW w:w="4988" w:type="dxa"/>
          </w:tcPr>
          <w:p w14:paraId="037DADF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Mean UMIs per on-tissue bin</w:t>
            </w:r>
          </w:p>
        </w:tc>
        <w:tc>
          <w:tcPr>
            <w:tcW w:w="4210" w:type="dxa"/>
          </w:tcPr>
          <w:p w14:paraId="0788947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138.0</w:t>
            </w:r>
          </w:p>
        </w:tc>
      </w:tr>
      <w:tr w:rsidR="007B6E28" w:rsidRPr="00E00285" w14:paraId="56302590" w14:textId="77777777">
        <w:tc>
          <w:tcPr>
            <w:tcW w:w="4988" w:type="dxa"/>
          </w:tcPr>
          <w:p w14:paraId="7E8975C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Bins retained after </w:t>
            </w:r>
            <w:proofErr w:type="spellStart"/>
            <w:r w:rsidRPr="00E00285">
              <w:rPr>
                <w:rFonts w:ascii="Times New Roman" w:eastAsia="Times New Roman" w:hAnsi="Times New Roman" w:cs="Times New Roman"/>
                <w:color w:val="000000" w:themeColor="text1"/>
                <w:sz w:val="24"/>
                <w:szCs w:val="24"/>
              </w:rPr>
              <w:t>nCount</w:t>
            </w:r>
            <w:proofErr w:type="spellEnd"/>
            <w:r w:rsidRPr="00E00285">
              <w:rPr>
                <w:rFonts w:ascii="Times New Roman" w:eastAsia="Times New Roman" w:hAnsi="Times New Roman" w:cs="Times New Roman"/>
                <w:color w:val="000000" w:themeColor="text1"/>
                <w:sz w:val="24"/>
                <w:szCs w:val="24"/>
              </w:rPr>
              <w:t xml:space="preserve"> &gt; 100 and </w:t>
            </w:r>
            <w:proofErr w:type="spellStart"/>
            <w:r w:rsidRPr="00E00285">
              <w:rPr>
                <w:rFonts w:ascii="Times New Roman" w:eastAsia="Times New Roman" w:hAnsi="Times New Roman" w:cs="Times New Roman"/>
                <w:color w:val="000000" w:themeColor="text1"/>
                <w:sz w:val="24"/>
                <w:szCs w:val="24"/>
              </w:rPr>
              <w:t>nFeature</w:t>
            </w:r>
            <w:proofErr w:type="spellEnd"/>
            <w:r w:rsidRPr="00E00285">
              <w:rPr>
                <w:rFonts w:ascii="Times New Roman" w:eastAsia="Times New Roman" w:hAnsi="Times New Roman" w:cs="Times New Roman"/>
                <w:color w:val="000000" w:themeColor="text1"/>
                <w:sz w:val="24"/>
                <w:szCs w:val="24"/>
              </w:rPr>
              <w:t xml:space="preserve"> &gt; 50</w:t>
            </w:r>
          </w:p>
        </w:tc>
        <w:tc>
          <w:tcPr>
            <w:tcW w:w="4210" w:type="dxa"/>
          </w:tcPr>
          <w:p w14:paraId="7A7784D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1,516</w:t>
            </w:r>
          </w:p>
        </w:tc>
      </w:tr>
      <w:tr w:rsidR="007B6E28" w:rsidRPr="00E00285" w14:paraId="264B08C9" w14:textId="77777777">
        <w:tc>
          <w:tcPr>
            <w:tcW w:w="4988" w:type="dxa"/>
          </w:tcPr>
          <w:p w14:paraId="101DF01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Genes retained after removing zero-expression genes</w:t>
            </w:r>
          </w:p>
        </w:tc>
        <w:tc>
          <w:tcPr>
            <w:tcW w:w="4210" w:type="dxa"/>
          </w:tcPr>
          <w:p w14:paraId="67904F9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17,852</w:t>
            </w:r>
          </w:p>
        </w:tc>
      </w:tr>
    </w:tbl>
    <w:p w14:paraId="279CDD3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The raw object contained 31,109 features across 7,356 8 µm bins. After removing bins with zero counts and retaining bins with more than 100 UMIs and more than 50 detected genes, 1,516 bins remained. </w:t>
      </w:r>
      <w:r w:rsidRPr="00E00285">
        <w:rPr>
          <w:rFonts w:ascii="Times New Roman" w:eastAsia="Times New Roman" w:hAnsi="Times New Roman" w:cs="Times New Roman"/>
          <w:color w:val="000000" w:themeColor="text1"/>
          <w:sz w:val="24"/>
          <w:szCs w:val="24"/>
        </w:rPr>
        <w:lastRenderedPageBreak/>
        <w:t>Genes with zero expression across all retained bins were removed, leaving 17,852 detected genes. Counts were log-normalized with a scale factor of 10,000.</w:t>
      </w:r>
    </w:p>
    <w:p w14:paraId="47DE4FEE" w14:textId="77777777" w:rsidR="007B6E28" w:rsidRPr="00E00285" w:rsidRDefault="00000000">
      <w:pPr>
        <w:keepLines/>
        <w:pBdr>
          <w:top w:val="nil"/>
          <w:left w:val="nil"/>
          <w:bottom w:val="nil"/>
          <w:right w:val="nil"/>
          <w:between w:val="nil"/>
        </w:pBdr>
        <w:shd w:val="clear" w:color="auto" w:fill="F2F2F2"/>
        <w:spacing w:before="60" w:line="240" w:lineRule="auto"/>
        <w:ind w:left="216" w:right="7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obj &lt;- Load10X_Spatial(</w:t>
      </w:r>
      <w:proofErr w:type="spellStart"/>
      <w:r w:rsidRPr="00E00285">
        <w:rPr>
          <w:rFonts w:ascii="Times New Roman" w:eastAsia="Times New Roman" w:hAnsi="Times New Roman" w:cs="Times New Roman"/>
          <w:color w:val="000000" w:themeColor="text1"/>
          <w:sz w:val="24"/>
          <w:szCs w:val="24"/>
        </w:rPr>
        <w:t>data.dir</w:t>
      </w:r>
      <w:proofErr w:type="spellEnd"/>
      <w:r w:rsidRPr="00E00285">
        <w:rPr>
          <w:rFonts w:ascii="Times New Roman" w:eastAsia="Times New Roman" w:hAnsi="Times New Roman" w:cs="Times New Roman"/>
          <w:color w:val="000000" w:themeColor="text1"/>
          <w:sz w:val="24"/>
          <w:szCs w:val="24"/>
        </w:rPr>
        <w:t xml:space="preserve"> = </w:t>
      </w:r>
      <w:proofErr w:type="spellStart"/>
      <w:r w:rsidRPr="00E00285">
        <w:rPr>
          <w:rFonts w:ascii="Times New Roman" w:eastAsia="Times New Roman" w:hAnsi="Times New Roman" w:cs="Times New Roman"/>
          <w:color w:val="000000" w:themeColor="text1"/>
          <w:sz w:val="24"/>
          <w:szCs w:val="24"/>
        </w:rPr>
        <w:t>data_dir</w:t>
      </w:r>
      <w:proofErr w:type="spellEnd"/>
      <w:r w:rsidRPr="00E00285">
        <w:rPr>
          <w:rFonts w:ascii="Times New Roman" w:eastAsia="Times New Roman" w:hAnsi="Times New Roman" w:cs="Times New Roman"/>
          <w:color w:val="000000" w:themeColor="text1"/>
          <w:sz w:val="24"/>
          <w:szCs w:val="24"/>
        </w:rPr>
        <w:t xml:space="preserve">, </w:t>
      </w:r>
      <w:proofErr w:type="spellStart"/>
      <w:r w:rsidRPr="00E00285">
        <w:rPr>
          <w:rFonts w:ascii="Times New Roman" w:eastAsia="Times New Roman" w:hAnsi="Times New Roman" w:cs="Times New Roman"/>
          <w:color w:val="000000" w:themeColor="text1"/>
          <w:sz w:val="24"/>
          <w:szCs w:val="24"/>
        </w:rPr>
        <w:t>bin.size</w:t>
      </w:r>
      <w:proofErr w:type="spellEnd"/>
      <w:r w:rsidRPr="00E00285">
        <w:rPr>
          <w:rFonts w:ascii="Times New Roman" w:eastAsia="Times New Roman" w:hAnsi="Times New Roman" w:cs="Times New Roman"/>
          <w:color w:val="000000" w:themeColor="text1"/>
          <w:sz w:val="24"/>
          <w:szCs w:val="24"/>
        </w:rPr>
        <w:t xml:space="preserve"> = 8)</w:t>
      </w:r>
      <w:r w:rsidRPr="00E00285">
        <w:rPr>
          <w:rFonts w:ascii="Times New Roman" w:eastAsia="Times New Roman" w:hAnsi="Times New Roman" w:cs="Times New Roman"/>
          <w:color w:val="000000" w:themeColor="text1"/>
          <w:sz w:val="24"/>
          <w:szCs w:val="24"/>
        </w:rPr>
        <w:br/>
        <w:t>obj &lt;- subset(obj, nCount_Spatial.008um &gt; 100 &amp; nFeature_Spatial.008um &gt; 50)</w:t>
      </w:r>
      <w:r w:rsidRPr="00E00285">
        <w:rPr>
          <w:rFonts w:ascii="Times New Roman" w:eastAsia="Times New Roman" w:hAnsi="Times New Roman" w:cs="Times New Roman"/>
          <w:color w:val="000000" w:themeColor="text1"/>
          <w:sz w:val="24"/>
          <w:szCs w:val="24"/>
        </w:rPr>
        <w:br/>
        <w:t xml:space="preserve">counts &lt;- </w:t>
      </w:r>
      <w:proofErr w:type="spellStart"/>
      <w:r w:rsidRPr="00E00285">
        <w:rPr>
          <w:rFonts w:ascii="Times New Roman" w:eastAsia="Times New Roman" w:hAnsi="Times New Roman" w:cs="Times New Roman"/>
          <w:color w:val="000000" w:themeColor="text1"/>
          <w:sz w:val="24"/>
          <w:szCs w:val="24"/>
        </w:rPr>
        <w:t>GetAssayData</w:t>
      </w:r>
      <w:proofErr w:type="spellEnd"/>
      <w:r w:rsidRPr="00E00285">
        <w:rPr>
          <w:rFonts w:ascii="Times New Roman" w:eastAsia="Times New Roman" w:hAnsi="Times New Roman" w:cs="Times New Roman"/>
          <w:color w:val="000000" w:themeColor="text1"/>
          <w:sz w:val="24"/>
          <w:szCs w:val="24"/>
        </w:rPr>
        <w:t>(obj, assay = "Spatial.008um", layer = "counts")</w:t>
      </w:r>
      <w:r w:rsidRPr="00E00285">
        <w:rPr>
          <w:rFonts w:ascii="Times New Roman" w:eastAsia="Times New Roman" w:hAnsi="Times New Roman" w:cs="Times New Roman"/>
          <w:color w:val="000000" w:themeColor="text1"/>
          <w:sz w:val="24"/>
          <w:szCs w:val="24"/>
        </w:rPr>
        <w:br/>
        <w:t>obj &lt;- obj[</w:t>
      </w:r>
      <w:proofErr w:type="spellStart"/>
      <w:r w:rsidRPr="00E00285">
        <w:rPr>
          <w:rFonts w:ascii="Times New Roman" w:eastAsia="Times New Roman" w:hAnsi="Times New Roman" w:cs="Times New Roman"/>
          <w:color w:val="000000" w:themeColor="text1"/>
          <w:sz w:val="24"/>
          <w:szCs w:val="24"/>
        </w:rPr>
        <w:t>rowSums</w:t>
      </w:r>
      <w:proofErr w:type="spellEnd"/>
      <w:r w:rsidRPr="00E00285">
        <w:rPr>
          <w:rFonts w:ascii="Times New Roman" w:eastAsia="Times New Roman" w:hAnsi="Times New Roman" w:cs="Times New Roman"/>
          <w:color w:val="000000" w:themeColor="text1"/>
          <w:sz w:val="24"/>
          <w:szCs w:val="24"/>
        </w:rPr>
        <w:t>(counts) &gt; 0, ]</w:t>
      </w:r>
      <w:r w:rsidRPr="00E00285">
        <w:rPr>
          <w:rFonts w:ascii="Times New Roman" w:eastAsia="Times New Roman" w:hAnsi="Times New Roman" w:cs="Times New Roman"/>
          <w:color w:val="000000" w:themeColor="text1"/>
          <w:sz w:val="24"/>
          <w:szCs w:val="24"/>
        </w:rPr>
        <w:br/>
        <w:t xml:space="preserve">obj &lt;- </w:t>
      </w:r>
      <w:proofErr w:type="spellStart"/>
      <w:r w:rsidRPr="00E00285">
        <w:rPr>
          <w:rFonts w:ascii="Times New Roman" w:eastAsia="Times New Roman" w:hAnsi="Times New Roman" w:cs="Times New Roman"/>
          <w:color w:val="000000" w:themeColor="text1"/>
          <w:sz w:val="24"/>
          <w:szCs w:val="24"/>
        </w:rPr>
        <w:t>NormalizeData</w:t>
      </w:r>
      <w:proofErr w:type="spellEnd"/>
      <w:r w:rsidRPr="00E00285">
        <w:rPr>
          <w:rFonts w:ascii="Times New Roman" w:eastAsia="Times New Roman" w:hAnsi="Times New Roman" w:cs="Times New Roman"/>
          <w:color w:val="000000" w:themeColor="text1"/>
          <w:sz w:val="24"/>
          <w:szCs w:val="24"/>
        </w:rPr>
        <w:t xml:space="preserve">(obj, </w:t>
      </w:r>
      <w:proofErr w:type="spellStart"/>
      <w:r w:rsidRPr="00E00285">
        <w:rPr>
          <w:rFonts w:ascii="Times New Roman" w:eastAsia="Times New Roman" w:hAnsi="Times New Roman" w:cs="Times New Roman"/>
          <w:color w:val="000000" w:themeColor="text1"/>
          <w:sz w:val="24"/>
          <w:szCs w:val="24"/>
        </w:rPr>
        <w:t>normalization.method</w:t>
      </w:r>
      <w:proofErr w:type="spellEnd"/>
      <w:r w:rsidRPr="00E00285">
        <w:rPr>
          <w:rFonts w:ascii="Times New Roman" w:eastAsia="Times New Roman" w:hAnsi="Times New Roman" w:cs="Times New Roman"/>
          <w:color w:val="000000" w:themeColor="text1"/>
          <w:sz w:val="24"/>
          <w:szCs w:val="24"/>
        </w:rPr>
        <w:t xml:space="preserve"> = "</w:t>
      </w:r>
      <w:proofErr w:type="spellStart"/>
      <w:r w:rsidRPr="00E00285">
        <w:rPr>
          <w:rFonts w:ascii="Times New Roman" w:eastAsia="Times New Roman" w:hAnsi="Times New Roman" w:cs="Times New Roman"/>
          <w:color w:val="000000" w:themeColor="text1"/>
          <w:sz w:val="24"/>
          <w:szCs w:val="24"/>
        </w:rPr>
        <w:t>LogNormalize</w:t>
      </w:r>
      <w:proofErr w:type="spellEnd"/>
      <w:r w:rsidRPr="00E00285">
        <w:rPr>
          <w:rFonts w:ascii="Times New Roman" w:eastAsia="Times New Roman" w:hAnsi="Times New Roman" w:cs="Times New Roman"/>
          <w:color w:val="000000" w:themeColor="text1"/>
          <w:sz w:val="24"/>
          <w:szCs w:val="24"/>
        </w:rPr>
        <w:t xml:space="preserve">", </w:t>
      </w:r>
      <w:proofErr w:type="spellStart"/>
      <w:r w:rsidRPr="00E00285">
        <w:rPr>
          <w:rFonts w:ascii="Times New Roman" w:eastAsia="Times New Roman" w:hAnsi="Times New Roman" w:cs="Times New Roman"/>
          <w:color w:val="000000" w:themeColor="text1"/>
          <w:sz w:val="24"/>
          <w:szCs w:val="24"/>
        </w:rPr>
        <w:t>scale.factor</w:t>
      </w:r>
      <w:proofErr w:type="spellEnd"/>
      <w:r w:rsidRPr="00E00285">
        <w:rPr>
          <w:rFonts w:ascii="Times New Roman" w:eastAsia="Times New Roman" w:hAnsi="Times New Roman" w:cs="Times New Roman"/>
          <w:color w:val="000000" w:themeColor="text1"/>
          <w:sz w:val="24"/>
          <w:szCs w:val="24"/>
        </w:rPr>
        <w:t xml:space="preserve"> = 10000)</w:t>
      </w:r>
    </w:p>
    <w:p w14:paraId="36AD40F7" w14:textId="77777777" w:rsidR="007B6E28" w:rsidRPr="00E00285" w:rsidRDefault="00000000">
      <w:pPr>
        <w:keepLines/>
        <w:spacing w:after="0"/>
        <w:jc w:val="center"/>
        <w:rPr>
          <w:color w:val="000000" w:themeColor="text1"/>
        </w:rPr>
      </w:pPr>
      <w:r w:rsidRPr="00E00285">
        <w:rPr>
          <w:noProof/>
          <w:color w:val="000000" w:themeColor="text1"/>
        </w:rPr>
        <w:drawing>
          <wp:inline distT="0" distB="0" distL="0" distR="0" wp14:anchorId="032A9C16" wp14:editId="14B2B30A">
            <wp:extent cx="6217920" cy="2399215"/>
            <wp:effectExtent l="0" t="0" r="0" b="0"/>
            <wp:docPr id="5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6217920" cy="2399215"/>
                    </a:xfrm>
                    <a:prstGeom prst="rect">
                      <a:avLst/>
                    </a:prstGeom>
                    <a:ln/>
                  </pic:spPr>
                </pic:pic>
              </a:graphicData>
            </a:graphic>
          </wp:inline>
        </w:drawing>
      </w:r>
    </w:p>
    <w:p w14:paraId="2FA225F6"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Figure S1. </w:t>
      </w:r>
      <w:r w:rsidRPr="00E00285">
        <w:rPr>
          <w:rFonts w:ascii="Times New Roman" w:eastAsia="Times New Roman" w:hAnsi="Times New Roman" w:cs="Times New Roman"/>
          <w:color w:val="000000" w:themeColor="text1"/>
          <w:sz w:val="24"/>
          <w:szCs w:val="24"/>
        </w:rPr>
        <w:t xml:space="preserve">Quality control of the Arabidopsis </w:t>
      </w:r>
      <w:proofErr w:type="spellStart"/>
      <w:r w:rsidRPr="00E00285">
        <w:rPr>
          <w:rFonts w:ascii="Times New Roman" w:eastAsia="Times New Roman" w:hAnsi="Times New Roman" w:cs="Times New Roman"/>
          <w:color w:val="000000" w:themeColor="text1"/>
          <w:sz w:val="24"/>
          <w:szCs w:val="24"/>
        </w:rPr>
        <w:t>Visium</w:t>
      </w:r>
      <w:proofErr w:type="spellEnd"/>
      <w:r w:rsidRPr="00E00285">
        <w:rPr>
          <w:rFonts w:ascii="Times New Roman" w:eastAsia="Times New Roman" w:hAnsi="Times New Roman" w:cs="Times New Roman"/>
          <w:color w:val="000000" w:themeColor="text1"/>
          <w:sz w:val="24"/>
          <w:szCs w:val="24"/>
        </w:rPr>
        <w:t xml:space="preserve"> HD dataset. (A) Pre-filtering UMI distribution and spatial UMI map. (B) Spatial UMI distribution after filtering. The final object retained 1,516 higher-complexity 8 µm bins.</w:t>
      </w:r>
    </w:p>
    <w:p w14:paraId="7A972D39"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Filtering concentrated the analysis on bins with stronger transcript recovery, but it also reduced spatial coverage from 7,214 on-tissue bins to 1,516 retained bins. All subsequent spatial maps should therefore be interpreted as high confidence but deliberately sparse representations of the seedling section.</w:t>
      </w:r>
    </w:p>
    <w:p w14:paraId="14AEE244" w14:textId="77777777" w:rsidR="007B6E28" w:rsidRPr="00E00285" w:rsidRDefault="00000000">
      <w:pPr>
        <w:keepNext/>
        <w:pBdr>
          <w:top w:val="nil"/>
          <w:left w:val="nil"/>
          <w:bottom w:val="nil"/>
          <w:right w:val="nil"/>
          <w:between w:val="nil"/>
        </w:pBdr>
        <w:spacing w:before="140" w:after="60" w:line="276"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Table S3. </w:t>
      </w:r>
      <w:r w:rsidRPr="00E00285">
        <w:rPr>
          <w:rFonts w:ascii="Times New Roman" w:eastAsia="Times New Roman" w:hAnsi="Times New Roman" w:cs="Times New Roman"/>
          <w:color w:val="000000" w:themeColor="text1"/>
          <w:sz w:val="24"/>
          <w:szCs w:val="24"/>
        </w:rPr>
        <w:t>Core analysis parameters for the Arabidopsis case study.</w:t>
      </w:r>
    </w:p>
    <w:tbl>
      <w:tblPr>
        <w:tblStyle w:val="a1"/>
        <w:tblW w:w="99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5"/>
        <w:gridCol w:w="3325"/>
        <w:gridCol w:w="3325"/>
      </w:tblGrid>
      <w:tr w:rsidR="007B6E28" w:rsidRPr="00E00285" w14:paraId="1BE8ED02" w14:textId="77777777">
        <w:tc>
          <w:tcPr>
            <w:tcW w:w="3325" w:type="dxa"/>
          </w:tcPr>
          <w:p w14:paraId="142AF63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Analysis step</w:t>
            </w:r>
          </w:p>
        </w:tc>
        <w:tc>
          <w:tcPr>
            <w:tcW w:w="3325" w:type="dxa"/>
          </w:tcPr>
          <w:p w14:paraId="4F354A1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Parameterization</w:t>
            </w:r>
          </w:p>
        </w:tc>
        <w:tc>
          <w:tcPr>
            <w:tcW w:w="3325" w:type="dxa"/>
          </w:tcPr>
          <w:p w14:paraId="4A683C9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Rationale or interpretation</w:t>
            </w:r>
          </w:p>
        </w:tc>
      </w:tr>
      <w:tr w:rsidR="007B6E28" w:rsidRPr="00E00285" w14:paraId="26699F55" w14:textId="77777777">
        <w:tc>
          <w:tcPr>
            <w:tcW w:w="3325" w:type="dxa"/>
          </w:tcPr>
          <w:p w14:paraId="51D9272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Input</w:t>
            </w:r>
          </w:p>
        </w:tc>
        <w:tc>
          <w:tcPr>
            <w:tcW w:w="3325" w:type="dxa"/>
          </w:tcPr>
          <w:p w14:paraId="12BF598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Load10X_Spatial(..., </w:t>
            </w:r>
            <w:proofErr w:type="spellStart"/>
            <w:r w:rsidRPr="00E00285">
              <w:rPr>
                <w:rFonts w:ascii="Times New Roman" w:eastAsia="Times New Roman" w:hAnsi="Times New Roman" w:cs="Times New Roman"/>
                <w:color w:val="000000" w:themeColor="text1"/>
                <w:sz w:val="24"/>
                <w:szCs w:val="24"/>
              </w:rPr>
              <w:t>bin.size</w:t>
            </w:r>
            <w:proofErr w:type="spellEnd"/>
            <w:r w:rsidRPr="00E00285">
              <w:rPr>
                <w:rFonts w:ascii="Times New Roman" w:eastAsia="Times New Roman" w:hAnsi="Times New Roman" w:cs="Times New Roman"/>
                <w:color w:val="000000" w:themeColor="text1"/>
                <w:sz w:val="24"/>
                <w:szCs w:val="24"/>
              </w:rPr>
              <w:t xml:space="preserve"> = 8)</w:t>
            </w:r>
          </w:p>
        </w:tc>
        <w:tc>
          <w:tcPr>
            <w:tcW w:w="3325" w:type="dxa"/>
          </w:tcPr>
          <w:p w14:paraId="51D9AA5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8 µm balances sparsity and spatial resolution</w:t>
            </w:r>
          </w:p>
        </w:tc>
      </w:tr>
      <w:tr w:rsidR="007B6E28" w:rsidRPr="00E00285" w14:paraId="06E9EE60" w14:textId="77777777">
        <w:tc>
          <w:tcPr>
            <w:tcW w:w="3325" w:type="dxa"/>
          </w:tcPr>
          <w:p w14:paraId="3D1248C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QC</w:t>
            </w:r>
          </w:p>
        </w:tc>
        <w:tc>
          <w:tcPr>
            <w:tcW w:w="3325" w:type="dxa"/>
          </w:tcPr>
          <w:p w14:paraId="017F16BF"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nCount</w:t>
            </w:r>
            <w:proofErr w:type="spellEnd"/>
            <w:r w:rsidRPr="00E00285">
              <w:rPr>
                <w:rFonts w:ascii="Times New Roman" w:eastAsia="Times New Roman" w:hAnsi="Times New Roman" w:cs="Times New Roman"/>
                <w:color w:val="000000" w:themeColor="text1"/>
                <w:sz w:val="24"/>
                <w:szCs w:val="24"/>
              </w:rPr>
              <w:t xml:space="preserve"> &gt; 100; </w:t>
            </w:r>
            <w:proofErr w:type="spellStart"/>
            <w:r w:rsidRPr="00E00285">
              <w:rPr>
                <w:rFonts w:ascii="Times New Roman" w:eastAsia="Times New Roman" w:hAnsi="Times New Roman" w:cs="Times New Roman"/>
                <w:color w:val="000000" w:themeColor="text1"/>
                <w:sz w:val="24"/>
                <w:szCs w:val="24"/>
              </w:rPr>
              <w:t>nFeature</w:t>
            </w:r>
            <w:proofErr w:type="spellEnd"/>
            <w:r w:rsidRPr="00E00285">
              <w:rPr>
                <w:rFonts w:ascii="Times New Roman" w:eastAsia="Times New Roman" w:hAnsi="Times New Roman" w:cs="Times New Roman"/>
                <w:color w:val="000000" w:themeColor="text1"/>
                <w:sz w:val="24"/>
                <w:szCs w:val="24"/>
              </w:rPr>
              <w:t xml:space="preserve"> &gt; 50</w:t>
            </w:r>
          </w:p>
        </w:tc>
        <w:tc>
          <w:tcPr>
            <w:tcW w:w="3325" w:type="dxa"/>
          </w:tcPr>
          <w:p w14:paraId="03985B0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Applied after removal of zero-count/off-tissue bins</w:t>
            </w:r>
          </w:p>
        </w:tc>
      </w:tr>
      <w:tr w:rsidR="007B6E28" w:rsidRPr="00E00285" w14:paraId="6F3D1993" w14:textId="77777777">
        <w:tc>
          <w:tcPr>
            <w:tcW w:w="3325" w:type="dxa"/>
          </w:tcPr>
          <w:p w14:paraId="576A800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Normalization</w:t>
            </w:r>
          </w:p>
        </w:tc>
        <w:tc>
          <w:tcPr>
            <w:tcW w:w="3325" w:type="dxa"/>
          </w:tcPr>
          <w:p w14:paraId="2BBE21A8"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LogNormalize</w:t>
            </w:r>
            <w:proofErr w:type="spellEnd"/>
            <w:r w:rsidRPr="00E00285">
              <w:rPr>
                <w:rFonts w:ascii="Times New Roman" w:eastAsia="Times New Roman" w:hAnsi="Times New Roman" w:cs="Times New Roman"/>
                <w:color w:val="000000" w:themeColor="text1"/>
                <w:sz w:val="24"/>
                <w:szCs w:val="24"/>
              </w:rPr>
              <w:t xml:space="preserve">; </w:t>
            </w:r>
            <w:proofErr w:type="spellStart"/>
            <w:r w:rsidRPr="00E00285">
              <w:rPr>
                <w:rFonts w:ascii="Times New Roman" w:eastAsia="Times New Roman" w:hAnsi="Times New Roman" w:cs="Times New Roman"/>
                <w:color w:val="000000" w:themeColor="text1"/>
                <w:sz w:val="24"/>
                <w:szCs w:val="24"/>
              </w:rPr>
              <w:t>scale.factor</w:t>
            </w:r>
            <w:proofErr w:type="spellEnd"/>
            <w:r w:rsidRPr="00E00285">
              <w:rPr>
                <w:rFonts w:ascii="Times New Roman" w:eastAsia="Times New Roman" w:hAnsi="Times New Roman" w:cs="Times New Roman"/>
                <w:color w:val="000000" w:themeColor="text1"/>
                <w:sz w:val="24"/>
                <w:szCs w:val="24"/>
              </w:rPr>
              <w:t xml:space="preserve"> = 10,000</w:t>
            </w:r>
          </w:p>
        </w:tc>
        <w:tc>
          <w:tcPr>
            <w:tcW w:w="3325" w:type="dxa"/>
          </w:tcPr>
          <w:p w14:paraId="381DEDE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Per-bin library-size normalization</w:t>
            </w:r>
          </w:p>
        </w:tc>
      </w:tr>
      <w:tr w:rsidR="007B6E28" w:rsidRPr="00E00285" w14:paraId="3F84BADE" w14:textId="77777777">
        <w:tc>
          <w:tcPr>
            <w:tcW w:w="3325" w:type="dxa"/>
          </w:tcPr>
          <w:p w14:paraId="160B080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Variable features</w:t>
            </w:r>
          </w:p>
        </w:tc>
        <w:tc>
          <w:tcPr>
            <w:tcW w:w="3325" w:type="dxa"/>
          </w:tcPr>
          <w:p w14:paraId="403EBB8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VST; 3,000 genes</w:t>
            </w:r>
          </w:p>
        </w:tc>
        <w:tc>
          <w:tcPr>
            <w:tcW w:w="3325" w:type="dxa"/>
          </w:tcPr>
          <w:p w14:paraId="41ADB1A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Features used for dimension reduction</w:t>
            </w:r>
          </w:p>
        </w:tc>
      </w:tr>
      <w:tr w:rsidR="007B6E28" w:rsidRPr="00E00285" w14:paraId="1556996C" w14:textId="77777777">
        <w:tc>
          <w:tcPr>
            <w:tcW w:w="3325" w:type="dxa"/>
          </w:tcPr>
          <w:p w14:paraId="6201ABC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PCA/neighbors</w:t>
            </w:r>
          </w:p>
        </w:tc>
        <w:tc>
          <w:tcPr>
            <w:tcW w:w="3325" w:type="dxa"/>
          </w:tcPr>
          <w:p w14:paraId="7527653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50 PCs calculated; PCs 1-15 used</w:t>
            </w:r>
          </w:p>
        </w:tc>
        <w:tc>
          <w:tcPr>
            <w:tcW w:w="3325" w:type="dxa"/>
          </w:tcPr>
          <w:p w14:paraId="036358E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PC range extended modestly beyond elbow</w:t>
            </w:r>
          </w:p>
        </w:tc>
      </w:tr>
      <w:tr w:rsidR="007B6E28" w:rsidRPr="00E00285" w14:paraId="41705B3E" w14:textId="77777777">
        <w:tc>
          <w:tcPr>
            <w:tcW w:w="3325" w:type="dxa"/>
          </w:tcPr>
          <w:p w14:paraId="36486F3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Clustering</w:t>
            </w:r>
          </w:p>
        </w:tc>
        <w:tc>
          <w:tcPr>
            <w:tcW w:w="3325" w:type="dxa"/>
          </w:tcPr>
          <w:p w14:paraId="13E0816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Louvain; resolution = 0.5</w:t>
            </w:r>
          </w:p>
        </w:tc>
        <w:tc>
          <w:tcPr>
            <w:tcW w:w="3325" w:type="dxa"/>
          </w:tcPr>
          <w:p w14:paraId="26D12B2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Seven graph-based domains</w:t>
            </w:r>
          </w:p>
        </w:tc>
      </w:tr>
      <w:tr w:rsidR="007B6E28" w:rsidRPr="00E00285" w14:paraId="09E7D507" w14:textId="77777777">
        <w:tc>
          <w:tcPr>
            <w:tcW w:w="3325" w:type="dxa"/>
          </w:tcPr>
          <w:p w14:paraId="0E69339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Marker testing</w:t>
            </w:r>
          </w:p>
        </w:tc>
        <w:tc>
          <w:tcPr>
            <w:tcW w:w="3325" w:type="dxa"/>
          </w:tcPr>
          <w:p w14:paraId="74ECE81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Wilcoxon rank-sum; positive markers</w:t>
            </w:r>
          </w:p>
        </w:tc>
        <w:tc>
          <w:tcPr>
            <w:tcW w:w="3325" w:type="dxa"/>
          </w:tcPr>
          <w:p w14:paraId="3F8FC79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Annotation used markers, atlas evidence, and spatial position</w:t>
            </w:r>
          </w:p>
        </w:tc>
      </w:tr>
      <w:tr w:rsidR="007B6E28" w:rsidRPr="00E00285" w14:paraId="741A1DCD" w14:textId="77777777">
        <w:tc>
          <w:tcPr>
            <w:tcW w:w="3325" w:type="dxa"/>
          </w:tcPr>
          <w:p w14:paraId="1DE42EB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SVG detection</w:t>
            </w:r>
          </w:p>
        </w:tc>
        <w:tc>
          <w:tcPr>
            <w:tcW w:w="3325" w:type="dxa"/>
          </w:tcPr>
          <w:p w14:paraId="55E196D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Moran’s I</w:t>
            </w:r>
          </w:p>
        </w:tc>
        <w:tc>
          <w:tcPr>
            <w:tcW w:w="3325" w:type="dxa"/>
          </w:tcPr>
          <w:p w14:paraId="4A63DCC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Independent of cluster labels</w:t>
            </w:r>
          </w:p>
        </w:tc>
      </w:tr>
      <w:tr w:rsidR="007B6E28" w:rsidRPr="00E00285" w14:paraId="0818DE87" w14:textId="77777777">
        <w:tc>
          <w:tcPr>
            <w:tcW w:w="3325" w:type="dxa"/>
          </w:tcPr>
          <w:p w14:paraId="28F63B4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DE</w:t>
            </w:r>
          </w:p>
        </w:tc>
        <w:tc>
          <w:tcPr>
            <w:tcW w:w="3325" w:type="dxa"/>
          </w:tcPr>
          <w:p w14:paraId="094E06A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Wilcoxon; min.pct = 0.10; </w:t>
            </w:r>
            <w:proofErr w:type="spellStart"/>
            <w:r w:rsidRPr="00E00285">
              <w:rPr>
                <w:rFonts w:ascii="Times New Roman" w:eastAsia="Times New Roman" w:hAnsi="Times New Roman" w:cs="Times New Roman"/>
                <w:color w:val="000000" w:themeColor="text1"/>
                <w:sz w:val="24"/>
                <w:szCs w:val="24"/>
              </w:rPr>
              <w:t>logfc.threshold</w:t>
            </w:r>
            <w:proofErr w:type="spellEnd"/>
            <w:r w:rsidRPr="00E00285">
              <w:rPr>
                <w:rFonts w:ascii="Times New Roman" w:eastAsia="Times New Roman" w:hAnsi="Times New Roman" w:cs="Times New Roman"/>
                <w:color w:val="000000" w:themeColor="text1"/>
                <w:sz w:val="24"/>
                <w:szCs w:val="24"/>
              </w:rPr>
              <w:t xml:space="preserve"> = 0.25</w:t>
            </w:r>
          </w:p>
        </w:tc>
        <w:tc>
          <w:tcPr>
            <w:tcW w:w="3325" w:type="dxa"/>
          </w:tcPr>
          <w:p w14:paraId="11626DB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Adjusted P values interpreted separately from output-row counts</w:t>
            </w:r>
          </w:p>
        </w:tc>
      </w:tr>
      <w:tr w:rsidR="007B6E28" w:rsidRPr="00E00285" w14:paraId="49DD0971" w14:textId="77777777">
        <w:tc>
          <w:tcPr>
            <w:tcW w:w="3325" w:type="dxa"/>
          </w:tcPr>
          <w:p w14:paraId="3D1DA5F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ORA</w:t>
            </w:r>
          </w:p>
        </w:tc>
        <w:tc>
          <w:tcPr>
            <w:tcW w:w="3325" w:type="dxa"/>
          </w:tcPr>
          <w:p w14:paraId="357545D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GO BP; BH correction; detected-gene universe</w:t>
            </w:r>
          </w:p>
        </w:tc>
        <w:tc>
          <w:tcPr>
            <w:tcW w:w="3325" w:type="dxa"/>
          </w:tcPr>
          <w:p w14:paraId="6F05BAD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17,852 detected genes used as the initial universe</w:t>
            </w:r>
          </w:p>
        </w:tc>
      </w:tr>
      <w:tr w:rsidR="007B6E28" w:rsidRPr="00E00285" w14:paraId="62431A9A" w14:textId="77777777">
        <w:tc>
          <w:tcPr>
            <w:tcW w:w="3325" w:type="dxa"/>
          </w:tcPr>
          <w:p w14:paraId="3FC0175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GSEA</w:t>
            </w:r>
          </w:p>
        </w:tc>
        <w:tc>
          <w:tcPr>
            <w:tcW w:w="3325" w:type="dxa"/>
          </w:tcPr>
          <w:p w14:paraId="474BE53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Pre-ranked by avg_log2FC</w:t>
            </w:r>
          </w:p>
        </w:tc>
        <w:tc>
          <w:tcPr>
            <w:tcW w:w="3325" w:type="dxa"/>
          </w:tcPr>
          <w:p w14:paraId="45A4E71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Used for three biologically targeted contrasts</w:t>
            </w:r>
          </w:p>
        </w:tc>
      </w:tr>
      <w:tr w:rsidR="007B6E28" w:rsidRPr="00E00285" w14:paraId="40B1C96C" w14:textId="77777777">
        <w:tc>
          <w:tcPr>
            <w:tcW w:w="3325" w:type="dxa"/>
          </w:tcPr>
          <w:p w14:paraId="4360625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lastRenderedPageBreak/>
              <w:t>Gradient modeling</w:t>
            </w:r>
          </w:p>
        </w:tc>
        <w:tc>
          <w:tcPr>
            <w:tcW w:w="3325" w:type="dxa"/>
          </w:tcPr>
          <w:p w14:paraId="63A92F4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GAM: expression ~ s(distance from SAM, k = 4)</w:t>
            </w:r>
          </w:p>
        </w:tc>
        <w:tc>
          <w:tcPr>
            <w:tcW w:w="3325" w:type="dxa"/>
          </w:tcPr>
          <w:p w14:paraId="6C8836F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Restricted to a physically connected shoot-axis fragment</w:t>
            </w:r>
          </w:p>
        </w:tc>
      </w:tr>
    </w:tbl>
    <w:p w14:paraId="7F88FB7D"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 Independent marker validation, clustering, and tissue-domain annotation</w:t>
      </w:r>
    </w:p>
    <w:p w14:paraId="4524E0A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Before unsupervised clustering, PHB and ERL2 were mapped as independently documented shoot-meristem markers. Their localized spatial expression provided an orthogonal check that the bin coordinates and normalized expression matrix retained anatomical signal. The object was then processed using 3,000 variable genes, z-score scaling, principal component analysis, a shared-nearest-neighbor graph based on PCs 1-15, Louvain clustering at resolution 0.5, and UMAP.</w:t>
      </w:r>
    </w:p>
    <w:p w14:paraId="32CB0C0F" w14:textId="77777777" w:rsidR="007B6E28" w:rsidRPr="00E00285" w:rsidRDefault="00000000">
      <w:pPr>
        <w:keepLines/>
        <w:pBdr>
          <w:top w:val="nil"/>
          <w:left w:val="nil"/>
          <w:bottom w:val="nil"/>
          <w:right w:val="nil"/>
          <w:between w:val="nil"/>
        </w:pBdr>
        <w:shd w:val="clear" w:color="auto" w:fill="F2F2F2"/>
        <w:spacing w:before="60" w:line="240" w:lineRule="auto"/>
        <w:ind w:left="216" w:right="7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obj &lt;- </w:t>
      </w:r>
      <w:proofErr w:type="spellStart"/>
      <w:r w:rsidRPr="00E00285">
        <w:rPr>
          <w:rFonts w:ascii="Times New Roman" w:eastAsia="Times New Roman" w:hAnsi="Times New Roman" w:cs="Times New Roman"/>
          <w:color w:val="000000" w:themeColor="text1"/>
          <w:sz w:val="24"/>
          <w:szCs w:val="24"/>
        </w:rPr>
        <w:t>FindVariableFeatures</w:t>
      </w:r>
      <w:proofErr w:type="spellEnd"/>
      <w:r w:rsidRPr="00E00285">
        <w:rPr>
          <w:rFonts w:ascii="Times New Roman" w:eastAsia="Times New Roman" w:hAnsi="Times New Roman" w:cs="Times New Roman"/>
          <w:color w:val="000000" w:themeColor="text1"/>
          <w:sz w:val="24"/>
          <w:szCs w:val="24"/>
        </w:rPr>
        <w:t xml:space="preserve">(obj, </w:t>
      </w:r>
      <w:proofErr w:type="spellStart"/>
      <w:r w:rsidRPr="00E00285">
        <w:rPr>
          <w:rFonts w:ascii="Times New Roman" w:eastAsia="Times New Roman" w:hAnsi="Times New Roman" w:cs="Times New Roman"/>
          <w:color w:val="000000" w:themeColor="text1"/>
          <w:sz w:val="24"/>
          <w:szCs w:val="24"/>
        </w:rPr>
        <w:t>selection.method</w:t>
      </w:r>
      <w:proofErr w:type="spellEnd"/>
      <w:r w:rsidRPr="00E00285">
        <w:rPr>
          <w:rFonts w:ascii="Times New Roman" w:eastAsia="Times New Roman" w:hAnsi="Times New Roman" w:cs="Times New Roman"/>
          <w:color w:val="000000" w:themeColor="text1"/>
          <w:sz w:val="24"/>
          <w:szCs w:val="24"/>
        </w:rPr>
        <w:t xml:space="preserve"> = "</w:t>
      </w:r>
      <w:proofErr w:type="spellStart"/>
      <w:r w:rsidRPr="00E00285">
        <w:rPr>
          <w:rFonts w:ascii="Times New Roman" w:eastAsia="Times New Roman" w:hAnsi="Times New Roman" w:cs="Times New Roman"/>
          <w:color w:val="000000" w:themeColor="text1"/>
          <w:sz w:val="24"/>
          <w:szCs w:val="24"/>
        </w:rPr>
        <w:t>vst</w:t>
      </w:r>
      <w:proofErr w:type="spellEnd"/>
      <w:r w:rsidRPr="00E00285">
        <w:rPr>
          <w:rFonts w:ascii="Times New Roman" w:eastAsia="Times New Roman" w:hAnsi="Times New Roman" w:cs="Times New Roman"/>
          <w:color w:val="000000" w:themeColor="text1"/>
          <w:sz w:val="24"/>
          <w:szCs w:val="24"/>
        </w:rPr>
        <w:t xml:space="preserve">", </w:t>
      </w:r>
      <w:proofErr w:type="spellStart"/>
      <w:r w:rsidRPr="00E00285">
        <w:rPr>
          <w:rFonts w:ascii="Times New Roman" w:eastAsia="Times New Roman" w:hAnsi="Times New Roman" w:cs="Times New Roman"/>
          <w:color w:val="000000" w:themeColor="text1"/>
          <w:sz w:val="24"/>
          <w:szCs w:val="24"/>
        </w:rPr>
        <w:t>nfeatures</w:t>
      </w:r>
      <w:proofErr w:type="spellEnd"/>
      <w:r w:rsidRPr="00E00285">
        <w:rPr>
          <w:rFonts w:ascii="Times New Roman" w:eastAsia="Times New Roman" w:hAnsi="Times New Roman" w:cs="Times New Roman"/>
          <w:color w:val="000000" w:themeColor="text1"/>
          <w:sz w:val="24"/>
          <w:szCs w:val="24"/>
        </w:rPr>
        <w:t xml:space="preserve"> = 3000)</w:t>
      </w:r>
      <w:r w:rsidRPr="00E00285">
        <w:rPr>
          <w:rFonts w:ascii="Times New Roman" w:eastAsia="Times New Roman" w:hAnsi="Times New Roman" w:cs="Times New Roman"/>
          <w:color w:val="000000" w:themeColor="text1"/>
          <w:sz w:val="24"/>
          <w:szCs w:val="24"/>
        </w:rPr>
        <w:br/>
        <w:t xml:space="preserve">obj &lt;- </w:t>
      </w:r>
      <w:proofErr w:type="spellStart"/>
      <w:r w:rsidRPr="00E00285">
        <w:rPr>
          <w:rFonts w:ascii="Times New Roman" w:eastAsia="Times New Roman" w:hAnsi="Times New Roman" w:cs="Times New Roman"/>
          <w:color w:val="000000" w:themeColor="text1"/>
          <w:sz w:val="24"/>
          <w:szCs w:val="24"/>
        </w:rPr>
        <w:t>ScaleData</w:t>
      </w:r>
      <w:proofErr w:type="spellEnd"/>
      <w:r w:rsidRPr="00E00285">
        <w:rPr>
          <w:rFonts w:ascii="Times New Roman" w:eastAsia="Times New Roman" w:hAnsi="Times New Roman" w:cs="Times New Roman"/>
          <w:color w:val="000000" w:themeColor="text1"/>
          <w:sz w:val="24"/>
          <w:szCs w:val="24"/>
        </w:rPr>
        <w:t>(obj)</w:t>
      </w:r>
      <w:r w:rsidRPr="00E00285">
        <w:rPr>
          <w:rFonts w:ascii="Times New Roman" w:eastAsia="Times New Roman" w:hAnsi="Times New Roman" w:cs="Times New Roman"/>
          <w:color w:val="000000" w:themeColor="text1"/>
          <w:sz w:val="24"/>
          <w:szCs w:val="24"/>
        </w:rPr>
        <w:br/>
        <w:t xml:space="preserve">obj &lt;- </w:t>
      </w:r>
      <w:proofErr w:type="spellStart"/>
      <w:r w:rsidRPr="00E00285">
        <w:rPr>
          <w:rFonts w:ascii="Times New Roman" w:eastAsia="Times New Roman" w:hAnsi="Times New Roman" w:cs="Times New Roman"/>
          <w:color w:val="000000" w:themeColor="text1"/>
          <w:sz w:val="24"/>
          <w:szCs w:val="24"/>
        </w:rPr>
        <w:t>RunPCA</w:t>
      </w:r>
      <w:proofErr w:type="spellEnd"/>
      <w:r w:rsidRPr="00E00285">
        <w:rPr>
          <w:rFonts w:ascii="Times New Roman" w:eastAsia="Times New Roman" w:hAnsi="Times New Roman" w:cs="Times New Roman"/>
          <w:color w:val="000000" w:themeColor="text1"/>
          <w:sz w:val="24"/>
          <w:szCs w:val="24"/>
        </w:rPr>
        <w:t xml:space="preserve">(obj, </w:t>
      </w:r>
      <w:proofErr w:type="spellStart"/>
      <w:r w:rsidRPr="00E00285">
        <w:rPr>
          <w:rFonts w:ascii="Times New Roman" w:eastAsia="Times New Roman" w:hAnsi="Times New Roman" w:cs="Times New Roman"/>
          <w:color w:val="000000" w:themeColor="text1"/>
          <w:sz w:val="24"/>
          <w:szCs w:val="24"/>
        </w:rPr>
        <w:t>npcs</w:t>
      </w:r>
      <w:proofErr w:type="spellEnd"/>
      <w:r w:rsidRPr="00E00285">
        <w:rPr>
          <w:rFonts w:ascii="Times New Roman" w:eastAsia="Times New Roman" w:hAnsi="Times New Roman" w:cs="Times New Roman"/>
          <w:color w:val="000000" w:themeColor="text1"/>
          <w:sz w:val="24"/>
          <w:szCs w:val="24"/>
        </w:rPr>
        <w:t xml:space="preserve"> = 50)</w:t>
      </w:r>
      <w:r w:rsidRPr="00E00285">
        <w:rPr>
          <w:rFonts w:ascii="Times New Roman" w:eastAsia="Times New Roman" w:hAnsi="Times New Roman" w:cs="Times New Roman"/>
          <w:color w:val="000000" w:themeColor="text1"/>
          <w:sz w:val="24"/>
          <w:szCs w:val="24"/>
        </w:rPr>
        <w:br/>
        <w:t xml:space="preserve">obj &lt;- </w:t>
      </w:r>
      <w:proofErr w:type="spellStart"/>
      <w:r w:rsidRPr="00E00285">
        <w:rPr>
          <w:rFonts w:ascii="Times New Roman" w:eastAsia="Times New Roman" w:hAnsi="Times New Roman" w:cs="Times New Roman"/>
          <w:color w:val="000000" w:themeColor="text1"/>
          <w:sz w:val="24"/>
          <w:szCs w:val="24"/>
        </w:rPr>
        <w:t>FindNeighbors</w:t>
      </w:r>
      <w:proofErr w:type="spellEnd"/>
      <w:r w:rsidRPr="00E00285">
        <w:rPr>
          <w:rFonts w:ascii="Times New Roman" w:eastAsia="Times New Roman" w:hAnsi="Times New Roman" w:cs="Times New Roman"/>
          <w:color w:val="000000" w:themeColor="text1"/>
          <w:sz w:val="24"/>
          <w:szCs w:val="24"/>
        </w:rPr>
        <w:t>(obj, dims = 1:15)</w:t>
      </w:r>
      <w:r w:rsidRPr="00E00285">
        <w:rPr>
          <w:rFonts w:ascii="Times New Roman" w:eastAsia="Times New Roman" w:hAnsi="Times New Roman" w:cs="Times New Roman"/>
          <w:color w:val="000000" w:themeColor="text1"/>
          <w:sz w:val="24"/>
          <w:szCs w:val="24"/>
        </w:rPr>
        <w:br/>
        <w:t xml:space="preserve">obj &lt;- </w:t>
      </w:r>
      <w:proofErr w:type="spellStart"/>
      <w:r w:rsidRPr="00E00285">
        <w:rPr>
          <w:rFonts w:ascii="Times New Roman" w:eastAsia="Times New Roman" w:hAnsi="Times New Roman" w:cs="Times New Roman"/>
          <w:color w:val="000000" w:themeColor="text1"/>
          <w:sz w:val="24"/>
          <w:szCs w:val="24"/>
        </w:rPr>
        <w:t>FindClusters</w:t>
      </w:r>
      <w:proofErr w:type="spellEnd"/>
      <w:r w:rsidRPr="00E00285">
        <w:rPr>
          <w:rFonts w:ascii="Times New Roman" w:eastAsia="Times New Roman" w:hAnsi="Times New Roman" w:cs="Times New Roman"/>
          <w:color w:val="000000" w:themeColor="text1"/>
          <w:sz w:val="24"/>
          <w:szCs w:val="24"/>
        </w:rPr>
        <w:t>(obj, resolution = 0.5)</w:t>
      </w:r>
      <w:r w:rsidRPr="00E00285">
        <w:rPr>
          <w:rFonts w:ascii="Times New Roman" w:eastAsia="Times New Roman" w:hAnsi="Times New Roman" w:cs="Times New Roman"/>
          <w:color w:val="000000" w:themeColor="text1"/>
          <w:sz w:val="24"/>
          <w:szCs w:val="24"/>
        </w:rPr>
        <w:br/>
        <w:t xml:space="preserve">obj &lt;- </w:t>
      </w:r>
      <w:proofErr w:type="spellStart"/>
      <w:r w:rsidRPr="00E00285">
        <w:rPr>
          <w:rFonts w:ascii="Times New Roman" w:eastAsia="Times New Roman" w:hAnsi="Times New Roman" w:cs="Times New Roman"/>
          <w:color w:val="000000" w:themeColor="text1"/>
          <w:sz w:val="24"/>
          <w:szCs w:val="24"/>
        </w:rPr>
        <w:t>RunUMAP</w:t>
      </w:r>
      <w:proofErr w:type="spellEnd"/>
      <w:r w:rsidRPr="00E00285">
        <w:rPr>
          <w:rFonts w:ascii="Times New Roman" w:eastAsia="Times New Roman" w:hAnsi="Times New Roman" w:cs="Times New Roman"/>
          <w:color w:val="000000" w:themeColor="text1"/>
          <w:sz w:val="24"/>
          <w:szCs w:val="24"/>
        </w:rPr>
        <w:t>(obj, dims = 1:15)</w:t>
      </w:r>
    </w:p>
    <w:p w14:paraId="329A676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Seven graph-based clusters were resolved and annotated by combining top positive markers, TAIR expression evidence, and physical position in the seedling section. This triangulation was essential because a cluster number has no intrinsic biological meaning and can change when clustering parameters change.</w:t>
      </w:r>
    </w:p>
    <w:p w14:paraId="687EA17A" w14:textId="77777777" w:rsidR="007B6E28" w:rsidRPr="00E00285" w:rsidRDefault="00000000">
      <w:pPr>
        <w:keepNext/>
        <w:pBdr>
          <w:top w:val="nil"/>
          <w:left w:val="nil"/>
          <w:bottom w:val="nil"/>
          <w:right w:val="nil"/>
          <w:between w:val="nil"/>
        </w:pBdr>
        <w:spacing w:before="140" w:after="60" w:line="276"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Table S4. </w:t>
      </w:r>
      <w:r w:rsidRPr="00E00285">
        <w:rPr>
          <w:rFonts w:ascii="Times New Roman" w:eastAsia="Times New Roman" w:hAnsi="Times New Roman" w:cs="Times New Roman"/>
          <w:color w:val="000000" w:themeColor="text1"/>
          <w:sz w:val="24"/>
          <w:szCs w:val="24"/>
        </w:rPr>
        <w:t>Arabidopsis spatial clusters, final tissue-domain annotations, and representative markers.</w:t>
      </w:r>
    </w:p>
    <w:tbl>
      <w:tblPr>
        <w:tblStyle w:val="a2"/>
        <w:tblW w:w="1019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2494"/>
        <w:gridCol w:w="2494"/>
        <w:gridCol w:w="2709"/>
      </w:tblGrid>
      <w:tr w:rsidR="007B6E28" w:rsidRPr="00E00285" w14:paraId="11A7BFE7" w14:textId="77777777">
        <w:tc>
          <w:tcPr>
            <w:tcW w:w="2494" w:type="dxa"/>
          </w:tcPr>
          <w:p w14:paraId="5D05C03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Cluster</w:t>
            </w:r>
          </w:p>
        </w:tc>
        <w:tc>
          <w:tcPr>
            <w:tcW w:w="2494" w:type="dxa"/>
          </w:tcPr>
          <w:p w14:paraId="40AB608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Tissue-domain annotation</w:t>
            </w:r>
          </w:p>
        </w:tc>
        <w:tc>
          <w:tcPr>
            <w:tcW w:w="2494" w:type="dxa"/>
          </w:tcPr>
          <w:p w14:paraId="09A332D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Representative markers</w:t>
            </w:r>
          </w:p>
        </w:tc>
        <w:tc>
          <w:tcPr>
            <w:tcW w:w="2709" w:type="dxa"/>
          </w:tcPr>
          <w:p w14:paraId="54E288D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Dominant biological interpretation</w:t>
            </w:r>
          </w:p>
        </w:tc>
      </w:tr>
      <w:tr w:rsidR="007B6E28" w:rsidRPr="00E00285" w14:paraId="69107521" w14:textId="77777777">
        <w:tc>
          <w:tcPr>
            <w:tcW w:w="2494" w:type="dxa"/>
          </w:tcPr>
          <w:p w14:paraId="6B79ABB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w:t>
            </w:r>
          </w:p>
        </w:tc>
        <w:tc>
          <w:tcPr>
            <w:tcW w:w="2494" w:type="dxa"/>
          </w:tcPr>
          <w:p w14:paraId="35BCE75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w:t>
            </w:r>
          </w:p>
        </w:tc>
        <w:tc>
          <w:tcPr>
            <w:tcW w:w="2494" w:type="dxa"/>
          </w:tcPr>
          <w:p w14:paraId="2B04C60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CAB1, RBCS1A, LHB1B2, LHCB3, PSAL</w:t>
            </w:r>
          </w:p>
        </w:tc>
        <w:tc>
          <w:tcPr>
            <w:tcW w:w="2709" w:type="dxa"/>
          </w:tcPr>
          <w:p w14:paraId="712D11C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Photosynthesis and light-harvesting program</w:t>
            </w:r>
          </w:p>
        </w:tc>
      </w:tr>
      <w:tr w:rsidR="007B6E28" w:rsidRPr="00E00285" w14:paraId="51E5EC0F" w14:textId="77777777">
        <w:tc>
          <w:tcPr>
            <w:tcW w:w="2494" w:type="dxa"/>
          </w:tcPr>
          <w:p w14:paraId="376A71D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w:t>
            </w:r>
          </w:p>
        </w:tc>
        <w:tc>
          <w:tcPr>
            <w:tcW w:w="2494" w:type="dxa"/>
          </w:tcPr>
          <w:p w14:paraId="099E32C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Germinating seed</w:t>
            </w:r>
          </w:p>
        </w:tc>
        <w:tc>
          <w:tcPr>
            <w:tcW w:w="2494" w:type="dxa"/>
          </w:tcPr>
          <w:p w14:paraId="150FB951" w14:textId="77777777" w:rsidR="007B6E28" w:rsidRPr="00E00285" w:rsidRDefault="00000000">
            <w:pPr>
              <w:rPr>
                <w:rFonts w:ascii="Times New Roman" w:eastAsia="Times New Roman" w:hAnsi="Times New Roman" w:cs="Times New Roman"/>
                <w:color w:val="000000" w:themeColor="text1"/>
                <w:sz w:val="24"/>
                <w:szCs w:val="24"/>
                <w:lang w:val="pl-PL"/>
              </w:rPr>
            </w:pPr>
            <w:r w:rsidRPr="00E00285">
              <w:rPr>
                <w:rFonts w:ascii="Times New Roman" w:eastAsia="Times New Roman" w:hAnsi="Times New Roman" w:cs="Times New Roman"/>
                <w:color w:val="000000" w:themeColor="text1"/>
                <w:sz w:val="24"/>
                <w:szCs w:val="24"/>
                <w:lang w:val="pl-PL"/>
              </w:rPr>
              <w:t>ICL, MLS, PCK1, PORA, PORB</w:t>
            </w:r>
          </w:p>
        </w:tc>
        <w:tc>
          <w:tcPr>
            <w:tcW w:w="2709" w:type="dxa"/>
          </w:tcPr>
          <w:p w14:paraId="17451FE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Reserve mobilization, glyoxylate cycle, and establishment metabolism</w:t>
            </w:r>
          </w:p>
        </w:tc>
      </w:tr>
      <w:tr w:rsidR="007B6E28" w:rsidRPr="00E00285" w14:paraId="1B2AB4F0" w14:textId="77777777">
        <w:tc>
          <w:tcPr>
            <w:tcW w:w="2494" w:type="dxa"/>
          </w:tcPr>
          <w:p w14:paraId="7C9DE10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w:t>
            </w:r>
          </w:p>
        </w:tc>
        <w:tc>
          <w:tcPr>
            <w:tcW w:w="2494" w:type="dxa"/>
          </w:tcPr>
          <w:p w14:paraId="4FCF954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Root elongation zone</w:t>
            </w:r>
          </w:p>
        </w:tc>
        <w:tc>
          <w:tcPr>
            <w:tcW w:w="2494" w:type="dxa"/>
          </w:tcPr>
          <w:p w14:paraId="699D96E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AGP31, BGLU21, EXPA9, EXPA14, EXT3</w:t>
            </w:r>
          </w:p>
        </w:tc>
        <w:tc>
          <w:tcPr>
            <w:tcW w:w="2709" w:type="dxa"/>
          </w:tcPr>
          <w:p w14:paraId="5DB245C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Cell-wall remodeling and elongation-associated program</w:t>
            </w:r>
          </w:p>
        </w:tc>
      </w:tr>
      <w:tr w:rsidR="007B6E28" w:rsidRPr="00E00285" w14:paraId="225D7D60" w14:textId="77777777">
        <w:tc>
          <w:tcPr>
            <w:tcW w:w="2494" w:type="dxa"/>
          </w:tcPr>
          <w:p w14:paraId="506C1B0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w:t>
            </w:r>
          </w:p>
        </w:tc>
        <w:tc>
          <w:tcPr>
            <w:tcW w:w="2494" w:type="dxa"/>
          </w:tcPr>
          <w:p w14:paraId="5E55AC1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Root</w:t>
            </w:r>
          </w:p>
        </w:tc>
        <w:tc>
          <w:tcPr>
            <w:tcW w:w="2494" w:type="dxa"/>
          </w:tcPr>
          <w:p w14:paraId="17B7D25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EXT3, UCC2, AGP4, XYP2, LAX3</w:t>
            </w:r>
          </w:p>
        </w:tc>
        <w:tc>
          <w:tcPr>
            <w:tcW w:w="2709" w:type="dxa"/>
          </w:tcPr>
          <w:p w14:paraId="020C066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Root structural, transport, and cell-wall-associated program</w:t>
            </w:r>
          </w:p>
        </w:tc>
      </w:tr>
      <w:tr w:rsidR="007B6E28" w:rsidRPr="00E00285" w14:paraId="15D9D045" w14:textId="77777777">
        <w:tc>
          <w:tcPr>
            <w:tcW w:w="2494" w:type="dxa"/>
          </w:tcPr>
          <w:p w14:paraId="779F7FF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w:t>
            </w:r>
          </w:p>
        </w:tc>
        <w:tc>
          <w:tcPr>
            <w:tcW w:w="2494" w:type="dxa"/>
          </w:tcPr>
          <w:p w14:paraId="3CFC875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Meristematic tissue</w:t>
            </w:r>
          </w:p>
        </w:tc>
        <w:tc>
          <w:tcPr>
            <w:tcW w:w="2494" w:type="dxa"/>
          </w:tcPr>
          <w:p w14:paraId="3EE0C409" w14:textId="77777777" w:rsidR="007B6E28" w:rsidRPr="00596EFE" w:rsidRDefault="00000000">
            <w:pPr>
              <w:rPr>
                <w:rFonts w:ascii="Times New Roman" w:eastAsia="Times New Roman" w:hAnsi="Times New Roman" w:cs="Times New Roman"/>
                <w:color w:val="000000" w:themeColor="text1"/>
                <w:sz w:val="24"/>
                <w:szCs w:val="24"/>
                <w:lang w:val="pl-PL"/>
              </w:rPr>
            </w:pPr>
            <w:r w:rsidRPr="00596EFE">
              <w:rPr>
                <w:rFonts w:ascii="Times New Roman" w:eastAsia="Times New Roman" w:hAnsi="Times New Roman" w:cs="Times New Roman"/>
                <w:color w:val="000000" w:themeColor="text1"/>
                <w:sz w:val="24"/>
                <w:szCs w:val="24"/>
                <w:lang w:val="pl-PL"/>
              </w:rPr>
              <w:t>GRP4, NOP10, HDA3, DI21, ROC2</w:t>
            </w:r>
          </w:p>
        </w:tc>
        <w:tc>
          <w:tcPr>
            <w:tcW w:w="2709" w:type="dxa"/>
          </w:tcPr>
          <w:p w14:paraId="4FCD664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Highly distinct proliferative/meristematic transcriptional state</w:t>
            </w:r>
          </w:p>
        </w:tc>
      </w:tr>
      <w:tr w:rsidR="007B6E28" w:rsidRPr="00E00285" w14:paraId="72509847" w14:textId="77777777">
        <w:tc>
          <w:tcPr>
            <w:tcW w:w="2494" w:type="dxa"/>
          </w:tcPr>
          <w:p w14:paraId="6017A10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5</w:t>
            </w:r>
          </w:p>
        </w:tc>
        <w:tc>
          <w:tcPr>
            <w:tcW w:w="2494" w:type="dxa"/>
          </w:tcPr>
          <w:p w14:paraId="058AACE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Hypocotyl</w:t>
            </w:r>
          </w:p>
        </w:tc>
        <w:tc>
          <w:tcPr>
            <w:tcW w:w="2494" w:type="dxa"/>
          </w:tcPr>
          <w:p w14:paraId="34187F8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ACO2, AGP12, SIAR1, XCP2, WAT1</w:t>
            </w:r>
          </w:p>
        </w:tc>
        <w:tc>
          <w:tcPr>
            <w:tcW w:w="2709" w:type="dxa"/>
          </w:tcPr>
          <w:p w14:paraId="2AE019F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Axis and vascular/transport-associated program</w:t>
            </w:r>
          </w:p>
        </w:tc>
      </w:tr>
      <w:tr w:rsidR="007B6E28" w:rsidRPr="00E00285" w14:paraId="4F9F201C" w14:textId="77777777">
        <w:tc>
          <w:tcPr>
            <w:tcW w:w="2494" w:type="dxa"/>
          </w:tcPr>
          <w:p w14:paraId="18EED88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6</w:t>
            </w:r>
          </w:p>
        </w:tc>
        <w:tc>
          <w:tcPr>
            <w:tcW w:w="2494" w:type="dxa"/>
          </w:tcPr>
          <w:p w14:paraId="1DF65D5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Shoot apical meristem (SAM)</w:t>
            </w:r>
          </w:p>
        </w:tc>
        <w:tc>
          <w:tcPr>
            <w:tcW w:w="2494" w:type="dxa"/>
          </w:tcPr>
          <w:p w14:paraId="0F6763F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CYP78A5, ERL2, AFO, ANT, GRF5</w:t>
            </w:r>
          </w:p>
        </w:tc>
        <w:tc>
          <w:tcPr>
            <w:tcW w:w="2709" w:type="dxa"/>
          </w:tcPr>
          <w:p w14:paraId="0C73C02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Shoot-organizer and organ-initiation program</w:t>
            </w:r>
          </w:p>
        </w:tc>
      </w:tr>
    </w:tbl>
    <w:p w14:paraId="269FB5C1" w14:textId="77777777" w:rsidR="007B6E28" w:rsidRPr="00E00285" w:rsidRDefault="00000000">
      <w:pPr>
        <w:spacing w:before="40" w:after="12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Note. </w:t>
      </w:r>
      <w:r w:rsidRPr="00E00285">
        <w:rPr>
          <w:rFonts w:ascii="Times New Roman" w:eastAsia="Times New Roman" w:hAnsi="Times New Roman" w:cs="Times New Roman"/>
          <w:i/>
          <w:iCs/>
          <w:color w:val="000000" w:themeColor="text1"/>
          <w:sz w:val="24"/>
          <w:szCs w:val="24"/>
        </w:rPr>
        <w:t>Annotations are bin-level tissue domains. They are not single-cell labels because an 8 µm capture bin may contain a cell fraction, one cell, or material from neighboring cells.</w:t>
      </w:r>
    </w:p>
    <w:p w14:paraId="580C6FF3" w14:textId="77777777" w:rsidR="007B6E28" w:rsidRPr="00E00285" w:rsidRDefault="00000000">
      <w:pPr>
        <w:keepLines/>
        <w:spacing w:after="0"/>
        <w:jc w:val="center"/>
        <w:rPr>
          <w:color w:val="000000" w:themeColor="text1"/>
        </w:rPr>
      </w:pPr>
      <w:r w:rsidRPr="00E00285">
        <w:rPr>
          <w:noProof/>
          <w:color w:val="000000" w:themeColor="text1"/>
        </w:rPr>
        <w:lastRenderedPageBreak/>
        <w:drawing>
          <wp:inline distT="0" distB="0" distL="0" distR="0" wp14:anchorId="268B4CDC" wp14:editId="49106D7B">
            <wp:extent cx="6217920" cy="2732465"/>
            <wp:effectExtent l="0" t="0" r="0" b="0"/>
            <wp:docPr id="5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6217920" cy="2732465"/>
                    </a:xfrm>
                    <a:prstGeom prst="rect">
                      <a:avLst/>
                    </a:prstGeom>
                    <a:ln/>
                  </pic:spPr>
                </pic:pic>
              </a:graphicData>
            </a:graphic>
          </wp:inline>
        </w:drawing>
      </w:r>
    </w:p>
    <w:p w14:paraId="702F9803" w14:textId="77777777" w:rsidR="007B6E28" w:rsidRPr="00E00285" w:rsidRDefault="007B6E28">
      <w:pPr>
        <w:rPr>
          <w:color w:val="000000" w:themeColor="text1"/>
        </w:rPr>
      </w:pPr>
    </w:p>
    <w:p w14:paraId="6CE7AA04" w14:textId="77777777" w:rsidR="007B6E28" w:rsidRPr="00E00285" w:rsidRDefault="007B6E28">
      <w:pPr>
        <w:rPr>
          <w:color w:val="000000" w:themeColor="text1"/>
        </w:rPr>
      </w:pPr>
    </w:p>
    <w:p w14:paraId="0E725045" w14:textId="77777777" w:rsidR="007B6E28" w:rsidRPr="00E00285" w:rsidRDefault="00000000">
      <w:pPr>
        <w:tabs>
          <w:tab w:val="left" w:pos="998"/>
        </w:tabs>
        <w:rPr>
          <w:color w:val="000000" w:themeColor="text1"/>
        </w:rPr>
      </w:pPr>
      <w:r w:rsidRPr="00E00285">
        <w:rPr>
          <w:color w:val="000000" w:themeColor="text1"/>
        </w:rPr>
        <w:tab/>
      </w:r>
      <w:r w:rsidRPr="00E00285">
        <w:rPr>
          <w:noProof/>
          <w:color w:val="000000" w:themeColor="text1"/>
        </w:rPr>
        <w:drawing>
          <wp:inline distT="0" distB="0" distL="0" distR="0" wp14:anchorId="1644DBFB" wp14:editId="6AB7ECEB">
            <wp:extent cx="6577417" cy="4284651"/>
            <wp:effectExtent l="0" t="0" r="0" b="0"/>
            <wp:docPr id="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6577417" cy="4284651"/>
                    </a:xfrm>
                    <a:prstGeom prst="rect">
                      <a:avLst/>
                    </a:prstGeom>
                    <a:ln/>
                  </pic:spPr>
                </pic:pic>
              </a:graphicData>
            </a:graphic>
          </wp:inline>
        </w:drawing>
      </w:r>
    </w:p>
    <w:p w14:paraId="527E216F"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Figure S2. </w:t>
      </w:r>
      <w:r w:rsidRPr="00E00285">
        <w:rPr>
          <w:rFonts w:ascii="Times New Roman" w:eastAsia="Times New Roman" w:hAnsi="Times New Roman" w:cs="Times New Roman"/>
          <w:color w:val="000000" w:themeColor="text1"/>
          <w:sz w:val="24"/>
          <w:szCs w:val="24"/>
        </w:rPr>
        <w:t>Marker validation and unsupervised domain recovery in the Arabidopsis seedling. (A) Spatial expression of PHB and ERL2. (B) UMAP of seven numeric clusters. (C) Spatial localization of numeric clusters. (D) UMAP after biological annotation. (E) Spatial map after biological annotation.</w:t>
      </w:r>
    </w:p>
    <w:p w14:paraId="4BD58C45"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 xml:space="preserve">The concordance between marker expression, transcriptional clustering, and anatomical position supports a seven-domain model spanning photosynthetic shoot tissue, germinating seed tissue, root compartments, hypocotyl, meristematic tissue, and the shoot apical meristem. The recovery of these domains without image-based cell segmentation demonstrates that bin-level </w:t>
      </w:r>
      <w:proofErr w:type="spellStart"/>
      <w:r w:rsidRPr="00E00285">
        <w:rPr>
          <w:rFonts w:ascii="Times New Roman" w:eastAsia="Times New Roman" w:hAnsi="Times New Roman" w:cs="Times New Roman"/>
          <w:color w:val="000000" w:themeColor="text1"/>
          <w:sz w:val="24"/>
          <w:szCs w:val="24"/>
        </w:rPr>
        <w:t>Visium</w:t>
      </w:r>
      <w:proofErr w:type="spellEnd"/>
      <w:r w:rsidRPr="00E00285">
        <w:rPr>
          <w:rFonts w:ascii="Times New Roman" w:eastAsia="Times New Roman" w:hAnsi="Times New Roman" w:cs="Times New Roman"/>
          <w:color w:val="000000" w:themeColor="text1"/>
          <w:sz w:val="24"/>
          <w:szCs w:val="24"/>
        </w:rPr>
        <w:t xml:space="preserve"> HD data can preserve organ-scale developmental organization in a plant section.</w:t>
      </w:r>
    </w:p>
    <w:p w14:paraId="5A7310F3"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lastRenderedPageBreak/>
        <w:t>4. Cluster markers and spatially variable genes</w:t>
      </w:r>
    </w:p>
    <w:p w14:paraId="0B5E2AF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Positive cluster markers were identified with the Wilcoxon rank-sum test and summarized in a heatmap. Spatially variable genes were ranked with Moran’s I, which measures whether similar expression values occur near one another more often than expected under spatial randomness. The top spatially variable genes included structural and developmental markers such as EXT3, AGP31, XYP2, GRP4, and AFO. All top 20 spatially variable genes were also recovered among cluster marker genes in the supplied analysis.</w:t>
      </w:r>
    </w:p>
    <w:p w14:paraId="36A34D20" w14:textId="77777777" w:rsidR="007B6E28" w:rsidRPr="00E00285" w:rsidRDefault="00000000">
      <w:pPr>
        <w:keepLines/>
        <w:pBdr>
          <w:top w:val="nil"/>
          <w:left w:val="nil"/>
          <w:bottom w:val="nil"/>
          <w:right w:val="nil"/>
          <w:between w:val="nil"/>
        </w:pBdr>
        <w:shd w:val="clear" w:color="auto" w:fill="F2F2F2"/>
        <w:spacing w:before="60" w:line="240" w:lineRule="auto"/>
        <w:ind w:left="216" w:right="7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markers &lt;- </w:t>
      </w:r>
      <w:proofErr w:type="spellStart"/>
      <w:r w:rsidRPr="00E00285">
        <w:rPr>
          <w:rFonts w:ascii="Times New Roman" w:eastAsia="Times New Roman" w:hAnsi="Times New Roman" w:cs="Times New Roman"/>
          <w:color w:val="000000" w:themeColor="text1"/>
          <w:sz w:val="24"/>
          <w:szCs w:val="24"/>
        </w:rPr>
        <w:t>FindAllMarkers</w:t>
      </w:r>
      <w:proofErr w:type="spellEnd"/>
      <w:r w:rsidRPr="00E00285">
        <w:rPr>
          <w:rFonts w:ascii="Times New Roman" w:eastAsia="Times New Roman" w:hAnsi="Times New Roman" w:cs="Times New Roman"/>
          <w:color w:val="000000" w:themeColor="text1"/>
          <w:sz w:val="24"/>
          <w:szCs w:val="24"/>
        </w:rPr>
        <w:t xml:space="preserve">(obj, assay = "Spatial.008um", </w:t>
      </w:r>
      <w:proofErr w:type="spellStart"/>
      <w:r w:rsidRPr="00E00285">
        <w:rPr>
          <w:rFonts w:ascii="Times New Roman" w:eastAsia="Times New Roman" w:hAnsi="Times New Roman" w:cs="Times New Roman"/>
          <w:color w:val="000000" w:themeColor="text1"/>
          <w:sz w:val="24"/>
          <w:szCs w:val="24"/>
        </w:rPr>
        <w:t>only.pos</w:t>
      </w:r>
      <w:proofErr w:type="spellEnd"/>
      <w:r w:rsidRPr="00E00285">
        <w:rPr>
          <w:rFonts w:ascii="Times New Roman" w:eastAsia="Times New Roman" w:hAnsi="Times New Roman" w:cs="Times New Roman"/>
          <w:color w:val="000000" w:themeColor="text1"/>
          <w:sz w:val="24"/>
          <w:szCs w:val="24"/>
        </w:rPr>
        <w:t xml:space="preserve"> = TRUE)</w:t>
      </w:r>
      <w:r w:rsidRPr="00E00285">
        <w:rPr>
          <w:rFonts w:ascii="Times New Roman" w:eastAsia="Times New Roman" w:hAnsi="Times New Roman" w:cs="Times New Roman"/>
          <w:color w:val="000000" w:themeColor="text1"/>
          <w:sz w:val="24"/>
          <w:szCs w:val="24"/>
        </w:rPr>
        <w:br/>
        <w:t xml:space="preserve">obj &lt;- </w:t>
      </w:r>
      <w:proofErr w:type="spellStart"/>
      <w:r w:rsidRPr="00E00285">
        <w:rPr>
          <w:rFonts w:ascii="Times New Roman" w:eastAsia="Times New Roman" w:hAnsi="Times New Roman" w:cs="Times New Roman"/>
          <w:color w:val="000000" w:themeColor="text1"/>
          <w:sz w:val="24"/>
          <w:szCs w:val="24"/>
        </w:rPr>
        <w:t>FindSpatiallyVariableFeatures</w:t>
      </w:r>
      <w:proofErr w:type="spellEnd"/>
      <w:r w:rsidRPr="00E00285">
        <w:rPr>
          <w:rFonts w:ascii="Times New Roman" w:eastAsia="Times New Roman" w:hAnsi="Times New Roman" w:cs="Times New Roman"/>
          <w:color w:val="000000" w:themeColor="text1"/>
          <w:sz w:val="24"/>
          <w:szCs w:val="24"/>
        </w:rPr>
        <w:t>(</w:t>
      </w:r>
      <w:r w:rsidRPr="00E00285">
        <w:rPr>
          <w:rFonts w:ascii="Times New Roman" w:eastAsia="Times New Roman" w:hAnsi="Times New Roman" w:cs="Times New Roman"/>
          <w:color w:val="000000" w:themeColor="text1"/>
          <w:sz w:val="24"/>
          <w:szCs w:val="24"/>
        </w:rPr>
        <w:br/>
        <w:t xml:space="preserve">  obj, assay = "Spatial.008um", features = </w:t>
      </w:r>
      <w:proofErr w:type="spellStart"/>
      <w:r w:rsidRPr="00E00285">
        <w:rPr>
          <w:rFonts w:ascii="Times New Roman" w:eastAsia="Times New Roman" w:hAnsi="Times New Roman" w:cs="Times New Roman"/>
          <w:color w:val="000000" w:themeColor="text1"/>
          <w:sz w:val="24"/>
          <w:szCs w:val="24"/>
        </w:rPr>
        <w:t>VariableFeatures</w:t>
      </w:r>
      <w:proofErr w:type="spellEnd"/>
      <w:r w:rsidRPr="00E00285">
        <w:rPr>
          <w:rFonts w:ascii="Times New Roman" w:eastAsia="Times New Roman" w:hAnsi="Times New Roman" w:cs="Times New Roman"/>
          <w:color w:val="000000" w:themeColor="text1"/>
          <w:sz w:val="24"/>
          <w:szCs w:val="24"/>
        </w:rPr>
        <w:t>(obj),</w:t>
      </w:r>
      <w:r w:rsidRPr="00E00285">
        <w:rPr>
          <w:rFonts w:ascii="Times New Roman" w:eastAsia="Times New Roman" w:hAnsi="Times New Roman" w:cs="Times New Roman"/>
          <w:color w:val="000000" w:themeColor="text1"/>
          <w:sz w:val="24"/>
          <w:szCs w:val="24"/>
        </w:rPr>
        <w:br/>
        <w:t xml:space="preserve">  </w:t>
      </w:r>
      <w:proofErr w:type="spellStart"/>
      <w:r w:rsidRPr="00E00285">
        <w:rPr>
          <w:rFonts w:ascii="Times New Roman" w:eastAsia="Times New Roman" w:hAnsi="Times New Roman" w:cs="Times New Roman"/>
          <w:color w:val="000000" w:themeColor="text1"/>
          <w:sz w:val="24"/>
          <w:szCs w:val="24"/>
        </w:rPr>
        <w:t>selection.method</w:t>
      </w:r>
      <w:proofErr w:type="spellEnd"/>
      <w:r w:rsidRPr="00E00285">
        <w:rPr>
          <w:rFonts w:ascii="Times New Roman" w:eastAsia="Times New Roman" w:hAnsi="Times New Roman" w:cs="Times New Roman"/>
          <w:color w:val="000000" w:themeColor="text1"/>
          <w:sz w:val="24"/>
          <w:szCs w:val="24"/>
        </w:rPr>
        <w:t xml:space="preserve"> = "</w:t>
      </w:r>
      <w:proofErr w:type="spellStart"/>
      <w:r w:rsidRPr="00E00285">
        <w:rPr>
          <w:rFonts w:ascii="Times New Roman" w:eastAsia="Times New Roman" w:hAnsi="Times New Roman" w:cs="Times New Roman"/>
          <w:color w:val="000000" w:themeColor="text1"/>
          <w:sz w:val="24"/>
          <w:szCs w:val="24"/>
        </w:rPr>
        <w:t>moransi</w:t>
      </w:r>
      <w:proofErr w:type="spellEnd"/>
      <w:r w:rsidRPr="00E00285">
        <w:rPr>
          <w:rFonts w:ascii="Times New Roman" w:eastAsia="Times New Roman" w:hAnsi="Times New Roman" w:cs="Times New Roman"/>
          <w:color w:val="000000" w:themeColor="text1"/>
          <w:sz w:val="24"/>
          <w:szCs w:val="24"/>
        </w:rPr>
        <w:t>"</w:t>
      </w:r>
      <w:r w:rsidRPr="00E00285">
        <w:rPr>
          <w:rFonts w:ascii="Times New Roman" w:eastAsia="Times New Roman" w:hAnsi="Times New Roman" w:cs="Times New Roman"/>
          <w:color w:val="000000" w:themeColor="text1"/>
          <w:sz w:val="24"/>
          <w:szCs w:val="24"/>
        </w:rPr>
        <w:br/>
        <w:t>)</w:t>
      </w:r>
    </w:p>
    <w:p w14:paraId="31D2A715" w14:textId="77777777" w:rsidR="007B6E28" w:rsidRPr="00E00285" w:rsidRDefault="00000000">
      <w:pPr>
        <w:keepLines/>
        <w:spacing w:after="0"/>
        <w:jc w:val="center"/>
        <w:rPr>
          <w:color w:val="000000" w:themeColor="text1"/>
        </w:rPr>
      </w:pPr>
      <w:r w:rsidRPr="00E00285">
        <w:rPr>
          <w:noProof/>
          <w:color w:val="000000" w:themeColor="text1"/>
        </w:rPr>
        <w:drawing>
          <wp:inline distT="0" distB="0" distL="0" distR="0" wp14:anchorId="2D08F12D" wp14:editId="4B192436">
            <wp:extent cx="6220417" cy="5032112"/>
            <wp:effectExtent l="0" t="0" r="0" b="0"/>
            <wp:docPr id="5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6220417" cy="5032112"/>
                    </a:xfrm>
                    <a:prstGeom prst="rect">
                      <a:avLst/>
                    </a:prstGeom>
                    <a:ln/>
                  </pic:spPr>
                </pic:pic>
              </a:graphicData>
            </a:graphic>
          </wp:inline>
        </w:drawing>
      </w:r>
    </w:p>
    <w:p w14:paraId="79609E07" w14:textId="77777777" w:rsidR="007B6E28" w:rsidRPr="00E00285" w:rsidRDefault="00000000">
      <w:pPr>
        <w:keepLines/>
        <w:pageBreakBefore/>
        <w:spacing w:after="0"/>
        <w:jc w:val="center"/>
        <w:rPr>
          <w:color w:val="000000" w:themeColor="text1"/>
        </w:rPr>
      </w:pPr>
      <w:r w:rsidRPr="00E00285">
        <w:rPr>
          <w:noProof/>
          <w:color w:val="000000" w:themeColor="text1"/>
        </w:rPr>
        <w:lastRenderedPageBreak/>
        <w:drawing>
          <wp:inline distT="0" distB="0" distL="0" distR="0" wp14:anchorId="1E8F15CB" wp14:editId="7243CEFB">
            <wp:extent cx="6217920" cy="5919272"/>
            <wp:effectExtent l="0" t="0" r="0" b="0"/>
            <wp:docPr id="5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2"/>
                    <a:srcRect/>
                    <a:stretch>
                      <a:fillRect/>
                    </a:stretch>
                  </pic:blipFill>
                  <pic:spPr>
                    <a:xfrm>
                      <a:off x="0" y="0"/>
                      <a:ext cx="6217920" cy="5919272"/>
                    </a:xfrm>
                    <a:prstGeom prst="rect">
                      <a:avLst/>
                    </a:prstGeom>
                    <a:ln/>
                  </pic:spPr>
                </pic:pic>
              </a:graphicData>
            </a:graphic>
          </wp:inline>
        </w:drawing>
      </w:r>
    </w:p>
    <w:p w14:paraId="0A9B64BD"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Figure S3. </w:t>
      </w:r>
      <w:r w:rsidRPr="00E00285">
        <w:rPr>
          <w:rFonts w:ascii="Times New Roman" w:eastAsia="Times New Roman" w:hAnsi="Times New Roman" w:cs="Times New Roman"/>
          <w:color w:val="000000" w:themeColor="text1"/>
          <w:sz w:val="24"/>
          <w:szCs w:val="24"/>
        </w:rPr>
        <w:t>Cluster markers and representative spatially variable genes in the Arabidopsis seedling. (A) Heatmap of the leading cluster marker genes. (B) Spatial maps of six representative genes from the ranked spatially variable gene set.</w:t>
      </w:r>
    </w:p>
    <w:p w14:paraId="0674533F"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Cluster markers and label-independent spatial statistics converged on the same tissue organization. This agreement is an internal validation because cluster assignment and Moran’s I ranking use different analytical criteria. Root-associated cell-wall genes, shoot photosynthesis genes, and SAM-associated developmental regulators each occupied anatomically coherent regions.</w:t>
      </w:r>
    </w:p>
    <w:p w14:paraId="37AA4E49"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5. Targeted differential expression between tissue domains</w:t>
      </w:r>
    </w:p>
    <w:p w14:paraId="1B8A1B6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Eight biologically motivated contrasts were evaluated rather than performing an exhaustive all-by-all comparison. The raw </w:t>
      </w:r>
      <w:proofErr w:type="spellStart"/>
      <w:r w:rsidRPr="00E00285">
        <w:rPr>
          <w:rFonts w:ascii="Times New Roman" w:eastAsia="Times New Roman" w:hAnsi="Times New Roman" w:cs="Times New Roman"/>
          <w:color w:val="000000" w:themeColor="text1"/>
          <w:sz w:val="24"/>
          <w:szCs w:val="24"/>
        </w:rPr>
        <w:t>FindMarkers</w:t>
      </w:r>
      <w:proofErr w:type="spellEnd"/>
      <w:r w:rsidRPr="00E00285">
        <w:rPr>
          <w:rFonts w:ascii="Times New Roman" w:eastAsia="Times New Roman" w:hAnsi="Times New Roman" w:cs="Times New Roman"/>
          <w:color w:val="000000" w:themeColor="text1"/>
          <w:sz w:val="24"/>
          <w:szCs w:val="24"/>
        </w:rPr>
        <w:t xml:space="preserve"> output files contain genes that passed the algorithm’s default expression and fold-change prefilters (|log2FC| &gt; 0.25). Consequently these returned row counts are not equivalent to multiple-testing-corrected differential expression. Supplementary Table S5 explicitly separates the number of rows returned from the number of statistically significant genes meeting Benjamini-</w:t>
      </w:r>
      <w:proofErr w:type="spellStart"/>
      <w:r w:rsidRPr="00E00285">
        <w:rPr>
          <w:rFonts w:ascii="Times New Roman" w:eastAsia="Times New Roman" w:hAnsi="Times New Roman" w:cs="Times New Roman"/>
          <w:color w:val="000000" w:themeColor="text1"/>
          <w:sz w:val="24"/>
          <w:szCs w:val="24"/>
        </w:rPr>
        <w:t>Hotchberg</w:t>
      </w:r>
      <w:proofErr w:type="spellEnd"/>
      <w:r w:rsidRPr="00E00285">
        <w:rPr>
          <w:rFonts w:ascii="Times New Roman" w:eastAsia="Times New Roman" w:hAnsi="Times New Roman" w:cs="Times New Roman"/>
          <w:color w:val="000000" w:themeColor="text1"/>
          <w:sz w:val="24"/>
          <w:szCs w:val="24"/>
        </w:rPr>
        <w:t xml:space="preserve"> adjusted P &lt; 0.05 (and |avg_log2FC| &gt; 0.25). This differential expression analysis is provided strictly for descriptive and exploratory purposes within this single-section dataset (n=1). Because the same expression matrix was utilized for both spatial cluster identification and </w:t>
      </w:r>
      <w:r w:rsidRPr="00E00285">
        <w:rPr>
          <w:rFonts w:ascii="Times New Roman" w:eastAsia="Times New Roman" w:hAnsi="Times New Roman" w:cs="Times New Roman"/>
          <w:color w:val="000000" w:themeColor="text1"/>
          <w:sz w:val="24"/>
          <w:szCs w:val="24"/>
        </w:rPr>
        <w:lastRenderedPageBreak/>
        <w:t xml:space="preserve">differential gene expression analysis, leading to circular statistical inference or double dipping, datasets with true biological replicates should instead implement a </w:t>
      </w:r>
      <w:proofErr w:type="spellStart"/>
      <w:r w:rsidRPr="00E00285">
        <w:rPr>
          <w:rFonts w:ascii="Times New Roman" w:eastAsia="Times New Roman" w:hAnsi="Times New Roman" w:cs="Times New Roman"/>
          <w:color w:val="000000" w:themeColor="text1"/>
          <w:sz w:val="24"/>
          <w:szCs w:val="24"/>
        </w:rPr>
        <w:t>pseudobulk</w:t>
      </w:r>
      <w:proofErr w:type="spellEnd"/>
      <w:r w:rsidRPr="00E00285">
        <w:rPr>
          <w:rFonts w:ascii="Times New Roman" w:eastAsia="Times New Roman" w:hAnsi="Times New Roman" w:cs="Times New Roman"/>
          <w:color w:val="000000" w:themeColor="text1"/>
          <w:sz w:val="24"/>
          <w:szCs w:val="24"/>
        </w:rPr>
        <w:t xml:space="preserve"> workflow across independent replicates (Ospina et al., 2024; Squair et al., 2021).</w:t>
      </w:r>
    </w:p>
    <w:p w14:paraId="1C4A83A2" w14:textId="77777777" w:rsidR="007B6E28" w:rsidRPr="00E00285" w:rsidRDefault="00000000">
      <w:pPr>
        <w:keepNext/>
        <w:pBdr>
          <w:top w:val="nil"/>
          <w:left w:val="nil"/>
          <w:bottom w:val="nil"/>
          <w:right w:val="nil"/>
          <w:between w:val="nil"/>
        </w:pBdr>
        <w:spacing w:before="140" w:after="60" w:line="276"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Table S5. </w:t>
      </w:r>
      <w:r w:rsidRPr="00E00285">
        <w:rPr>
          <w:rFonts w:ascii="Times New Roman" w:eastAsia="Times New Roman" w:hAnsi="Times New Roman" w:cs="Times New Roman"/>
          <w:color w:val="000000" w:themeColor="text1"/>
          <w:sz w:val="24"/>
          <w:szCs w:val="24"/>
        </w:rPr>
        <w:t>Targeted Arabidopsis differential-expression contrasts.</w:t>
      </w:r>
    </w:p>
    <w:tbl>
      <w:tblPr>
        <w:tblStyle w:val="a3"/>
        <w:tblW w:w="101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2"/>
        <w:gridCol w:w="1756"/>
        <w:gridCol w:w="1574"/>
        <w:gridCol w:w="1574"/>
        <w:gridCol w:w="3596"/>
      </w:tblGrid>
      <w:tr w:rsidR="007B6E28" w:rsidRPr="00E00285" w14:paraId="4115AE79" w14:textId="77777777">
        <w:tc>
          <w:tcPr>
            <w:tcW w:w="1692" w:type="dxa"/>
          </w:tcPr>
          <w:p w14:paraId="71A8945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Comparison</w:t>
            </w:r>
          </w:p>
        </w:tc>
        <w:tc>
          <w:tcPr>
            <w:tcW w:w="1756" w:type="dxa"/>
          </w:tcPr>
          <w:p w14:paraId="6B4F100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Rows returned by </w:t>
            </w:r>
            <w:proofErr w:type="spellStart"/>
            <w:r w:rsidRPr="00E00285">
              <w:rPr>
                <w:rFonts w:ascii="Times New Roman" w:eastAsia="Times New Roman" w:hAnsi="Times New Roman" w:cs="Times New Roman"/>
                <w:b/>
                <w:bCs/>
                <w:color w:val="000000" w:themeColor="text1"/>
                <w:sz w:val="24"/>
                <w:szCs w:val="24"/>
              </w:rPr>
              <w:t>FindMarkers</w:t>
            </w:r>
            <w:proofErr w:type="spellEnd"/>
          </w:p>
        </w:tc>
        <w:tc>
          <w:tcPr>
            <w:tcW w:w="1574" w:type="dxa"/>
          </w:tcPr>
          <w:p w14:paraId="5326379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Adjusted-P significant genes</w:t>
            </w:r>
          </w:p>
        </w:tc>
        <w:tc>
          <w:tcPr>
            <w:tcW w:w="1574" w:type="dxa"/>
          </w:tcPr>
          <w:p w14:paraId="7C2FFA2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Positive / negative significant genes</w:t>
            </w:r>
          </w:p>
        </w:tc>
        <w:tc>
          <w:tcPr>
            <w:tcW w:w="3596" w:type="dxa"/>
          </w:tcPr>
          <w:p w14:paraId="579D1AB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Supplied output</w:t>
            </w:r>
          </w:p>
        </w:tc>
      </w:tr>
      <w:tr w:rsidR="007B6E28" w:rsidRPr="00E00285" w14:paraId="35633E56" w14:textId="77777777">
        <w:tc>
          <w:tcPr>
            <w:tcW w:w="1692" w:type="dxa"/>
          </w:tcPr>
          <w:p w14:paraId="77D33E4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 vs. germinating seed</w:t>
            </w:r>
          </w:p>
        </w:tc>
        <w:tc>
          <w:tcPr>
            <w:tcW w:w="1756" w:type="dxa"/>
          </w:tcPr>
          <w:p w14:paraId="7E0A3B2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330</w:t>
            </w:r>
          </w:p>
        </w:tc>
        <w:tc>
          <w:tcPr>
            <w:tcW w:w="1574" w:type="dxa"/>
          </w:tcPr>
          <w:p w14:paraId="698D55D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214</w:t>
            </w:r>
          </w:p>
        </w:tc>
        <w:tc>
          <w:tcPr>
            <w:tcW w:w="1574" w:type="dxa"/>
          </w:tcPr>
          <w:p w14:paraId="6E23C66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 / 213</w:t>
            </w:r>
          </w:p>
        </w:tc>
        <w:tc>
          <w:tcPr>
            <w:tcW w:w="3596" w:type="dxa"/>
          </w:tcPr>
          <w:p w14:paraId="6D7ED2A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DE_cotyledon_vs_germinating.csv</w:t>
            </w:r>
          </w:p>
        </w:tc>
      </w:tr>
      <w:tr w:rsidR="007B6E28" w:rsidRPr="00E00285" w14:paraId="4B972B00" w14:textId="77777777">
        <w:tc>
          <w:tcPr>
            <w:tcW w:w="1692" w:type="dxa"/>
          </w:tcPr>
          <w:p w14:paraId="3B5B269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 vs. hypocotyl</w:t>
            </w:r>
          </w:p>
        </w:tc>
        <w:tc>
          <w:tcPr>
            <w:tcW w:w="1756" w:type="dxa"/>
          </w:tcPr>
          <w:p w14:paraId="32E4FF7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212</w:t>
            </w:r>
          </w:p>
        </w:tc>
        <w:tc>
          <w:tcPr>
            <w:tcW w:w="1574" w:type="dxa"/>
          </w:tcPr>
          <w:p w14:paraId="16288AE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35</w:t>
            </w:r>
          </w:p>
        </w:tc>
        <w:tc>
          <w:tcPr>
            <w:tcW w:w="1574" w:type="dxa"/>
          </w:tcPr>
          <w:p w14:paraId="2C65E5F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 / 32</w:t>
            </w:r>
          </w:p>
        </w:tc>
        <w:tc>
          <w:tcPr>
            <w:tcW w:w="3596" w:type="dxa"/>
          </w:tcPr>
          <w:p w14:paraId="5C33D59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DE_cotyledon_vs_hypocotyl.csv</w:t>
            </w:r>
          </w:p>
        </w:tc>
      </w:tr>
      <w:tr w:rsidR="007B6E28" w:rsidRPr="00E00285" w14:paraId="3743390B" w14:textId="77777777">
        <w:tc>
          <w:tcPr>
            <w:tcW w:w="1692" w:type="dxa"/>
          </w:tcPr>
          <w:p w14:paraId="01596A9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Root vs. hypocotyl</w:t>
            </w:r>
          </w:p>
        </w:tc>
        <w:tc>
          <w:tcPr>
            <w:tcW w:w="1756" w:type="dxa"/>
          </w:tcPr>
          <w:p w14:paraId="5E5B7A5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1,304</w:t>
            </w:r>
          </w:p>
        </w:tc>
        <w:tc>
          <w:tcPr>
            <w:tcW w:w="1574" w:type="dxa"/>
          </w:tcPr>
          <w:p w14:paraId="7671917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47</w:t>
            </w:r>
          </w:p>
        </w:tc>
        <w:tc>
          <w:tcPr>
            <w:tcW w:w="1574" w:type="dxa"/>
          </w:tcPr>
          <w:p w14:paraId="7DE614B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39 / 8</w:t>
            </w:r>
          </w:p>
        </w:tc>
        <w:tc>
          <w:tcPr>
            <w:tcW w:w="3596" w:type="dxa"/>
          </w:tcPr>
          <w:p w14:paraId="7EB66B6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DE_Root_vs_hypocotyl.csv</w:t>
            </w:r>
          </w:p>
        </w:tc>
      </w:tr>
      <w:tr w:rsidR="007B6E28" w:rsidRPr="00E00285" w14:paraId="1EEFFC46" w14:textId="77777777">
        <w:tc>
          <w:tcPr>
            <w:tcW w:w="1692" w:type="dxa"/>
          </w:tcPr>
          <w:p w14:paraId="28F020C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Root vs. root elongation zone</w:t>
            </w:r>
          </w:p>
        </w:tc>
        <w:tc>
          <w:tcPr>
            <w:tcW w:w="1756" w:type="dxa"/>
          </w:tcPr>
          <w:p w14:paraId="1F256A1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1,652</w:t>
            </w:r>
          </w:p>
        </w:tc>
        <w:tc>
          <w:tcPr>
            <w:tcW w:w="1574" w:type="dxa"/>
          </w:tcPr>
          <w:p w14:paraId="79632C3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118</w:t>
            </w:r>
          </w:p>
        </w:tc>
        <w:tc>
          <w:tcPr>
            <w:tcW w:w="1574" w:type="dxa"/>
          </w:tcPr>
          <w:p w14:paraId="6CA37D7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35 / 83</w:t>
            </w:r>
          </w:p>
        </w:tc>
        <w:tc>
          <w:tcPr>
            <w:tcW w:w="3596" w:type="dxa"/>
          </w:tcPr>
          <w:p w14:paraId="5710148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DE_Root_vs_REZ.csv</w:t>
            </w:r>
          </w:p>
        </w:tc>
      </w:tr>
      <w:tr w:rsidR="007B6E28" w:rsidRPr="00E00285" w14:paraId="0209E79D" w14:textId="77777777">
        <w:tc>
          <w:tcPr>
            <w:tcW w:w="1692" w:type="dxa"/>
          </w:tcPr>
          <w:p w14:paraId="77ADC79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Root vs. meristematic tissue</w:t>
            </w:r>
          </w:p>
        </w:tc>
        <w:tc>
          <w:tcPr>
            <w:tcW w:w="1756" w:type="dxa"/>
          </w:tcPr>
          <w:p w14:paraId="60CFEF7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5,462</w:t>
            </w:r>
          </w:p>
        </w:tc>
        <w:tc>
          <w:tcPr>
            <w:tcW w:w="1574" w:type="dxa"/>
          </w:tcPr>
          <w:p w14:paraId="24224D7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1747</w:t>
            </w:r>
          </w:p>
        </w:tc>
        <w:tc>
          <w:tcPr>
            <w:tcW w:w="1574" w:type="dxa"/>
          </w:tcPr>
          <w:p w14:paraId="5302D8F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43/1704</w:t>
            </w:r>
          </w:p>
        </w:tc>
        <w:tc>
          <w:tcPr>
            <w:tcW w:w="3596" w:type="dxa"/>
          </w:tcPr>
          <w:p w14:paraId="2F4B97C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DE_Root_vs_MT.csv</w:t>
            </w:r>
          </w:p>
        </w:tc>
      </w:tr>
      <w:tr w:rsidR="007B6E28" w:rsidRPr="00E00285" w14:paraId="1641FFFB" w14:textId="77777777">
        <w:tc>
          <w:tcPr>
            <w:tcW w:w="1692" w:type="dxa"/>
          </w:tcPr>
          <w:p w14:paraId="5107285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Root elongation zone vs. meristematic tissue</w:t>
            </w:r>
          </w:p>
        </w:tc>
        <w:tc>
          <w:tcPr>
            <w:tcW w:w="1756" w:type="dxa"/>
          </w:tcPr>
          <w:p w14:paraId="1AA41F5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4,974</w:t>
            </w:r>
          </w:p>
        </w:tc>
        <w:tc>
          <w:tcPr>
            <w:tcW w:w="1574" w:type="dxa"/>
          </w:tcPr>
          <w:p w14:paraId="2553869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1,409</w:t>
            </w:r>
          </w:p>
        </w:tc>
        <w:tc>
          <w:tcPr>
            <w:tcW w:w="1574" w:type="dxa"/>
          </w:tcPr>
          <w:p w14:paraId="105EAF2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7 / 1,402</w:t>
            </w:r>
          </w:p>
        </w:tc>
        <w:tc>
          <w:tcPr>
            <w:tcW w:w="3596" w:type="dxa"/>
          </w:tcPr>
          <w:p w14:paraId="1B72981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DE_REZ_vs_MT.csv</w:t>
            </w:r>
          </w:p>
        </w:tc>
      </w:tr>
      <w:tr w:rsidR="007B6E28" w:rsidRPr="00E00285" w14:paraId="5ECFE07E" w14:textId="77777777">
        <w:tc>
          <w:tcPr>
            <w:tcW w:w="1692" w:type="dxa"/>
          </w:tcPr>
          <w:p w14:paraId="7D05EE3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SAM vs. meristematic tissue</w:t>
            </w:r>
          </w:p>
        </w:tc>
        <w:tc>
          <w:tcPr>
            <w:tcW w:w="1756" w:type="dxa"/>
          </w:tcPr>
          <w:p w14:paraId="678F958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5,354</w:t>
            </w:r>
          </w:p>
        </w:tc>
        <w:tc>
          <w:tcPr>
            <w:tcW w:w="1574" w:type="dxa"/>
          </w:tcPr>
          <w:p w14:paraId="0A676FA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364</w:t>
            </w:r>
          </w:p>
        </w:tc>
        <w:tc>
          <w:tcPr>
            <w:tcW w:w="1574" w:type="dxa"/>
          </w:tcPr>
          <w:p w14:paraId="3D3206F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12 / 352</w:t>
            </w:r>
          </w:p>
        </w:tc>
        <w:tc>
          <w:tcPr>
            <w:tcW w:w="3596" w:type="dxa"/>
          </w:tcPr>
          <w:p w14:paraId="43423AA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DE_SAM_vs_MT.csv</w:t>
            </w:r>
          </w:p>
        </w:tc>
      </w:tr>
      <w:tr w:rsidR="007B6E28" w:rsidRPr="00E00285" w14:paraId="0D616218" w14:textId="77777777">
        <w:tc>
          <w:tcPr>
            <w:tcW w:w="1692" w:type="dxa"/>
          </w:tcPr>
          <w:p w14:paraId="67E42FD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SAM vs. cotyledon</w:t>
            </w:r>
          </w:p>
        </w:tc>
        <w:tc>
          <w:tcPr>
            <w:tcW w:w="1756" w:type="dxa"/>
          </w:tcPr>
          <w:p w14:paraId="380C44C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861</w:t>
            </w:r>
          </w:p>
        </w:tc>
        <w:tc>
          <w:tcPr>
            <w:tcW w:w="1574" w:type="dxa"/>
          </w:tcPr>
          <w:p w14:paraId="49B7D29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523</w:t>
            </w:r>
          </w:p>
        </w:tc>
        <w:tc>
          <w:tcPr>
            <w:tcW w:w="1574" w:type="dxa"/>
          </w:tcPr>
          <w:p w14:paraId="2C18046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521 / 2</w:t>
            </w:r>
          </w:p>
        </w:tc>
        <w:tc>
          <w:tcPr>
            <w:tcW w:w="3596" w:type="dxa"/>
          </w:tcPr>
          <w:p w14:paraId="306E2A8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DE_SAM_vs_cot.csv</w:t>
            </w:r>
          </w:p>
        </w:tc>
      </w:tr>
    </w:tbl>
    <w:p w14:paraId="6BFCF447" w14:textId="77777777" w:rsidR="007B6E28" w:rsidRPr="00E00285" w:rsidRDefault="00000000">
      <w:pPr>
        <w:spacing w:before="40" w:after="12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Note. </w:t>
      </w:r>
      <w:r w:rsidRPr="00E00285">
        <w:rPr>
          <w:rFonts w:ascii="Times New Roman" w:eastAsia="Times New Roman" w:hAnsi="Times New Roman" w:cs="Times New Roman"/>
          <w:i/>
          <w:iCs/>
          <w:color w:val="000000" w:themeColor="text1"/>
          <w:sz w:val="24"/>
          <w:szCs w:val="24"/>
        </w:rPr>
        <w:t xml:space="preserve">Positive fold change corresponds to the first tissue in each contrast. </w:t>
      </w:r>
    </w:p>
    <w:p w14:paraId="62344585" w14:textId="77777777" w:rsidR="007B6E28" w:rsidRPr="00E00285" w:rsidRDefault="00000000">
      <w:pPr>
        <w:keepLines/>
        <w:spacing w:after="0"/>
        <w:jc w:val="center"/>
        <w:rPr>
          <w:color w:val="000000" w:themeColor="text1"/>
        </w:rPr>
      </w:pPr>
      <w:r w:rsidRPr="00E00285">
        <w:rPr>
          <w:noProof/>
          <w:color w:val="000000" w:themeColor="text1"/>
        </w:rPr>
        <w:drawing>
          <wp:inline distT="0" distB="0" distL="0" distR="0" wp14:anchorId="2E6862E7" wp14:editId="75A70B29">
            <wp:extent cx="6217920" cy="3242825"/>
            <wp:effectExtent l="0" t="0" r="0" b="0"/>
            <wp:docPr id="5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3"/>
                    <a:srcRect/>
                    <a:stretch>
                      <a:fillRect/>
                    </a:stretch>
                  </pic:blipFill>
                  <pic:spPr>
                    <a:xfrm>
                      <a:off x="0" y="0"/>
                      <a:ext cx="6217920" cy="3242825"/>
                    </a:xfrm>
                    <a:prstGeom prst="rect">
                      <a:avLst/>
                    </a:prstGeom>
                    <a:ln/>
                  </pic:spPr>
                </pic:pic>
              </a:graphicData>
            </a:graphic>
          </wp:inline>
        </w:drawing>
      </w:r>
    </w:p>
    <w:p w14:paraId="0A5BF7BB"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lastRenderedPageBreak/>
        <w:t xml:space="preserve">Supplementary Figure S4. </w:t>
      </w:r>
      <w:r w:rsidRPr="00E00285">
        <w:rPr>
          <w:rFonts w:ascii="Times New Roman" w:eastAsia="Times New Roman" w:hAnsi="Times New Roman" w:cs="Times New Roman"/>
          <w:color w:val="000000" w:themeColor="text1"/>
          <w:sz w:val="24"/>
          <w:szCs w:val="24"/>
        </w:rPr>
        <w:t>Representative differential-expression analysis for cotyledon versus germinating seed. (A) Volcano plot showing effect size and adjusted Interpretation. (B) Spatial expression maps of leading genes from the contrast.</w:t>
      </w:r>
    </w:p>
    <w:p w14:paraId="053B7071"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The contrast separates a photosynthetically active cotyledon program from a germination-associated metabolic program. Spatial visualization is important because it verifies that large fold changes correspond to coherent anatomical domains rather than isolated bins or slide-wide technical gradients.</w:t>
      </w:r>
    </w:p>
    <w:p w14:paraId="545558AB"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6. Functional enrichment and pathway-level interpretation</w:t>
      </w:r>
    </w:p>
    <w:p w14:paraId="69378C1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Two complementary enrichment strategies were used. Over-representation analysis tested </w:t>
      </w:r>
      <w:proofErr w:type="spellStart"/>
      <w:r w:rsidRPr="00E00285">
        <w:rPr>
          <w:rFonts w:ascii="Times New Roman" w:eastAsia="Times New Roman" w:hAnsi="Times New Roman" w:cs="Times New Roman"/>
          <w:color w:val="000000" w:themeColor="text1"/>
          <w:sz w:val="24"/>
          <w:szCs w:val="24"/>
        </w:rPr>
        <w:t>thresholded</w:t>
      </w:r>
      <w:proofErr w:type="spellEnd"/>
      <w:r w:rsidRPr="00E00285">
        <w:rPr>
          <w:rFonts w:ascii="Times New Roman" w:eastAsia="Times New Roman" w:hAnsi="Times New Roman" w:cs="Times New Roman"/>
          <w:color w:val="000000" w:themeColor="text1"/>
          <w:sz w:val="24"/>
          <w:szCs w:val="24"/>
        </w:rPr>
        <w:t xml:space="preserve"> cluster marker lists against GO Biological Process categories using the detected-gene universe. Pre-ranked GSEA used the full ordered differential-expression statistics to identify pathways enriched toward either side of a contrast without imposing </w:t>
      </w:r>
      <w:proofErr w:type="spellStart"/>
      <w:r w:rsidRPr="00E00285">
        <w:rPr>
          <w:rFonts w:ascii="Times New Roman" w:eastAsia="Times New Roman" w:hAnsi="Times New Roman" w:cs="Times New Roman"/>
          <w:color w:val="000000" w:themeColor="text1"/>
          <w:sz w:val="24"/>
          <w:szCs w:val="24"/>
        </w:rPr>
        <w:t>a</w:t>
      </w:r>
      <w:proofErr w:type="spellEnd"/>
      <w:r w:rsidRPr="00E00285">
        <w:rPr>
          <w:rFonts w:ascii="Times New Roman" w:eastAsia="Times New Roman" w:hAnsi="Times New Roman" w:cs="Times New Roman"/>
          <w:color w:val="000000" w:themeColor="text1"/>
          <w:sz w:val="24"/>
          <w:szCs w:val="24"/>
        </w:rPr>
        <w:t xml:space="preserve"> Interpretation cutoff on individual genes. Redundant GO terms were reduced before visualization.</w:t>
      </w:r>
    </w:p>
    <w:p w14:paraId="1306EEE8" w14:textId="77777777" w:rsidR="007B6E28" w:rsidRPr="00E00285" w:rsidRDefault="00000000">
      <w:pPr>
        <w:keepNext/>
        <w:pBdr>
          <w:top w:val="nil"/>
          <w:left w:val="nil"/>
          <w:bottom w:val="nil"/>
          <w:right w:val="nil"/>
          <w:between w:val="nil"/>
        </w:pBdr>
        <w:spacing w:before="140" w:after="60" w:line="276"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Table S6. </w:t>
      </w:r>
      <w:r w:rsidRPr="00E00285">
        <w:rPr>
          <w:rFonts w:ascii="Times New Roman" w:eastAsia="Times New Roman" w:hAnsi="Times New Roman" w:cs="Times New Roman"/>
          <w:color w:val="000000" w:themeColor="text1"/>
          <w:sz w:val="24"/>
          <w:szCs w:val="24"/>
        </w:rPr>
        <w:t>Selected pre-ranked GSEA results from the Arabidopsis case study.</w:t>
      </w:r>
    </w:p>
    <w:tbl>
      <w:tblPr>
        <w:tblStyle w:val="a4"/>
        <w:tblW w:w="99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5"/>
        <w:gridCol w:w="1995"/>
        <w:gridCol w:w="1995"/>
        <w:gridCol w:w="1995"/>
        <w:gridCol w:w="1995"/>
      </w:tblGrid>
      <w:tr w:rsidR="007B6E28" w:rsidRPr="00E00285" w14:paraId="4D062EC0" w14:textId="77777777">
        <w:tc>
          <w:tcPr>
            <w:tcW w:w="1995" w:type="dxa"/>
          </w:tcPr>
          <w:p w14:paraId="0C0800D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Contrast</w:t>
            </w:r>
          </w:p>
        </w:tc>
        <w:tc>
          <w:tcPr>
            <w:tcW w:w="1995" w:type="dxa"/>
          </w:tcPr>
          <w:p w14:paraId="2A15FC2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GO biological process</w:t>
            </w:r>
          </w:p>
        </w:tc>
        <w:tc>
          <w:tcPr>
            <w:tcW w:w="1995" w:type="dxa"/>
          </w:tcPr>
          <w:p w14:paraId="2877EE5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NES</w:t>
            </w:r>
          </w:p>
        </w:tc>
        <w:tc>
          <w:tcPr>
            <w:tcW w:w="1995" w:type="dxa"/>
          </w:tcPr>
          <w:p w14:paraId="1BFE541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Adjusted P</w:t>
            </w:r>
          </w:p>
        </w:tc>
        <w:tc>
          <w:tcPr>
            <w:tcW w:w="1995" w:type="dxa"/>
          </w:tcPr>
          <w:p w14:paraId="06ECFF2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Enriched direction</w:t>
            </w:r>
          </w:p>
        </w:tc>
      </w:tr>
      <w:tr w:rsidR="007B6E28" w:rsidRPr="00E00285" w14:paraId="0DC73C41" w14:textId="77777777">
        <w:tc>
          <w:tcPr>
            <w:tcW w:w="1995" w:type="dxa"/>
          </w:tcPr>
          <w:p w14:paraId="013C479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 vs. germinating seed</w:t>
            </w:r>
          </w:p>
        </w:tc>
        <w:tc>
          <w:tcPr>
            <w:tcW w:w="1995" w:type="dxa"/>
          </w:tcPr>
          <w:p w14:paraId="0092CBB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Photosynthesis, light reaction</w:t>
            </w:r>
          </w:p>
        </w:tc>
        <w:tc>
          <w:tcPr>
            <w:tcW w:w="1995" w:type="dxa"/>
          </w:tcPr>
          <w:p w14:paraId="1A9DE1E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3.590</w:t>
            </w:r>
          </w:p>
        </w:tc>
        <w:tc>
          <w:tcPr>
            <w:tcW w:w="1995" w:type="dxa"/>
          </w:tcPr>
          <w:p w14:paraId="35EF552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6.20 × 10⁻9</w:t>
            </w:r>
          </w:p>
        </w:tc>
        <w:tc>
          <w:tcPr>
            <w:tcW w:w="1995" w:type="dxa"/>
          </w:tcPr>
          <w:p w14:paraId="39A1C31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w:t>
            </w:r>
          </w:p>
        </w:tc>
      </w:tr>
      <w:tr w:rsidR="007B6E28" w:rsidRPr="00E00285" w14:paraId="7D110562" w14:textId="77777777">
        <w:tc>
          <w:tcPr>
            <w:tcW w:w="1995" w:type="dxa"/>
          </w:tcPr>
          <w:p w14:paraId="2F5F41B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 vs. germinating seed</w:t>
            </w:r>
          </w:p>
        </w:tc>
        <w:tc>
          <w:tcPr>
            <w:tcW w:w="1995" w:type="dxa"/>
          </w:tcPr>
          <w:p w14:paraId="7469A50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Response to stimulus</w:t>
            </w:r>
          </w:p>
        </w:tc>
        <w:tc>
          <w:tcPr>
            <w:tcW w:w="1995" w:type="dxa"/>
          </w:tcPr>
          <w:p w14:paraId="13EC242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2.299</w:t>
            </w:r>
          </w:p>
        </w:tc>
        <w:tc>
          <w:tcPr>
            <w:tcW w:w="1995" w:type="dxa"/>
          </w:tcPr>
          <w:p w14:paraId="6533D1B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1.09 × 10⁻5</w:t>
            </w:r>
          </w:p>
        </w:tc>
        <w:tc>
          <w:tcPr>
            <w:tcW w:w="1995" w:type="dxa"/>
          </w:tcPr>
          <w:p w14:paraId="1000783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w:t>
            </w:r>
          </w:p>
        </w:tc>
      </w:tr>
      <w:tr w:rsidR="007B6E28" w:rsidRPr="00E00285" w14:paraId="2FFA0425" w14:textId="77777777">
        <w:tc>
          <w:tcPr>
            <w:tcW w:w="1995" w:type="dxa"/>
          </w:tcPr>
          <w:p w14:paraId="1108894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 vs. hypocotyl</w:t>
            </w:r>
          </w:p>
        </w:tc>
        <w:tc>
          <w:tcPr>
            <w:tcW w:w="1995" w:type="dxa"/>
          </w:tcPr>
          <w:p w14:paraId="0F8701E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Metabolic process</w:t>
            </w:r>
          </w:p>
        </w:tc>
        <w:tc>
          <w:tcPr>
            <w:tcW w:w="1995" w:type="dxa"/>
          </w:tcPr>
          <w:p w14:paraId="4960824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1.879</w:t>
            </w:r>
          </w:p>
        </w:tc>
        <w:tc>
          <w:tcPr>
            <w:tcW w:w="1995" w:type="dxa"/>
          </w:tcPr>
          <w:p w14:paraId="1672168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2.75 × 10⁻3</w:t>
            </w:r>
          </w:p>
        </w:tc>
        <w:tc>
          <w:tcPr>
            <w:tcW w:w="1995" w:type="dxa"/>
          </w:tcPr>
          <w:p w14:paraId="31D7699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w:t>
            </w:r>
          </w:p>
        </w:tc>
      </w:tr>
      <w:tr w:rsidR="007B6E28" w:rsidRPr="00E00285" w14:paraId="3040FFFA" w14:textId="77777777">
        <w:tc>
          <w:tcPr>
            <w:tcW w:w="1995" w:type="dxa"/>
          </w:tcPr>
          <w:p w14:paraId="257DCDD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 vs. hypocotyl</w:t>
            </w:r>
          </w:p>
        </w:tc>
        <w:tc>
          <w:tcPr>
            <w:tcW w:w="1995" w:type="dxa"/>
          </w:tcPr>
          <w:p w14:paraId="664DA49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Photosynthesis</w:t>
            </w:r>
          </w:p>
        </w:tc>
        <w:tc>
          <w:tcPr>
            <w:tcW w:w="1995" w:type="dxa"/>
          </w:tcPr>
          <w:p w14:paraId="4BB1052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1.873</w:t>
            </w:r>
          </w:p>
        </w:tc>
        <w:tc>
          <w:tcPr>
            <w:tcW w:w="1995" w:type="dxa"/>
          </w:tcPr>
          <w:p w14:paraId="611ECAF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2.04 × 10⁻2</w:t>
            </w:r>
          </w:p>
        </w:tc>
        <w:tc>
          <w:tcPr>
            <w:tcW w:w="1995" w:type="dxa"/>
          </w:tcPr>
          <w:p w14:paraId="755DF30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w:t>
            </w:r>
          </w:p>
        </w:tc>
      </w:tr>
      <w:tr w:rsidR="007B6E28" w:rsidRPr="00E00285" w14:paraId="70417C1E" w14:textId="77777777">
        <w:tc>
          <w:tcPr>
            <w:tcW w:w="1995" w:type="dxa"/>
          </w:tcPr>
          <w:p w14:paraId="48A8E8B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 vs. hypocotyl</w:t>
            </w:r>
          </w:p>
        </w:tc>
        <w:tc>
          <w:tcPr>
            <w:tcW w:w="1995" w:type="dxa"/>
          </w:tcPr>
          <w:p w14:paraId="12F4BEF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Transport</w:t>
            </w:r>
          </w:p>
        </w:tc>
        <w:tc>
          <w:tcPr>
            <w:tcW w:w="1995" w:type="dxa"/>
          </w:tcPr>
          <w:p w14:paraId="524E3D87" w14:textId="77777777" w:rsidR="007B6E28" w:rsidRPr="00E00285" w:rsidRDefault="00000000">
            <w:pPr>
              <w:rPr>
                <w:rFonts w:ascii="Times New Roman" w:eastAsia="Times New Roman" w:hAnsi="Times New Roman" w:cs="Times New Roman"/>
                <w:color w:val="000000" w:themeColor="text1"/>
                <w:sz w:val="24"/>
                <w:szCs w:val="24"/>
              </w:rPr>
            </w:pPr>
            <w:sdt>
              <w:sdtPr>
                <w:rPr>
                  <w:color w:val="000000" w:themeColor="text1"/>
                </w:rPr>
                <w:tag w:val="goog_rdk_0"/>
                <w:id w:val="2091456993"/>
              </w:sdtPr>
              <w:sdtContent>
                <w:r w:rsidRPr="00E00285">
                  <w:rPr>
                    <w:rFonts w:ascii="Gungsuh" w:eastAsia="Gungsuh" w:hAnsi="Gungsuh" w:cs="Gungsuh"/>
                    <w:color w:val="000000" w:themeColor="text1"/>
                    <w:sz w:val="24"/>
                    <w:szCs w:val="24"/>
                  </w:rPr>
                  <w:t>−1.972</w:t>
                </w:r>
              </w:sdtContent>
            </w:sdt>
          </w:p>
        </w:tc>
        <w:tc>
          <w:tcPr>
            <w:tcW w:w="1995" w:type="dxa"/>
          </w:tcPr>
          <w:p w14:paraId="1E9B484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4.19 × 10⁻2</w:t>
            </w:r>
          </w:p>
        </w:tc>
        <w:tc>
          <w:tcPr>
            <w:tcW w:w="1995" w:type="dxa"/>
          </w:tcPr>
          <w:p w14:paraId="463166C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Hypocotyl</w:t>
            </w:r>
          </w:p>
        </w:tc>
      </w:tr>
      <w:tr w:rsidR="007B6E28" w:rsidRPr="00E00285" w14:paraId="4C89DCB2" w14:textId="77777777">
        <w:tc>
          <w:tcPr>
            <w:tcW w:w="1995" w:type="dxa"/>
          </w:tcPr>
          <w:p w14:paraId="1B438D3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SAM vs. cotyledon</w:t>
            </w:r>
          </w:p>
        </w:tc>
        <w:tc>
          <w:tcPr>
            <w:tcW w:w="1995" w:type="dxa"/>
          </w:tcPr>
          <w:p w14:paraId="098CB29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Shoot system development</w:t>
            </w:r>
          </w:p>
        </w:tc>
        <w:tc>
          <w:tcPr>
            <w:tcW w:w="1995" w:type="dxa"/>
          </w:tcPr>
          <w:p w14:paraId="75AB6B1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2.062</w:t>
            </w:r>
          </w:p>
        </w:tc>
        <w:tc>
          <w:tcPr>
            <w:tcW w:w="1995" w:type="dxa"/>
          </w:tcPr>
          <w:p w14:paraId="4C3872A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3.63 × 10⁻4</w:t>
            </w:r>
          </w:p>
        </w:tc>
        <w:tc>
          <w:tcPr>
            <w:tcW w:w="1995" w:type="dxa"/>
          </w:tcPr>
          <w:p w14:paraId="2C94338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SAM</w:t>
            </w:r>
          </w:p>
        </w:tc>
      </w:tr>
      <w:tr w:rsidR="007B6E28" w:rsidRPr="00E00285" w14:paraId="697226FE" w14:textId="77777777">
        <w:tc>
          <w:tcPr>
            <w:tcW w:w="1995" w:type="dxa"/>
          </w:tcPr>
          <w:p w14:paraId="5FE46EE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SAM vs. cotyledon</w:t>
            </w:r>
          </w:p>
        </w:tc>
        <w:tc>
          <w:tcPr>
            <w:tcW w:w="1995" w:type="dxa"/>
          </w:tcPr>
          <w:p w14:paraId="597F96B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Flower development</w:t>
            </w:r>
          </w:p>
        </w:tc>
        <w:tc>
          <w:tcPr>
            <w:tcW w:w="1995" w:type="dxa"/>
          </w:tcPr>
          <w:p w14:paraId="0EC6D66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1.977</w:t>
            </w:r>
          </w:p>
        </w:tc>
        <w:tc>
          <w:tcPr>
            <w:tcW w:w="1995" w:type="dxa"/>
          </w:tcPr>
          <w:p w14:paraId="7D1C366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3.10 × 10⁻3</w:t>
            </w:r>
          </w:p>
        </w:tc>
        <w:tc>
          <w:tcPr>
            <w:tcW w:w="1995" w:type="dxa"/>
          </w:tcPr>
          <w:p w14:paraId="3E5F4F4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SAM</w:t>
            </w:r>
          </w:p>
        </w:tc>
      </w:tr>
      <w:tr w:rsidR="007B6E28" w:rsidRPr="00E00285" w14:paraId="1E126413" w14:textId="77777777">
        <w:tc>
          <w:tcPr>
            <w:tcW w:w="1995" w:type="dxa"/>
          </w:tcPr>
          <w:p w14:paraId="5B4EDF4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SAM vs. cotyledon</w:t>
            </w:r>
          </w:p>
        </w:tc>
        <w:tc>
          <w:tcPr>
            <w:tcW w:w="1995" w:type="dxa"/>
          </w:tcPr>
          <w:p w14:paraId="7BD95E9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Photosynthesis, light harvesting in photosystem I</w:t>
            </w:r>
          </w:p>
        </w:tc>
        <w:tc>
          <w:tcPr>
            <w:tcW w:w="1995" w:type="dxa"/>
          </w:tcPr>
          <w:p w14:paraId="5D0DD975" w14:textId="77777777" w:rsidR="007B6E28" w:rsidRPr="00E00285" w:rsidRDefault="00000000">
            <w:pPr>
              <w:rPr>
                <w:rFonts w:ascii="Times New Roman" w:eastAsia="Times New Roman" w:hAnsi="Times New Roman" w:cs="Times New Roman"/>
                <w:color w:val="000000" w:themeColor="text1"/>
                <w:sz w:val="24"/>
                <w:szCs w:val="24"/>
              </w:rPr>
            </w:pPr>
            <w:sdt>
              <w:sdtPr>
                <w:rPr>
                  <w:color w:val="000000" w:themeColor="text1"/>
                </w:rPr>
                <w:tag w:val="goog_rdk_1"/>
                <w:id w:val="-1634173264"/>
              </w:sdtPr>
              <w:sdtContent>
                <w:r w:rsidRPr="00E00285">
                  <w:rPr>
                    <w:rFonts w:ascii="Gungsuh" w:eastAsia="Gungsuh" w:hAnsi="Gungsuh" w:cs="Gungsuh"/>
                    <w:color w:val="000000" w:themeColor="text1"/>
                    <w:sz w:val="24"/>
                    <w:szCs w:val="24"/>
                  </w:rPr>
                  <w:t>−3.248</w:t>
                </w:r>
              </w:sdtContent>
            </w:sdt>
          </w:p>
        </w:tc>
        <w:tc>
          <w:tcPr>
            <w:tcW w:w="1995" w:type="dxa"/>
          </w:tcPr>
          <w:p w14:paraId="775C563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4.77 × 10⁻9</w:t>
            </w:r>
          </w:p>
        </w:tc>
        <w:tc>
          <w:tcPr>
            <w:tcW w:w="1995" w:type="dxa"/>
          </w:tcPr>
          <w:p w14:paraId="2C64475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w:t>
            </w:r>
          </w:p>
        </w:tc>
      </w:tr>
      <w:tr w:rsidR="007B6E28" w:rsidRPr="00E00285" w14:paraId="5EFF27C8" w14:textId="77777777">
        <w:tc>
          <w:tcPr>
            <w:tcW w:w="1995" w:type="dxa"/>
          </w:tcPr>
          <w:p w14:paraId="4295E39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SAM vs. cotyledon</w:t>
            </w:r>
          </w:p>
        </w:tc>
        <w:tc>
          <w:tcPr>
            <w:tcW w:w="1995" w:type="dxa"/>
          </w:tcPr>
          <w:p w14:paraId="0B49555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Response to light stimulus</w:t>
            </w:r>
          </w:p>
        </w:tc>
        <w:tc>
          <w:tcPr>
            <w:tcW w:w="1995" w:type="dxa"/>
          </w:tcPr>
          <w:p w14:paraId="175C1F56" w14:textId="77777777" w:rsidR="007B6E28" w:rsidRPr="00E00285" w:rsidRDefault="00000000">
            <w:pPr>
              <w:rPr>
                <w:rFonts w:ascii="Times New Roman" w:eastAsia="Times New Roman" w:hAnsi="Times New Roman" w:cs="Times New Roman"/>
                <w:color w:val="000000" w:themeColor="text1"/>
                <w:sz w:val="24"/>
                <w:szCs w:val="24"/>
              </w:rPr>
            </w:pPr>
            <w:sdt>
              <w:sdtPr>
                <w:rPr>
                  <w:color w:val="000000" w:themeColor="text1"/>
                </w:rPr>
                <w:tag w:val="goog_rdk_2"/>
                <w:id w:val="1546647256"/>
              </w:sdtPr>
              <w:sdtContent>
                <w:r w:rsidRPr="00E00285">
                  <w:rPr>
                    <w:rFonts w:ascii="Gungsuh" w:eastAsia="Gungsuh" w:hAnsi="Gungsuh" w:cs="Gungsuh"/>
                    <w:color w:val="000000" w:themeColor="text1"/>
                    <w:sz w:val="24"/>
                    <w:szCs w:val="24"/>
                  </w:rPr>
                  <w:t>−2.920</w:t>
                </w:r>
              </w:sdtContent>
            </w:sdt>
          </w:p>
        </w:tc>
        <w:tc>
          <w:tcPr>
            <w:tcW w:w="1995" w:type="dxa"/>
          </w:tcPr>
          <w:p w14:paraId="442ADE3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4.77 × 10⁻9</w:t>
            </w:r>
          </w:p>
        </w:tc>
        <w:tc>
          <w:tcPr>
            <w:tcW w:w="1995" w:type="dxa"/>
          </w:tcPr>
          <w:p w14:paraId="3B9BB1C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Cotyledon</w:t>
            </w:r>
          </w:p>
        </w:tc>
      </w:tr>
    </w:tbl>
    <w:p w14:paraId="7DA6085B" w14:textId="77777777" w:rsidR="007B6E28" w:rsidRPr="00E00285" w:rsidRDefault="00000000">
      <w:pPr>
        <w:spacing w:before="40" w:after="12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Note. </w:t>
      </w:r>
      <w:r w:rsidRPr="00E00285">
        <w:rPr>
          <w:rFonts w:ascii="Times New Roman" w:eastAsia="Times New Roman" w:hAnsi="Times New Roman" w:cs="Times New Roman"/>
          <w:i/>
          <w:iCs/>
          <w:color w:val="000000" w:themeColor="text1"/>
          <w:sz w:val="24"/>
          <w:szCs w:val="24"/>
        </w:rPr>
        <w:t>A positive normalized enrichment score indicates enrichment toward the first tissue in contrast. A negative score indicates enrichment toward the second tissue.</w:t>
      </w:r>
    </w:p>
    <w:p w14:paraId="659B900E" w14:textId="77777777" w:rsidR="007B6E28" w:rsidRPr="00E00285" w:rsidRDefault="00000000">
      <w:pPr>
        <w:keepLines/>
        <w:spacing w:after="0"/>
        <w:jc w:val="center"/>
        <w:rPr>
          <w:color w:val="000000" w:themeColor="text1"/>
        </w:rPr>
      </w:pPr>
      <w:r w:rsidRPr="00E00285">
        <w:rPr>
          <w:noProof/>
          <w:color w:val="000000" w:themeColor="text1"/>
        </w:rPr>
        <w:lastRenderedPageBreak/>
        <w:drawing>
          <wp:inline distT="0" distB="0" distL="0" distR="0" wp14:anchorId="24641C88" wp14:editId="2FA751F8">
            <wp:extent cx="6220873" cy="5398229"/>
            <wp:effectExtent l="0" t="0" r="0" b="0"/>
            <wp:docPr id="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220873" cy="5398229"/>
                    </a:xfrm>
                    <a:prstGeom prst="rect">
                      <a:avLst/>
                    </a:prstGeom>
                    <a:ln/>
                  </pic:spPr>
                </pic:pic>
              </a:graphicData>
            </a:graphic>
          </wp:inline>
        </w:drawing>
      </w:r>
    </w:p>
    <w:p w14:paraId="1BF252D0" w14:textId="77777777" w:rsidR="007B6E28" w:rsidRPr="00E00285" w:rsidRDefault="00000000">
      <w:pPr>
        <w:keepLines/>
        <w:pageBreakBefore/>
        <w:spacing w:after="0"/>
        <w:jc w:val="center"/>
        <w:rPr>
          <w:color w:val="000000" w:themeColor="text1"/>
        </w:rPr>
      </w:pPr>
      <w:r w:rsidRPr="00E00285">
        <w:rPr>
          <w:noProof/>
          <w:color w:val="000000" w:themeColor="text1"/>
        </w:rPr>
        <w:lastRenderedPageBreak/>
        <w:drawing>
          <wp:inline distT="0" distB="0" distL="0" distR="0" wp14:anchorId="4100524A" wp14:editId="4461A764">
            <wp:extent cx="6221477" cy="2806499"/>
            <wp:effectExtent l="0" t="0" r="0" b="0"/>
            <wp:docPr id="6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a:srcRect/>
                    <a:stretch>
                      <a:fillRect/>
                    </a:stretch>
                  </pic:blipFill>
                  <pic:spPr>
                    <a:xfrm>
                      <a:off x="0" y="0"/>
                      <a:ext cx="6221477" cy="2806499"/>
                    </a:xfrm>
                    <a:prstGeom prst="rect">
                      <a:avLst/>
                    </a:prstGeom>
                    <a:ln/>
                  </pic:spPr>
                </pic:pic>
              </a:graphicData>
            </a:graphic>
          </wp:inline>
        </w:drawing>
      </w:r>
    </w:p>
    <w:p w14:paraId="3A5FB45A" w14:textId="77777777" w:rsidR="007B6E28" w:rsidRPr="00E00285" w:rsidRDefault="007B6E28">
      <w:pPr>
        <w:rPr>
          <w:color w:val="000000" w:themeColor="text1"/>
        </w:rPr>
      </w:pPr>
    </w:p>
    <w:p w14:paraId="0496C2C8" w14:textId="77777777" w:rsidR="007B6E28" w:rsidRPr="00E00285" w:rsidRDefault="007B6E28">
      <w:pPr>
        <w:rPr>
          <w:color w:val="000000" w:themeColor="text1"/>
        </w:rPr>
      </w:pPr>
    </w:p>
    <w:p w14:paraId="26BB1D38" w14:textId="77777777" w:rsidR="007B6E28" w:rsidRPr="00E00285" w:rsidRDefault="00000000">
      <w:pPr>
        <w:tabs>
          <w:tab w:val="left" w:pos="1332"/>
        </w:tabs>
        <w:rPr>
          <w:color w:val="000000" w:themeColor="text1"/>
        </w:rPr>
      </w:pPr>
      <w:r w:rsidRPr="00E00285">
        <w:rPr>
          <w:noProof/>
          <w:color w:val="000000" w:themeColor="text1"/>
        </w:rPr>
        <w:drawing>
          <wp:inline distT="0" distB="0" distL="0" distR="0" wp14:anchorId="715F7E3E" wp14:editId="777B0555">
            <wp:extent cx="6217920" cy="4168269"/>
            <wp:effectExtent l="0" t="0" r="0" b="0"/>
            <wp:docPr id="6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a:srcRect/>
                    <a:stretch>
                      <a:fillRect/>
                    </a:stretch>
                  </pic:blipFill>
                  <pic:spPr>
                    <a:xfrm>
                      <a:off x="0" y="0"/>
                      <a:ext cx="6217920" cy="4168269"/>
                    </a:xfrm>
                    <a:prstGeom prst="rect">
                      <a:avLst/>
                    </a:prstGeom>
                    <a:ln/>
                  </pic:spPr>
                </pic:pic>
              </a:graphicData>
            </a:graphic>
          </wp:inline>
        </w:drawing>
      </w:r>
    </w:p>
    <w:p w14:paraId="735CA769"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Figure S5. </w:t>
      </w:r>
      <w:r w:rsidRPr="00E00285">
        <w:rPr>
          <w:rFonts w:ascii="Times New Roman" w:eastAsia="Times New Roman" w:hAnsi="Times New Roman" w:cs="Times New Roman"/>
          <w:color w:val="000000" w:themeColor="text1"/>
          <w:sz w:val="24"/>
          <w:szCs w:val="24"/>
        </w:rPr>
        <w:t>Functional enrichment across Arabidopsis tissue domains. (A) GO Biological Process over-representation analysis across the seven annotated domains. (B) GSEA for cotyledon versus germinating seed. (C) GSEA for cotyledon versus hypocotyl. (D) GSEA for SAM versus cotyledon.</w:t>
      </w:r>
    </w:p>
    <w:p w14:paraId="448F5E95"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The pathway results recapitulate the developmental logic of the seedling. Cotyledon bins were enriched for photosynthesis, plastid organization, light response, and light harvesting. SAM bins were enriched for shoot system development, organogenesis, reproductive development, and meristem-associated programs. Hypocotyl bins were relatively enriched for transport, consistent with their axial and conductive role.</w:t>
      </w:r>
    </w:p>
    <w:p w14:paraId="4B2C4249"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lastRenderedPageBreak/>
        <w:t>7. Spatial mapping of representative tissue markers</w:t>
      </w:r>
    </w:p>
    <w:p w14:paraId="7BF7C14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One representative marker was selected for each annotated domain: CAB1 for cotyledon, ICL for germinating seed, EXPA9 for root elongation zone, EXT3 for root, GRP4 for meristematic tissue, XYP2 for hypocotyl, and CYP78A5 for SAM. These maps provide a direct visual summary of the inferred body plan.</w:t>
      </w:r>
    </w:p>
    <w:p w14:paraId="6ABEF465" w14:textId="77777777" w:rsidR="007B6E28" w:rsidRPr="00E00285" w:rsidRDefault="00000000">
      <w:pPr>
        <w:keepLines/>
        <w:spacing w:after="0"/>
        <w:jc w:val="center"/>
        <w:rPr>
          <w:color w:val="000000" w:themeColor="text1"/>
        </w:rPr>
      </w:pPr>
      <w:r w:rsidRPr="00E00285">
        <w:rPr>
          <w:noProof/>
          <w:color w:val="000000" w:themeColor="text1"/>
        </w:rPr>
        <w:drawing>
          <wp:inline distT="0" distB="0" distL="0" distR="0" wp14:anchorId="458894F9" wp14:editId="23C8017B">
            <wp:extent cx="6217920" cy="4229019"/>
            <wp:effectExtent l="0" t="0" r="0" b="0"/>
            <wp:docPr id="6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6217920" cy="4229019"/>
                    </a:xfrm>
                    <a:prstGeom prst="rect">
                      <a:avLst/>
                    </a:prstGeom>
                    <a:ln/>
                  </pic:spPr>
                </pic:pic>
              </a:graphicData>
            </a:graphic>
          </wp:inline>
        </w:drawing>
      </w:r>
    </w:p>
    <w:p w14:paraId="3AB2AFAB"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Figure S6. </w:t>
      </w:r>
      <w:r w:rsidRPr="00E00285">
        <w:rPr>
          <w:rFonts w:ascii="Times New Roman" w:eastAsia="Times New Roman" w:hAnsi="Times New Roman" w:cs="Times New Roman"/>
          <w:color w:val="000000" w:themeColor="text1"/>
          <w:sz w:val="24"/>
          <w:szCs w:val="24"/>
        </w:rPr>
        <w:t>Spatial expression of representative markers for the seven Arabidopsis tissue domains. Each panel shows one marker selected from the final annotation evidence.</w:t>
      </w:r>
    </w:p>
    <w:p w14:paraId="7409F8F4"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The composite demonstrates that the cluster annotations are supported by spatially restricted gene expression rather than only by separation in UMAP space. The markers collectively reconstruct the shoot, root, transition, and organizer regions of the seedling.</w:t>
      </w:r>
    </w:p>
    <w:p w14:paraId="3DA08D92"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8. Spatial gradients along the shoot developmental axis</w:t>
      </w:r>
    </w:p>
    <w:p w14:paraId="5363E74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The seedling section contained several physically disconnected tissue fragments. To prevent unrelated fragments from being combined into a single distance model, bins were first partitioned by physical x-y proximity. A connected fragment containing cotyledon, germinating seed, hypocotyl, and SAM were isolated. This fragment contained 213 bins, including 38 SAM bins.</w:t>
      </w:r>
    </w:p>
    <w:p w14:paraId="3AACE62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Distance was calculated from the SAM centroid and gene expression was modeled with a one-dimensional smooth. The mean distances followed the expected order: SAM, 69.2 units; germinating seed, 199 units; cotyledon, 413 units; and hypocotyl, 542 units. AFO, ANT, and CYP78A5 showed strong localization near the SAM, whereas CAB1 lacked a significant smooth relationship with distance from the SAM centroid (P = 0.135). ANT was strongly higher in SAM than cotyledon (average log2 fold change 11.62; adjusted P = 8.1 × 10⁻26) and retained a significant distance-associated smooth (P = 0.00026; 9.6% deviance explained).</w:t>
      </w:r>
    </w:p>
    <w:p w14:paraId="1605A7E8" w14:textId="77777777" w:rsidR="007B6E28" w:rsidRPr="00E00285" w:rsidRDefault="00000000">
      <w:pPr>
        <w:keepLines/>
        <w:pBdr>
          <w:top w:val="nil"/>
          <w:left w:val="nil"/>
          <w:bottom w:val="nil"/>
          <w:right w:val="nil"/>
          <w:between w:val="nil"/>
        </w:pBdr>
        <w:shd w:val="clear" w:color="auto" w:fill="F2F2F2"/>
        <w:spacing w:before="60" w:line="240" w:lineRule="auto"/>
        <w:ind w:left="216" w:right="7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lastRenderedPageBreak/>
        <w:t xml:space="preserve">piece1 &lt;- </w:t>
      </w:r>
      <w:proofErr w:type="spellStart"/>
      <w:r w:rsidRPr="00E00285">
        <w:rPr>
          <w:rFonts w:ascii="Times New Roman" w:eastAsia="Times New Roman" w:hAnsi="Times New Roman" w:cs="Times New Roman"/>
          <w:color w:val="000000" w:themeColor="text1"/>
          <w:sz w:val="24"/>
          <w:szCs w:val="24"/>
        </w:rPr>
        <w:t>expr_data</w:t>
      </w:r>
      <w:proofErr w:type="spellEnd"/>
      <w:r w:rsidRPr="00E00285">
        <w:rPr>
          <w:rFonts w:ascii="Times New Roman" w:eastAsia="Times New Roman" w:hAnsi="Times New Roman" w:cs="Times New Roman"/>
          <w:color w:val="000000" w:themeColor="text1"/>
          <w:sz w:val="24"/>
          <w:szCs w:val="24"/>
        </w:rPr>
        <w:t>[</w:t>
      </w:r>
      <w:proofErr w:type="spellStart"/>
      <w:r w:rsidRPr="00E00285">
        <w:rPr>
          <w:rFonts w:ascii="Times New Roman" w:eastAsia="Times New Roman" w:hAnsi="Times New Roman" w:cs="Times New Roman"/>
          <w:color w:val="000000" w:themeColor="text1"/>
          <w:sz w:val="24"/>
          <w:szCs w:val="24"/>
        </w:rPr>
        <w:t>expr_data$piece</w:t>
      </w:r>
      <w:proofErr w:type="spellEnd"/>
      <w:r w:rsidRPr="00E00285">
        <w:rPr>
          <w:rFonts w:ascii="Times New Roman" w:eastAsia="Times New Roman" w:hAnsi="Times New Roman" w:cs="Times New Roman"/>
          <w:color w:val="000000" w:themeColor="text1"/>
          <w:sz w:val="24"/>
          <w:szCs w:val="24"/>
        </w:rPr>
        <w:t xml:space="preserve"> == "1", ]</w:t>
      </w:r>
      <w:r w:rsidRPr="00E00285">
        <w:rPr>
          <w:rFonts w:ascii="Times New Roman" w:eastAsia="Times New Roman" w:hAnsi="Times New Roman" w:cs="Times New Roman"/>
          <w:color w:val="000000" w:themeColor="text1"/>
          <w:sz w:val="24"/>
          <w:szCs w:val="24"/>
        </w:rPr>
        <w:br/>
      </w:r>
      <w:proofErr w:type="spellStart"/>
      <w:r w:rsidRPr="00E00285">
        <w:rPr>
          <w:rFonts w:ascii="Times New Roman" w:eastAsia="Times New Roman" w:hAnsi="Times New Roman" w:cs="Times New Roman"/>
          <w:color w:val="000000" w:themeColor="text1"/>
          <w:sz w:val="24"/>
          <w:szCs w:val="24"/>
        </w:rPr>
        <w:t>sam_centroid</w:t>
      </w:r>
      <w:proofErr w:type="spellEnd"/>
      <w:r w:rsidRPr="00E00285">
        <w:rPr>
          <w:rFonts w:ascii="Times New Roman" w:eastAsia="Times New Roman" w:hAnsi="Times New Roman" w:cs="Times New Roman"/>
          <w:color w:val="000000" w:themeColor="text1"/>
          <w:sz w:val="24"/>
          <w:szCs w:val="24"/>
        </w:rPr>
        <w:t xml:space="preserve"> &lt;- </w:t>
      </w:r>
      <w:proofErr w:type="spellStart"/>
      <w:r w:rsidRPr="00E00285">
        <w:rPr>
          <w:rFonts w:ascii="Times New Roman" w:eastAsia="Times New Roman" w:hAnsi="Times New Roman" w:cs="Times New Roman"/>
          <w:color w:val="000000" w:themeColor="text1"/>
          <w:sz w:val="24"/>
          <w:szCs w:val="24"/>
        </w:rPr>
        <w:t>colMeans</w:t>
      </w:r>
      <w:proofErr w:type="spellEnd"/>
      <w:r w:rsidRPr="00E00285">
        <w:rPr>
          <w:rFonts w:ascii="Times New Roman" w:eastAsia="Times New Roman" w:hAnsi="Times New Roman" w:cs="Times New Roman"/>
          <w:color w:val="000000" w:themeColor="text1"/>
          <w:sz w:val="24"/>
          <w:szCs w:val="24"/>
        </w:rPr>
        <w:t>(piece1[piece1$cluster == "SAM", c("x", "y")])</w:t>
      </w:r>
      <w:r w:rsidRPr="00E00285">
        <w:rPr>
          <w:rFonts w:ascii="Times New Roman" w:eastAsia="Times New Roman" w:hAnsi="Times New Roman" w:cs="Times New Roman"/>
          <w:color w:val="000000" w:themeColor="text1"/>
          <w:sz w:val="24"/>
          <w:szCs w:val="24"/>
        </w:rPr>
        <w:br/>
        <w:t xml:space="preserve">piece1$dist_from_SAM &lt;- sqrt((piece1$x - </w:t>
      </w:r>
      <w:proofErr w:type="spellStart"/>
      <w:r w:rsidRPr="00E00285">
        <w:rPr>
          <w:rFonts w:ascii="Times New Roman" w:eastAsia="Times New Roman" w:hAnsi="Times New Roman" w:cs="Times New Roman"/>
          <w:color w:val="000000" w:themeColor="text1"/>
          <w:sz w:val="24"/>
          <w:szCs w:val="24"/>
        </w:rPr>
        <w:t>sam_centroid</w:t>
      </w:r>
      <w:proofErr w:type="spellEnd"/>
      <w:r w:rsidRPr="00E00285">
        <w:rPr>
          <w:rFonts w:ascii="Times New Roman" w:eastAsia="Times New Roman" w:hAnsi="Times New Roman" w:cs="Times New Roman"/>
          <w:color w:val="000000" w:themeColor="text1"/>
          <w:sz w:val="24"/>
          <w:szCs w:val="24"/>
        </w:rPr>
        <w:t>[1])^2 +</w:t>
      </w:r>
      <w:r w:rsidRPr="00E00285">
        <w:rPr>
          <w:rFonts w:ascii="Times New Roman" w:eastAsia="Times New Roman" w:hAnsi="Times New Roman" w:cs="Times New Roman"/>
          <w:color w:val="000000" w:themeColor="text1"/>
          <w:sz w:val="24"/>
          <w:szCs w:val="24"/>
        </w:rPr>
        <w:br/>
        <w:t xml:space="preserve">                             (piece1$y - </w:t>
      </w:r>
      <w:proofErr w:type="spellStart"/>
      <w:r w:rsidRPr="00E00285">
        <w:rPr>
          <w:rFonts w:ascii="Times New Roman" w:eastAsia="Times New Roman" w:hAnsi="Times New Roman" w:cs="Times New Roman"/>
          <w:color w:val="000000" w:themeColor="text1"/>
          <w:sz w:val="24"/>
          <w:szCs w:val="24"/>
        </w:rPr>
        <w:t>sam_centroid</w:t>
      </w:r>
      <w:proofErr w:type="spellEnd"/>
      <w:r w:rsidRPr="00E00285">
        <w:rPr>
          <w:rFonts w:ascii="Times New Roman" w:eastAsia="Times New Roman" w:hAnsi="Times New Roman" w:cs="Times New Roman"/>
          <w:color w:val="000000" w:themeColor="text1"/>
          <w:sz w:val="24"/>
          <w:szCs w:val="24"/>
        </w:rPr>
        <w:t>[2])^2)</w:t>
      </w:r>
      <w:r w:rsidRPr="00E00285">
        <w:rPr>
          <w:rFonts w:ascii="Times New Roman" w:eastAsia="Times New Roman" w:hAnsi="Times New Roman" w:cs="Times New Roman"/>
          <w:color w:val="000000" w:themeColor="text1"/>
          <w:sz w:val="24"/>
          <w:szCs w:val="24"/>
        </w:rPr>
        <w:br/>
        <w:t xml:space="preserve">fit &lt;- </w:t>
      </w:r>
      <w:proofErr w:type="spellStart"/>
      <w:r w:rsidRPr="00E00285">
        <w:rPr>
          <w:rFonts w:ascii="Times New Roman" w:eastAsia="Times New Roman" w:hAnsi="Times New Roman" w:cs="Times New Roman"/>
          <w:color w:val="000000" w:themeColor="text1"/>
          <w:sz w:val="24"/>
          <w:szCs w:val="24"/>
        </w:rPr>
        <w:t>mgcv</w:t>
      </w:r>
      <w:proofErr w:type="spellEnd"/>
      <w:r w:rsidRPr="00E00285">
        <w:rPr>
          <w:rFonts w:ascii="Times New Roman" w:eastAsia="Times New Roman" w:hAnsi="Times New Roman" w:cs="Times New Roman"/>
          <w:color w:val="000000" w:themeColor="text1"/>
          <w:sz w:val="24"/>
          <w:szCs w:val="24"/>
        </w:rPr>
        <w:t>::gam(expression ~ s(</w:t>
      </w:r>
      <w:proofErr w:type="spellStart"/>
      <w:r w:rsidRPr="00E00285">
        <w:rPr>
          <w:rFonts w:ascii="Times New Roman" w:eastAsia="Times New Roman" w:hAnsi="Times New Roman" w:cs="Times New Roman"/>
          <w:color w:val="000000" w:themeColor="text1"/>
          <w:sz w:val="24"/>
          <w:szCs w:val="24"/>
        </w:rPr>
        <w:t>dist_from_SAM</w:t>
      </w:r>
      <w:proofErr w:type="spellEnd"/>
      <w:r w:rsidRPr="00E00285">
        <w:rPr>
          <w:rFonts w:ascii="Times New Roman" w:eastAsia="Times New Roman" w:hAnsi="Times New Roman" w:cs="Times New Roman"/>
          <w:color w:val="000000" w:themeColor="text1"/>
          <w:sz w:val="24"/>
          <w:szCs w:val="24"/>
        </w:rPr>
        <w:t>, k = 4), data = piece1)</w:t>
      </w:r>
    </w:p>
    <w:p w14:paraId="720724ED" w14:textId="77777777" w:rsidR="007B6E28" w:rsidRPr="00E00285" w:rsidRDefault="00000000">
      <w:pPr>
        <w:keepLines/>
        <w:spacing w:after="0"/>
        <w:jc w:val="center"/>
        <w:rPr>
          <w:color w:val="000000" w:themeColor="text1"/>
        </w:rPr>
      </w:pPr>
      <w:r w:rsidRPr="00E00285">
        <w:rPr>
          <w:noProof/>
          <w:color w:val="000000" w:themeColor="text1"/>
        </w:rPr>
        <w:drawing>
          <wp:inline distT="0" distB="0" distL="0" distR="0" wp14:anchorId="4AED8A2C" wp14:editId="15DAA68F">
            <wp:extent cx="6217920" cy="2141849"/>
            <wp:effectExtent l="0" t="0" r="0" b="0"/>
            <wp:docPr id="6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8"/>
                    <a:srcRect/>
                    <a:stretch>
                      <a:fillRect/>
                    </a:stretch>
                  </pic:blipFill>
                  <pic:spPr>
                    <a:xfrm>
                      <a:off x="0" y="0"/>
                      <a:ext cx="6217920" cy="2141849"/>
                    </a:xfrm>
                    <a:prstGeom prst="rect">
                      <a:avLst/>
                    </a:prstGeom>
                    <a:ln/>
                  </pic:spPr>
                </pic:pic>
              </a:graphicData>
            </a:graphic>
          </wp:inline>
        </w:drawing>
      </w:r>
    </w:p>
    <w:p w14:paraId="17209A67" w14:textId="77777777" w:rsidR="007B6E28" w:rsidRPr="00E00285" w:rsidRDefault="00000000">
      <w:pPr>
        <w:tabs>
          <w:tab w:val="left" w:pos="1056"/>
        </w:tabs>
        <w:rPr>
          <w:color w:val="000000" w:themeColor="text1"/>
        </w:rPr>
      </w:pPr>
      <w:r w:rsidRPr="00E00285">
        <w:rPr>
          <w:noProof/>
          <w:color w:val="000000" w:themeColor="text1"/>
        </w:rPr>
        <w:drawing>
          <wp:inline distT="0" distB="0" distL="0" distR="0" wp14:anchorId="003476FF" wp14:editId="77C5CD34">
            <wp:extent cx="6217919" cy="2050266"/>
            <wp:effectExtent l="0" t="0" r="0" b="0"/>
            <wp:docPr id="6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9"/>
                    <a:srcRect/>
                    <a:stretch>
                      <a:fillRect/>
                    </a:stretch>
                  </pic:blipFill>
                  <pic:spPr>
                    <a:xfrm>
                      <a:off x="0" y="0"/>
                      <a:ext cx="6217919" cy="2050266"/>
                    </a:xfrm>
                    <a:prstGeom prst="rect">
                      <a:avLst/>
                    </a:prstGeom>
                    <a:ln/>
                  </pic:spPr>
                </pic:pic>
              </a:graphicData>
            </a:graphic>
          </wp:inline>
        </w:drawing>
      </w:r>
    </w:p>
    <w:p w14:paraId="58D01019"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Figure S7. </w:t>
      </w:r>
      <w:r w:rsidRPr="00E00285">
        <w:rPr>
          <w:rFonts w:ascii="Times New Roman" w:eastAsia="Times New Roman" w:hAnsi="Times New Roman" w:cs="Times New Roman"/>
          <w:color w:val="000000" w:themeColor="text1"/>
          <w:sz w:val="24"/>
          <w:szCs w:val="24"/>
        </w:rPr>
        <w:t>Distance-based modeling along a connected Arabidopsis shoot-axis fragment. (A) The physically connected fragment used for modeling. (B-F) Generalized additive model fits for AFO, ANT, CAB1, CYP78A5, and RBCS1A as functions of distance from the SAM centroid.</w:t>
      </w:r>
    </w:p>
    <w:p w14:paraId="41066F24"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The gradient models distinguish organizer-restricted identity genes from photosynthetic genes. SAM regulators are sharply concentrated near the organizer, whereas CAB1 and RBCS1A reflect local photosynthetic state and do not behave as simple monotonic developmental gradients. This distinction is not captured by categorical clustering alone.</w:t>
      </w:r>
    </w:p>
    <w:p w14:paraId="2EE28CAC"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9. Arabidopsis case-study conclusion and limitations</w:t>
      </w:r>
    </w:p>
    <w:p w14:paraId="443B7F1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The analysis recovered seven anatomically coherent tissue domains and linked them to expected photosynthetic, germination, cell-wall, transport, and meristematic programs. Marker validation, cluster markers, spatially variable genes, pathway enrichment, and distance modeling provided independent lines of support for the final interpretation.</w:t>
      </w:r>
    </w:p>
    <w:p w14:paraId="3987A90A" w14:textId="77777777" w:rsidR="007B6E28" w:rsidRPr="00E00285" w:rsidRDefault="00000000">
      <w:pPr>
        <w:numPr>
          <w:ilvl w:val="0"/>
          <w:numId w:val="1"/>
        </w:numPr>
        <w:pBdr>
          <w:top w:val="nil"/>
          <w:left w:val="nil"/>
          <w:bottom w:val="nil"/>
          <w:right w:val="nil"/>
          <w:between w:val="nil"/>
        </w:pBdr>
        <w:spacing w:after="0"/>
        <w:rPr>
          <w:color w:val="000000" w:themeColor="text1"/>
          <w:sz w:val="24"/>
          <w:szCs w:val="24"/>
        </w:rPr>
      </w:pPr>
      <w:r w:rsidRPr="00E00285">
        <w:rPr>
          <w:rFonts w:ascii="Times New Roman" w:eastAsia="Times New Roman" w:hAnsi="Times New Roman" w:cs="Times New Roman"/>
          <w:color w:val="000000" w:themeColor="text1"/>
          <w:sz w:val="24"/>
          <w:szCs w:val="24"/>
        </w:rPr>
        <w:t>Stringent bin filtering improved transcript complexity but reduced spatial completeness from 7,214 on-tissue bins to 1,516 retained bins.</w:t>
      </w:r>
    </w:p>
    <w:p w14:paraId="246CBF00" w14:textId="77777777" w:rsidR="007B6E28" w:rsidRPr="00E00285" w:rsidRDefault="00000000">
      <w:pPr>
        <w:numPr>
          <w:ilvl w:val="0"/>
          <w:numId w:val="1"/>
        </w:numPr>
        <w:pBdr>
          <w:top w:val="nil"/>
          <w:left w:val="nil"/>
          <w:bottom w:val="nil"/>
          <w:right w:val="nil"/>
          <w:between w:val="nil"/>
        </w:pBdr>
        <w:spacing w:after="0"/>
        <w:rPr>
          <w:color w:val="000000" w:themeColor="text1"/>
          <w:sz w:val="24"/>
          <w:szCs w:val="24"/>
        </w:rPr>
      </w:pPr>
      <w:r w:rsidRPr="00E00285">
        <w:rPr>
          <w:rFonts w:ascii="Times New Roman" w:eastAsia="Times New Roman" w:hAnsi="Times New Roman" w:cs="Times New Roman"/>
          <w:color w:val="000000" w:themeColor="text1"/>
          <w:sz w:val="24"/>
          <w:szCs w:val="24"/>
        </w:rPr>
        <w:t>The workflow remained bin-based because plant morphology and cell-wall-associated image background limited reliable animal-trained segmentation.</w:t>
      </w:r>
    </w:p>
    <w:p w14:paraId="7AE818B8" w14:textId="77777777" w:rsidR="007B6E28" w:rsidRPr="00E00285" w:rsidRDefault="00000000">
      <w:pPr>
        <w:numPr>
          <w:ilvl w:val="0"/>
          <w:numId w:val="1"/>
        </w:numPr>
        <w:pBdr>
          <w:top w:val="nil"/>
          <w:left w:val="nil"/>
          <w:bottom w:val="nil"/>
          <w:right w:val="nil"/>
          <w:between w:val="nil"/>
        </w:pBdr>
        <w:spacing w:after="0"/>
        <w:rPr>
          <w:color w:val="000000" w:themeColor="text1"/>
          <w:sz w:val="24"/>
          <w:szCs w:val="24"/>
        </w:rPr>
      </w:pPr>
      <w:r w:rsidRPr="00E00285">
        <w:rPr>
          <w:rFonts w:ascii="Times New Roman" w:eastAsia="Times New Roman" w:hAnsi="Times New Roman" w:cs="Times New Roman"/>
          <w:color w:val="000000" w:themeColor="text1"/>
          <w:sz w:val="24"/>
          <w:szCs w:val="24"/>
        </w:rPr>
        <w:t>One section cannot establish biological variability across seedlings or experimental conditions.</w:t>
      </w:r>
    </w:p>
    <w:p w14:paraId="3509541D" w14:textId="77777777" w:rsidR="007B6E28" w:rsidRPr="00E00285" w:rsidRDefault="00000000">
      <w:pPr>
        <w:numPr>
          <w:ilvl w:val="0"/>
          <w:numId w:val="1"/>
        </w:numPr>
        <w:pBdr>
          <w:top w:val="nil"/>
          <w:left w:val="nil"/>
          <w:bottom w:val="nil"/>
          <w:right w:val="nil"/>
          <w:between w:val="nil"/>
        </w:pBdr>
        <w:spacing w:after="0"/>
        <w:rPr>
          <w:color w:val="000000" w:themeColor="text1"/>
          <w:sz w:val="24"/>
          <w:szCs w:val="24"/>
        </w:rPr>
      </w:pPr>
      <w:r w:rsidRPr="00E00285">
        <w:rPr>
          <w:rFonts w:ascii="Times New Roman" w:eastAsia="Times New Roman" w:hAnsi="Times New Roman" w:cs="Times New Roman"/>
          <w:color w:val="000000" w:themeColor="text1"/>
          <w:sz w:val="24"/>
          <w:szCs w:val="24"/>
        </w:rPr>
        <w:t>Differential-expression P values treat bins as analytical units and should not be interpreted as replicate-supported organism-level inference.</w:t>
      </w:r>
    </w:p>
    <w:p w14:paraId="41ECAD62" w14:textId="77777777" w:rsidR="007B6E28" w:rsidRPr="00E00285" w:rsidRDefault="00000000">
      <w:pPr>
        <w:numPr>
          <w:ilvl w:val="0"/>
          <w:numId w:val="1"/>
        </w:numPr>
        <w:pBdr>
          <w:top w:val="nil"/>
          <w:left w:val="nil"/>
          <w:bottom w:val="nil"/>
          <w:right w:val="nil"/>
          <w:between w:val="nil"/>
        </w:pBdr>
        <w:spacing w:after="60"/>
        <w:rPr>
          <w:color w:val="000000" w:themeColor="text1"/>
          <w:sz w:val="24"/>
          <w:szCs w:val="24"/>
        </w:rPr>
      </w:pPr>
      <w:r w:rsidRPr="00E00285">
        <w:rPr>
          <w:rFonts w:ascii="Times New Roman" w:eastAsia="Times New Roman" w:hAnsi="Times New Roman" w:cs="Times New Roman"/>
          <w:color w:val="000000" w:themeColor="text1"/>
          <w:sz w:val="24"/>
          <w:szCs w:val="24"/>
        </w:rPr>
        <w:t>The fragmented capture layout required physical-fragment isolation before meaningful distance modeling.</w:t>
      </w:r>
    </w:p>
    <w:p w14:paraId="2FC46211" w14:textId="77777777" w:rsidR="007B6E28" w:rsidRPr="00E00285" w:rsidRDefault="00000000">
      <w:pPr>
        <w:pStyle w:val="Heading1"/>
        <w:pageBreakBefore/>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lastRenderedPageBreak/>
        <w:t xml:space="preserve">Part II. Inflamed murine lacrimal gland analyzed with </w:t>
      </w:r>
      <w:proofErr w:type="spellStart"/>
      <w:r w:rsidRPr="00E00285">
        <w:rPr>
          <w:rFonts w:ascii="Times New Roman" w:eastAsia="Times New Roman" w:hAnsi="Times New Roman" w:cs="Times New Roman"/>
          <w:color w:val="000000" w:themeColor="text1"/>
          <w:sz w:val="24"/>
          <w:szCs w:val="24"/>
        </w:rPr>
        <w:t>Visium</w:t>
      </w:r>
      <w:proofErr w:type="spellEnd"/>
    </w:p>
    <w:p w14:paraId="1BF2FB5F"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10. Biological rationale and research question</w:t>
      </w:r>
    </w:p>
    <w:p w14:paraId="53A2332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The lacrimal gland is an exocrine tissue that supports tear-film production and ocular-surface homeostasis. In inflammatory dry-eye and Sjögren-like contexts, glandular epithelium can be remodeled by antigen-presentation, lymphoid, plasma-cell, stromal, and humoral programs (Conrady et al., 2016; Craig et al., 2017). This case study asked whether one inflamed lacrimal gland section was organized as sharply separated immune and glandular compartments or as a local mosaic of interacting epithelial-secretory and immune-associated transcriptional territory.</w:t>
      </w:r>
    </w:p>
    <w:p w14:paraId="1090DECC"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Primary conclusion. </w:t>
      </w:r>
      <w:r w:rsidRPr="00E00285">
        <w:rPr>
          <w:rFonts w:ascii="Times New Roman" w:eastAsia="Times New Roman" w:hAnsi="Times New Roman" w:cs="Times New Roman"/>
          <w:color w:val="000000" w:themeColor="text1"/>
          <w:sz w:val="24"/>
          <w:szCs w:val="24"/>
        </w:rPr>
        <w:t>The analyzed section is best described as a spatial mosaic. Secretory epithelial domains, a secretory-interface stress domain, an antigen-presentation and lymphoid-activation domain, and a plasma-cell/humoral-complement domain are interspersed and frequently adjacent.</w:t>
      </w:r>
    </w:p>
    <w:p w14:paraId="20BFEF1C"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11. Quality control and normalization</w:t>
      </w:r>
    </w:p>
    <w:p w14:paraId="7E44C51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Three standard spot-level metrics were evaluated: total transcript counts, detected genes, and mitochondrial percentage. Spots were retained when </w:t>
      </w:r>
      <w:proofErr w:type="spellStart"/>
      <w:r w:rsidRPr="00E00285">
        <w:rPr>
          <w:rFonts w:ascii="Times New Roman" w:eastAsia="Times New Roman" w:hAnsi="Times New Roman" w:cs="Times New Roman"/>
          <w:color w:val="000000" w:themeColor="text1"/>
          <w:sz w:val="24"/>
          <w:szCs w:val="24"/>
        </w:rPr>
        <w:t>nFeature_Spatial</w:t>
      </w:r>
      <w:proofErr w:type="spellEnd"/>
      <w:r w:rsidRPr="00E00285">
        <w:rPr>
          <w:rFonts w:ascii="Times New Roman" w:eastAsia="Times New Roman" w:hAnsi="Times New Roman" w:cs="Times New Roman"/>
          <w:color w:val="000000" w:themeColor="text1"/>
          <w:sz w:val="24"/>
          <w:szCs w:val="24"/>
        </w:rPr>
        <w:t xml:space="preserve"> was at least 200, </w:t>
      </w:r>
      <w:proofErr w:type="spellStart"/>
      <w:r w:rsidRPr="00E00285">
        <w:rPr>
          <w:rFonts w:ascii="Times New Roman" w:eastAsia="Times New Roman" w:hAnsi="Times New Roman" w:cs="Times New Roman"/>
          <w:color w:val="000000" w:themeColor="text1"/>
          <w:sz w:val="24"/>
          <w:szCs w:val="24"/>
        </w:rPr>
        <w:t>nCount_Spatial</w:t>
      </w:r>
      <w:proofErr w:type="spellEnd"/>
      <w:r w:rsidRPr="00E00285">
        <w:rPr>
          <w:rFonts w:ascii="Times New Roman" w:eastAsia="Times New Roman" w:hAnsi="Times New Roman" w:cs="Times New Roman"/>
          <w:color w:val="000000" w:themeColor="text1"/>
          <w:sz w:val="24"/>
          <w:szCs w:val="24"/>
        </w:rPr>
        <w:t xml:space="preserve"> was at least 500, and percent.mt was no greater than 5. This removed 14 of 1,530 spots and retained 1,516 spots for downstream analysis.</w:t>
      </w:r>
    </w:p>
    <w:p w14:paraId="2F49B483" w14:textId="77777777" w:rsidR="007B6E28" w:rsidRPr="00E00285" w:rsidRDefault="00000000">
      <w:pPr>
        <w:keepNext/>
        <w:pBdr>
          <w:top w:val="nil"/>
          <w:left w:val="nil"/>
          <w:bottom w:val="nil"/>
          <w:right w:val="nil"/>
          <w:between w:val="nil"/>
        </w:pBdr>
        <w:spacing w:before="140" w:after="60" w:line="276"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Table S7. </w:t>
      </w:r>
      <w:r w:rsidRPr="00E00285">
        <w:rPr>
          <w:rFonts w:ascii="Times New Roman" w:eastAsia="Times New Roman" w:hAnsi="Times New Roman" w:cs="Times New Roman"/>
          <w:color w:val="000000" w:themeColor="text1"/>
          <w:sz w:val="24"/>
          <w:szCs w:val="24"/>
        </w:rPr>
        <w:t>Quality-control summary for the lacrimal gland section.</w:t>
      </w:r>
    </w:p>
    <w:tbl>
      <w:tblPr>
        <w:tblStyle w:val="a5"/>
        <w:tblW w:w="101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1247"/>
        <w:gridCol w:w="1247"/>
        <w:gridCol w:w="1247"/>
        <w:gridCol w:w="1329"/>
        <w:gridCol w:w="1247"/>
        <w:gridCol w:w="1247"/>
        <w:gridCol w:w="1329"/>
      </w:tblGrid>
      <w:tr w:rsidR="007B6E28" w:rsidRPr="00E00285" w14:paraId="19F72FE4" w14:textId="77777777">
        <w:tc>
          <w:tcPr>
            <w:tcW w:w="1247" w:type="dxa"/>
          </w:tcPr>
          <w:p w14:paraId="399EBF1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Stage</w:t>
            </w:r>
          </w:p>
        </w:tc>
        <w:tc>
          <w:tcPr>
            <w:tcW w:w="1247" w:type="dxa"/>
          </w:tcPr>
          <w:p w14:paraId="1A14888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Spots</w:t>
            </w:r>
          </w:p>
        </w:tc>
        <w:tc>
          <w:tcPr>
            <w:tcW w:w="1247" w:type="dxa"/>
          </w:tcPr>
          <w:p w14:paraId="20C57F7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Median counts</w:t>
            </w:r>
          </w:p>
        </w:tc>
        <w:tc>
          <w:tcPr>
            <w:tcW w:w="1247" w:type="dxa"/>
          </w:tcPr>
          <w:p w14:paraId="53B8312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Median features</w:t>
            </w:r>
          </w:p>
        </w:tc>
        <w:tc>
          <w:tcPr>
            <w:tcW w:w="1329" w:type="dxa"/>
          </w:tcPr>
          <w:p w14:paraId="5C428A1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Median percent.mt (%)</w:t>
            </w:r>
          </w:p>
        </w:tc>
        <w:tc>
          <w:tcPr>
            <w:tcW w:w="1247" w:type="dxa"/>
          </w:tcPr>
          <w:p w14:paraId="7FB8AE4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Mean counts</w:t>
            </w:r>
          </w:p>
        </w:tc>
        <w:tc>
          <w:tcPr>
            <w:tcW w:w="1247" w:type="dxa"/>
          </w:tcPr>
          <w:p w14:paraId="6B01F74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Mean features</w:t>
            </w:r>
          </w:p>
        </w:tc>
        <w:tc>
          <w:tcPr>
            <w:tcW w:w="1329" w:type="dxa"/>
          </w:tcPr>
          <w:p w14:paraId="4577A4B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Mean percent.mt (%)</w:t>
            </w:r>
          </w:p>
        </w:tc>
      </w:tr>
      <w:tr w:rsidR="007B6E28" w:rsidRPr="00E00285" w14:paraId="44CFC5A2" w14:textId="77777777">
        <w:tc>
          <w:tcPr>
            <w:tcW w:w="1247" w:type="dxa"/>
          </w:tcPr>
          <w:p w14:paraId="3AF4F9C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Before filtering</w:t>
            </w:r>
          </w:p>
        </w:tc>
        <w:tc>
          <w:tcPr>
            <w:tcW w:w="1247" w:type="dxa"/>
          </w:tcPr>
          <w:p w14:paraId="631EE06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1,530</w:t>
            </w:r>
          </w:p>
        </w:tc>
        <w:tc>
          <w:tcPr>
            <w:tcW w:w="1247" w:type="dxa"/>
          </w:tcPr>
          <w:p w14:paraId="329356C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26,411.5</w:t>
            </w:r>
          </w:p>
        </w:tc>
        <w:tc>
          <w:tcPr>
            <w:tcW w:w="1247" w:type="dxa"/>
          </w:tcPr>
          <w:p w14:paraId="5974490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1,848.5</w:t>
            </w:r>
          </w:p>
        </w:tc>
        <w:tc>
          <w:tcPr>
            <w:tcW w:w="1329" w:type="dxa"/>
          </w:tcPr>
          <w:p w14:paraId="5D22C21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0.1310</w:t>
            </w:r>
          </w:p>
        </w:tc>
        <w:tc>
          <w:tcPr>
            <w:tcW w:w="1247" w:type="dxa"/>
          </w:tcPr>
          <w:p w14:paraId="197C2AA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28,789.84</w:t>
            </w:r>
          </w:p>
        </w:tc>
        <w:tc>
          <w:tcPr>
            <w:tcW w:w="1247" w:type="dxa"/>
          </w:tcPr>
          <w:p w14:paraId="4B7CCA5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1,795.33</w:t>
            </w:r>
          </w:p>
        </w:tc>
        <w:tc>
          <w:tcPr>
            <w:tcW w:w="1329" w:type="dxa"/>
          </w:tcPr>
          <w:p w14:paraId="0D6A5F1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0.1470</w:t>
            </w:r>
          </w:p>
        </w:tc>
      </w:tr>
      <w:tr w:rsidR="007B6E28" w:rsidRPr="00E00285" w14:paraId="29D4B807" w14:textId="77777777">
        <w:tc>
          <w:tcPr>
            <w:tcW w:w="1247" w:type="dxa"/>
          </w:tcPr>
          <w:p w14:paraId="71DDB97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After filtering</w:t>
            </w:r>
          </w:p>
        </w:tc>
        <w:tc>
          <w:tcPr>
            <w:tcW w:w="1247" w:type="dxa"/>
          </w:tcPr>
          <w:p w14:paraId="6221978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1,516</w:t>
            </w:r>
          </w:p>
        </w:tc>
        <w:tc>
          <w:tcPr>
            <w:tcW w:w="1247" w:type="dxa"/>
          </w:tcPr>
          <w:p w14:paraId="3DBEC2A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26,648.0</w:t>
            </w:r>
          </w:p>
        </w:tc>
        <w:tc>
          <w:tcPr>
            <w:tcW w:w="1247" w:type="dxa"/>
          </w:tcPr>
          <w:p w14:paraId="5A3D50E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1,856.5</w:t>
            </w:r>
          </w:p>
        </w:tc>
        <w:tc>
          <w:tcPr>
            <w:tcW w:w="1329" w:type="dxa"/>
          </w:tcPr>
          <w:p w14:paraId="7D54E95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0.1304</w:t>
            </w:r>
          </w:p>
        </w:tc>
        <w:tc>
          <w:tcPr>
            <w:tcW w:w="1247" w:type="dxa"/>
          </w:tcPr>
          <w:p w14:paraId="3D89408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29,049.47</w:t>
            </w:r>
          </w:p>
        </w:tc>
        <w:tc>
          <w:tcPr>
            <w:tcW w:w="1247" w:type="dxa"/>
          </w:tcPr>
          <w:p w14:paraId="557DF15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1,810.48</w:t>
            </w:r>
          </w:p>
        </w:tc>
        <w:tc>
          <w:tcPr>
            <w:tcW w:w="1329" w:type="dxa"/>
          </w:tcPr>
          <w:p w14:paraId="5BA025B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0.1462</w:t>
            </w:r>
          </w:p>
        </w:tc>
      </w:tr>
    </w:tbl>
    <w:p w14:paraId="60A49B64" w14:textId="77777777" w:rsidR="007B6E28" w:rsidRPr="00E00285" w:rsidRDefault="00000000">
      <w:pPr>
        <w:spacing w:before="40" w:after="12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Note. </w:t>
      </w:r>
      <w:r w:rsidRPr="00E00285">
        <w:rPr>
          <w:rFonts w:ascii="Times New Roman" w:eastAsia="Times New Roman" w:hAnsi="Times New Roman" w:cs="Times New Roman"/>
          <w:i/>
          <w:iCs/>
          <w:color w:val="000000" w:themeColor="text1"/>
          <w:sz w:val="24"/>
          <w:szCs w:val="24"/>
        </w:rPr>
        <w:t xml:space="preserve">percent.mt is reported in percentage units because it was calculated with Seurat </w:t>
      </w:r>
      <w:proofErr w:type="spellStart"/>
      <w:r w:rsidRPr="00E00285">
        <w:rPr>
          <w:rFonts w:ascii="Times New Roman" w:eastAsia="Times New Roman" w:hAnsi="Times New Roman" w:cs="Times New Roman"/>
          <w:i/>
          <w:iCs/>
          <w:color w:val="000000" w:themeColor="text1"/>
          <w:sz w:val="24"/>
          <w:szCs w:val="24"/>
        </w:rPr>
        <w:t>PercentageFeatureSet</w:t>
      </w:r>
      <w:proofErr w:type="spellEnd"/>
      <w:r w:rsidRPr="00E00285">
        <w:rPr>
          <w:rFonts w:ascii="Times New Roman" w:eastAsia="Times New Roman" w:hAnsi="Times New Roman" w:cs="Times New Roman"/>
          <w:i/>
          <w:iCs/>
          <w:color w:val="000000" w:themeColor="text1"/>
          <w:sz w:val="24"/>
          <w:szCs w:val="24"/>
        </w:rPr>
        <w:t>.</w:t>
      </w:r>
    </w:p>
    <w:p w14:paraId="25EA23AC" w14:textId="77777777" w:rsidR="007B6E28" w:rsidRPr="00E00285" w:rsidRDefault="00000000">
      <w:pPr>
        <w:keepLines/>
        <w:pBdr>
          <w:top w:val="nil"/>
          <w:left w:val="nil"/>
          <w:bottom w:val="nil"/>
          <w:right w:val="nil"/>
          <w:between w:val="nil"/>
        </w:pBdr>
        <w:shd w:val="clear" w:color="auto" w:fill="F2F2F2"/>
        <w:spacing w:before="60" w:line="240" w:lineRule="auto"/>
        <w:ind w:left="216" w:right="7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obj[["percent.mt"]] &lt;- </w:t>
      </w:r>
      <w:proofErr w:type="spellStart"/>
      <w:r w:rsidRPr="00E00285">
        <w:rPr>
          <w:rFonts w:ascii="Times New Roman" w:eastAsia="Times New Roman" w:hAnsi="Times New Roman" w:cs="Times New Roman"/>
          <w:color w:val="000000" w:themeColor="text1"/>
          <w:sz w:val="24"/>
          <w:szCs w:val="24"/>
        </w:rPr>
        <w:t>PercentageFeatureSet</w:t>
      </w:r>
      <w:proofErr w:type="spellEnd"/>
      <w:r w:rsidRPr="00E00285">
        <w:rPr>
          <w:rFonts w:ascii="Times New Roman" w:eastAsia="Times New Roman" w:hAnsi="Times New Roman" w:cs="Times New Roman"/>
          <w:color w:val="000000" w:themeColor="text1"/>
          <w:sz w:val="24"/>
          <w:szCs w:val="24"/>
        </w:rPr>
        <w:t>(obj, pattern = "^mt-")</w:t>
      </w:r>
      <w:r w:rsidRPr="00E00285">
        <w:rPr>
          <w:rFonts w:ascii="Times New Roman" w:eastAsia="Times New Roman" w:hAnsi="Times New Roman" w:cs="Times New Roman"/>
          <w:color w:val="000000" w:themeColor="text1"/>
          <w:sz w:val="24"/>
          <w:szCs w:val="24"/>
        </w:rPr>
        <w:br/>
        <w:t>obj &lt;- subset(</w:t>
      </w:r>
      <w:r w:rsidRPr="00E00285">
        <w:rPr>
          <w:rFonts w:ascii="Times New Roman" w:eastAsia="Times New Roman" w:hAnsi="Times New Roman" w:cs="Times New Roman"/>
          <w:color w:val="000000" w:themeColor="text1"/>
          <w:sz w:val="24"/>
          <w:szCs w:val="24"/>
        </w:rPr>
        <w:br/>
        <w:t xml:space="preserve">  obj,</w:t>
      </w:r>
      <w:r w:rsidRPr="00E00285">
        <w:rPr>
          <w:rFonts w:ascii="Times New Roman" w:eastAsia="Times New Roman" w:hAnsi="Times New Roman" w:cs="Times New Roman"/>
          <w:color w:val="000000" w:themeColor="text1"/>
          <w:sz w:val="24"/>
          <w:szCs w:val="24"/>
        </w:rPr>
        <w:br/>
        <w:t xml:space="preserve">  subset = </w:t>
      </w:r>
      <w:proofErr w:type="spellStart"/>
      <w:r w:rsidRPr="00E00285">
        <w:rPr>
          <w:rFonts w:ascii="Times New Roman" w:eastAsia="Times New Roman" w:hAnsi="Times New Roman" w:cs="Times New Roman"/>
          <w:color w:val="000000" w:themeColor="text1"/>
          <w:sz w:val="24"/>
          <w:szCs w:val="24"/>
        </w:rPr>
        <w:t>nFeature_Spatial</w:t>
      </w:r>
      <w:proofErr w:type="spellEnd"/>
      <w:r w:rsidRPr="00E00285">
        <w:rPr>
          <w:rFonts w:ascii="Times New Roman" w:eastAsia="Times New Roman" w:hAnsi="Times New Roman" w:cs="Times New Roman"/>
          <w:color w:val="000000" w:themeColor="text1"/>
          <w:sz w:val="24"/>
          <w:szCs w:val="24"/>
        </w:rPr>
        <w:t xml:space="preserve"> &gt;= 200 &amp; </w:t>
      </w:r>
      <w:proofErr w:type="spellStart"/>
      <w:r w:rsidRPr="00E00285">
        <w:rPr>
          <w:rFonts w:ascii="Times New Roman" w:eastAsia="Times New Roman" w:hAnsi="Times New Roman" w:cs="Times New Roman"/>
          <w:color w:val="000000" w:themeColor="text1"/>
          <w:sz w:val="24"/>
          <w:szCs w:val="24"/>
        </w:rPr>
        <w:t>nCount_Spatial</w:t>
      </w:r>
      <w:proofErr w:type="spellEnd"/>
      <w:r w:rsidRPr="00E00285">
        <w:rPr>
          <w:rFonts w:ascii="Times New Roman" w:eastAsia="Times New Roman" w:hAnsi="Times New Roman" w:cs="Times New Roman"/>
          <w:color w:val="000000" w:themeColor="text1"/>
          <w:sz w:val="24"/>
          <w:szCs w:val="24"/>
        </w:rPr>
        <w:t xml:space="preserve"> &gt;= 500 &amp; percent.mt &lt;= 5</w:t>
      </w:r>
      <w:r w:rsidRPr="00E00285">
        <w:rPr>
          <w:rFonts w:ascii="Times New Roman" w:eastAsia="Times New Roman" w:hAnsi="Times New Roman" w:cs="Times New Roman"/>
          <w:color w:val="000000" w:themeColor="text1"/>
          <w:sz w:val="24"/>
          <w:szCs w:val="24"/>
        </w:rPr>
        <w:br/>
        <w:t>)</w:t>
      </w:r>
      <w:r w:rsidRPr="00E00285">
        <w:rPr>
          <w:rFonts w:ascii="Times New Roman" w:eastAsia="Times New Roman" w:hAnsi="Times New Roman" w:cs="Times New Roman"/>
          <w:color w:val="000000" w:themeColor="text1"/>
          <w:sz w:val="24"/>
          <w:szCs w:val="24"/>
        </w:rPr>
        <w:br/>
        <w:t xml:space="preserve">obj &lt;- </w:t>
      </w:r>
      <w:proofErr w:type="spellStart"/>
      <w:r w:rsidRPr="00E00285">
        <w:rPr>
          <w:rFonts w:ascii="Times New Roman" w:eastAsia="Times New Roman" w:hAnsi="Times New Roman" w:cs="Times New Roman"/>
          <w:color w:val="000000" w:themeColor="text1"/>
          <w:sz w:val="24"/>
          <w:szCs w:val="24"/>
        </w:rPr>
        <w:t>SCTransform</w:t>
      </w:r>
      <w:proofErr w:type="spellEnd"/>
      <w:r w:rsidRPr="00E00285">
        <w:rPr>
          <w:rFonts w:ascii="Times New Roman" w:eastAsia="Times New Roman" w:hAnsi="Times New Roman" w:cs="Times New Roman"/>
          <w:color w:val="000000" w:themeColor="text1"/>
          <w:sz w:val="24"/>
          <w:szCs w:val="24"/>
        </w:rPr>
        <w:t xml:space="preserve">(obj, assay = "Spatial", </w:t>
      </w:r>
      <w:proofErr w:type="spellStart"/>
      <w:r w:rsidRPr="00E00285">
        <w:rPr>
          <w:rFonts w:ascii="Times New Roman" w:eastAsia="Times New Roman" w:hAnsi="Times New Roman" w:cs="Times New Roman"/>
          <w:color w:val="000000" w:themeColor="text1"/>
          <w:sz w:val="24"/>
          <w:szCs w:val="24"/>
        </w:rPr>
        <w:t>return.only.var.genes</w:t>
      </w:r>
      <w:proofErr w:type="spellEnd"/>
      <w:r w:rsidRPr="00E00285">
        <w:rPr>
          <w:rFonts w:ascii="Times New Roman" w:eastAsia="Times New Roman" w:hAnsi="Times New Roman" w:cs="Times New Roman"/>
          <w:color w:val="000000" w:themeColor="text1"/>
          <w:sz w:val="24"/>
          <w:szCs w:val="24"/>
        </w:rPr>
        <w:t xml:space="preserve"> = FALSE)</w:t>
      </w:r>
    </w:p>
    <w:p w14:paraId="226736E2" w14:textId="77777777" w:rsidR="007B6E28" w:rsidRPr="00E00285" w:rsidRDefault="00000000">
      <w:pPr>
        <w:keepLines/>
        <w:spacing w:after="0"/>
        <w:jc w:val="center"/>
        <w:rPr>
          <w:color w:val="000000" w:themeColor="text1"/>
        </w:rPr>
      </w:pPr>
      <w:r w:rsidRPr="00E00285">
        <w:rPr>
          <w:noProof/>
          <w:color w:val="000000" w:themeColor="text1"/>
        </w:rPr>
        <w:lastRenderedPageBreak/>
        <w:drawing>
          <wp:inline distT="0" distB="0" distL="0" distR="0" wp14:anchorId="7A5E4969" wp14:editId="0E334399">
            <wp:extent cx="6217920" cy="4234358"/>
            <wp:effectExtent l="0" t="0" r="0" b="0"/>
            <wp:docPr id="6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6217920" cy="4234358"/>
                    </a:xfrm>
                    <a:prstGeom prst="rect">
                      <a:avLst/>
                    </a:prstGeom>
                    <a:ln/>
                  </pic:spPr>
                </pic:pic>
              </a:graphicData>
            </a:graphic>
          </wp:inline>
        </w:drawing>
      </w:r>
    </w:p>
    <w:p w14:paraId="6CB134D2"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Figure S8. </w:t>
      </w:r>
      <w:r w:rsidRPr="00E00285">
        <w:rPr>
          <w:rFonts w:ascii="Times New Roman" w:eastAsia="Times New Roman" w:hAnsi="Times New Roman" w:cs="Times New Roman"/>
          <w:color w:val="000000" w:themeColor="text1"/>
          <w:sz w:val="24"/>
          <w:szCs w:val="24"/>
        </w:rPr>
        <w:t xml:space="preserve">Quality-control distributions in the lacrimal gland section. (A) </w:t>
      </w:r>
      <w:proofErr w:type="spellStart"/>
      <w:r w:rsidRPr="00E00285">
        <w:rPr>
          <w:rFonts w:ascii="Times New Roman" w:eastAsia="Times New Roman" w:hAnsi="Times New Roman" w:cs="Times New Roman"/>
          <w:color w:val="000000" w:themeColor="text1"/>
          <w:sz w:val="24"/>
          <w:szCs w:val="24"/>
        </w:rPr>
        <w:t>nCount_Spatial</w:t>
      </w:r>
      <w:proofErr w:type="spellEnd"/>
      <w:r w:rsidRPr="00E00285">
        <w:rPr>
          <w:rFonts w:ascii="Times New Roman" w:eastAsia="Times New Roman" w:hAnsi="Times New Roman" w:cs="Times New Roman"/>
          <w:color w:val="000000" w:themeColor="text1"/>
          <w:sz w:val="24"/>
          <w:szCs w:val="24"/>
        </w:rPr>
        <w:t xml:space="preserve">, </w:t>
      </w:r>
      <w:proofErr w:type="spellStart"/>
      <w:r w:rsidRPr="00E00285">
        <w:rPr>
          <w:rFonts w:ascii="Times New Roman" w:eastAsia="Times New Roman" w:hAnsi="Times New Roman" w:cs="Times New Roman"/>
          <w:color w:val="000000" w:themeColor="text1"/>
          <w:sz w:val="24"/>
          <w:szCs w:val="24"/>
        </w:rPr>
        <w:t>nFeature_Spatial</w:t>
      </w:r>
      <w:proofErr w:type="spellEnd"/>
      <w:r w:rsidRPr="00E00285">
        <w:rPr>
          <w:rFonts w:ascii="Times New Roman" w:eastAsia="Times New Roman" w:hAnsi="Times New Roman" w:cs="Times New Roman"/>
          <w:color w:val="000000" w:themeColor="text1"/>
          <w:sz w:val="24"/>
          <w:szCs w:val="24"/>
        </w:rPr>
        <w:t>, and percent.mt before filtering. (B) The same metrics after filtering.</w:t>
      </w:r>
    </w:p>
    <w:p w14:paraId="65444962"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The removal of only 14 spots indicates that the section had broadly adequate transcript recovery. Similar pre- and post-filtering medians show that filtering removed a small number of low-quality or extreme spots without changing the central distribution of the dataset.</w:t>
      </w:r>
    </w:p>
    <w:p w14:paraId="07C0206D" w14:textId="77777777" w:rsidR="007B6E28" w:rsidRPr="00E00285" w:rsidRDefault="00000000">
      <w:pPr>
        <w:keepNext/>
        <w:pBdr>
          <w:top w:val="nil"/>
          <w:left w:val="nil"/>
          <w:bottom w:val="nil"/>
          <w:right w:val="nil"/>
          <w:between w:val="nil"/>
        </w:pBdr>
        <w:spacing w:before="140" w:after="60" w:line="276"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Table S8. </w:t>
      </w:r>
      <w:r w:rsidRPr="00E00285">
        <w:rPr>
          <w:rFonts w:ascii="Times New Roman" w:eastAsia="Times New Roman" w:hAnsi="Times New Roman" w:cs="Times New Roman"/>
          <w:color w:val="000000" w:themeColor="text1"/>
          <w:sz w:val="24"/>
          <w:szCs w:val="24"/>
        </w:rPr>
        <w:t>Core analysis parameters for the lacrimal gland case study.</w:t>
      </w:r>
    </w:p>
    <w:tbl>
      <w:tblPr>
        <w:tblStyle w:val="a6"/>
        <w:tblW w:w="99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5"/>
        <w:gridCol w:w="3325"/>
        <w:gridCol w:w="3325"/>
      </w:tblGrid>
      <w:tr w:rsidR="007B6E28" w:rsidRPr="00E00285" w14:paraId="0F5C5862" w14:textId="77777777">
        <w:tc>
          <w:tcPr>
            <w:tcW w:w="3325" w:type="dxa"/>
          </w:tcPr>
          <w:p w14:paraId="70A8B7A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Analysis step</w:t>
            </w:r>
          </w:p>
        </w:tc>
        <w:tc>
          <w:tcPr>
            <w:tcW w:w="3325" w:type="dxa"/>
          </w:tcPr>
          <w:p w14:paraId="139B965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Parameterization</w:t>
            </w:r>
          </w:p>
        </w:tc>
        <w:tc>
          <w:tcPr>
            <w:tcW w:w="3325" w:type="dxa"/>
          </w:tcPr>
          <w:p w14:paraId="52E3FC8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Rationale or interpretation</w:t>
            </w:r>
          </w:p>
        </w:tc>
      </w:tr>
      <w:tr w:rsidR="007B6E28" w:rsidRPr="00E00285" w14:paraId="2DC9E3F4" w14:textId="77777777">
        <w:tc>
          <w:tcPr>
            <w:tcW w:w="3325" w:type="dxa"/>
          </w:tcPr>
          <w:p w14:paraId="64B7730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QC</w:t>
            </w:r>
          </w:p>
        </w:tc>
        <w:tc>
          <w:tcPr>
            <w:tcW w:w="3325" w:type="dxa"/>
          </w:tcPr>
          <w:p w14:paraId="6CC5B68D" w14:textId="77777777" w:rsidR="007B6E28" w:rsidRPr="00E00285" w:rsidRDefault="00000000">
            <w:pPr>
              <w:rPr>
                <w:rFonts w:ascii="Times New Roman" w:eastAsia="Times New Roman" w:hAnsi="Times New Roman" w:cs="Times New Roman"/>
                <w:color w:val="000000" w:themeColor="text1"/>
                <w:sz w:val="24"/>
                <w:szCs w:val="24"/>
              </w:rPr>
            </w:pPr>
            <w:sdt>
              <w:sdtPr>
                <w:rPr>
                  <w:color w:val="000000" w:themeColor="text1"/>
                </w:rPr>
                <w:tag w:val="goog_rdk_3"/>
                <w:id w:val="-188501064"/>
              </w:sdtPr>
              <w:sdtContent>
                <w:proofErr w:type="spellStart"/>
                <w:r w:rsidRPr="00E00285">
                  <w:rPr>
                    <w:rFonts w:ascii="Gungsuh" w:eastAsia="Gungsuh" w:hAnsi="Gungsuh" w:cs="Gungsuh"/>
                    <w:color w:val="000000" w:themeColor="text1"/>
                    <w:sz w:val="24"/>
                    <w:szCs w:val="24"/>
                  </w:rPr>
                  <w:t>nFeature_Spatial</w:t>
                </w:r>
                <w:proofErr w:type="spellEnd"/>
                <w:r w:rsidRPr="00E00285">
                  <w:rPr>
                    <w:rFonts w:ascii="Gungsuh" w:eastAsia="Gungsuh" w:hAnsi="Gungsuh" w:cs="Gungsuh"/>
                    <w:color w:val="000000" w:themeColor="text1"/>
                    <w:sz w:val="24"/>
                    <w:szCs w:val="24"/>
                  </w:rPr>
                  <w:t xml:space="preserve"> ≥ 200; </w:t>
                </w:r>
                <w:proofErr w:type="spellStart"/>
                <w:r w:rsidRPr="00E00285">
                  <w:rPr>
                    <w:rFonts w:ascii="Gungsuh" w:eastAsia="Gungsuh" w:hAnsi="Gungsuh" w:cs="Gungsuh"/>
                    <w:color w:val="000000" w:themeColor="text1"/>
                    <w:sz w:val="24"/>
                    <w:szCs w:val="24"/>
                  </w:rPr>
                  <w:t>nCount_Spatial</w:t>
                </w:r>
                <w:proofErr w:type="spellEnd"/>
                <w:r w:rsidRPr="00E00285">
                  <w:rPr>
                    <w:rFonts w:ascii="Gungsuh" w:eastAsia="Gungsuh" w:hAnsi="Gungsuh" w:cs="Gungsuh"/>
                    <w:color w:val="000000" w:themeColor="text1"/>
                    <w:sz w:val="24"/>
                    <w:szCs w:val="24"/>
                  </w:rPr>
                  <w:t xml:space="preserve"> ≥ 500; percent.mt ≤ 5</w:t>
                </w:r>
              </w:sdtContent>
            </w:sdt>
          </w:p>
        </w:tc>
        <w:tc>
          <w:tcPr>
            <w:tcW w:w="3325" w:type="dxa"/>
          </w:tcPr>
          <w:p w14:paraId="77F9309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Retained 1,516 of 1,530 spots</w:t>
            </w:r>
          </w:p>
        </w:tc>
      </w:tr>
      <w:tr w:rsidR="007B6E28" w:rsidRPr="00E00285" w14:paraId="4D9B2103" w14:textId="77777777">
        <w:tc>
          <w:tcPr>
            <w:tcW w:w="3325" w:type="dxa"/>
          </w:tcPr>
          <w:p w14:paraId="353ACC0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Normalization</w:t>
            </w:r>
          </w:p>
        </w:tc>
        <w:tc>
          <w:tcPr>
            <w:tcW w:w="3325" w:type="dxa"/>
          </w:tcPr>
          <w:p w14:paraId="2BB2E258"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SCTransform</w:t>
            </w:r>
            <w:proofErr w:type="spellEnd"/>
            <w:r w:rsidRPr="00E00285">
              <w:rPr>
                <w:rFonts w:ascii="Times New Roman" w:eastAsia="Times New Roman" w:hAnsi="Times New Roman" w:cs="Times New Roman"/>
                <w:color w:val="000000" w:themeColor="text1"/>
                <w:sz w:val="24"/>
                <w:szCs w:val="24"/>
              </w:rPr>
              <w:t xml:space="preserve">; </w:t>
            </w:r>
            <w:proofErr w:type="spellStart"/>
            <w:r w:rsidRPr="00E00285">
              <w:rPr>
                <w:rFonts w:ascii="Times New Roman" w:eastAsia="Times New Roman" w:hAnsi="Times New Roman" w:cs="Times New Roman"/>
                <w:color w:val="000000" w:themeColor="text1"/>
                <w:sz w:val="24"/>
                <w:szCs w:val="24"/>
              </w:rPr>
              <w:t>return.only.var.genes</w:t>
            </w:r>
            <w:proofErr w:type="spellEnd"/>
            <w:r w:rsidRPr="00E00285">
              <w:rPr>
                <w:rFonts w:ascii="Times New Roman" w:eastAsia="Times New Roman" w:hAnsi="Times New Roman" w:cs="Times New Roman"/>
                <w:color w:val="000000" w:themeColor="text1"/>
                <w:sz w:val="24"/>
                <w:szCs w:val="24"/>
              </w:rPr>
              <w:t xml:space="preserve"> = FALSE</w:t>
            </w:r>
          </w:p>
        </w:tc>
        <w:tc>
          <w:tcPr>
            <w:tcW w:w="3325" w:type="dxa"/>
          </w:tcPr>
          <w:p w14:paraId="08A218B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Regularized negative-binomial normalization</w:t>
            </w:r>
          </w:p>
        </w:tc>
      </w:tr>
      <w:tr w:rsidR="007B6E28" w:rsidRPr="00E00285" w14:paraId="7856718F" w14:textId="77777777">
        <w:tc>
          <w:tcPr>
            <w:tcW w:w="3325" w:type="dxa"/>
          </w:tcPr>
          <w:p w14:paraId="534E459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PCA/UMAP</w:t>
            </w:r>
          </w:p>
        </w:tc>
        <w:tc>
          <w:tcPr>
            <w:tcW w:w="3325" w:type="dxa"/>
          </w:tcPr>
          <w:p w14:paraId="7CD048A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50 PCs calculated; dimensions 1-30 used</w:t>
            </w:r>
          </w:p>
        </w:tc>
        <w:tc>
          <w:tcPr>
            <w:tcW w:w="3325" w:type="dxa"/>
          </w:tcPr>
          <w:p w14:paraId="5D7F511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Transcriptional similarity visualization</w:t>
            </w:r>
          </w:p>
        </w:tc>
      </w:tr>
      <w:tr w:rsidR="007B6E28" w:rsidRPr="00E00285" w14:paraId="4ECD2D8A" w14:textId="77777777">
        <w:tc>
          <w:tcPr>
            <w:tcW w:w="3325" w:type="dxa"/>
          </w:tcPr>
          <w:p w14:paraId="274F807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Clustering</w:t>
            </w:r>
          </w:p>
        </w:tc>
        <w:tc>
          <w:tcPr>
            <w:tcW w:w="3325" w:type="dxa"/>
          </w:tcPr>
          <w:p w14:paraId="30006FC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Graph-based; resolution = 0.45</w:t>
            </w:r>
          </w:p>
        </w:tc>
        <w:tc>
          <w:tcPr>
            <w:tcW w:w="3325" w:type="dxa"/>
          </w:tcPr>
          <w:p w14:paraId="1BCE277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Five spot-level transcriptional domains</w:t>
            </w:r>
          </w:p>
        </w:tc>
      </w:tr>
      <w:tr w:rsidR="007B6E28" w:rsidRPr="00E00285" w14:paraId="3478C675" w14:textId="77777777">
        <w:tc>
          <w:tcPr>
            <w:tcW w:w="3325" w:type="dxa"/>
          </w:tcPr>
          <w:p w14:paraId="3058E62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Markers</w:t>
            </w:r>
          </w:p>
        </w:tc>
        <w:tc>
          <w:tcPr>
            <w:tcW w:w="3325" w:type="dxa"/>
          </w:tcPr>
          <w:p w14:paraId="5D81D934" w14:textId="77777777" w:rsidR="007B6E28" w:rsidRPr="00E00285" w:rsidRDefault="00000000">
            <w:pPr>
              <w:rPr>
                <w:rFonts w:ascii="Times New Roman" w:eastAsia="Times New Roman" w:hAnsi="Times New Roman" w:cs="Times New Roman"/>
                <w:color w:val="000000" w:themeColor="text1"/>
                <w:sz w:val="24"/>
                <w:szCs w:val="24"/>
              </w:rPr>
            </w:pPr>
            <w:sdt>
              <w:sdtPr>
                <w:rPr>
                  <w:color w:val="000000" w:themeColor="text1"/>
                </w:rPr>
                <w:tag w:val="goog_rdk_4"/>
                <w:id w:val="1587585414"/>
              </w:sdtPr>
              <w:sdtContent>
                <w:proofErr w:type="spellStart"/>
                <w:r w:rsidRPr="00E00285">
                  <w:rPr>
                    <w:rFonts w:ascii="Gungsuh" w:eastAsia="Gungsuh" w:hAnsi="Gungsuh" w:cs="Gungsuh"/>
                    <w:color w:val="000000" w:themeColor="text1"/>
                    <w:sz w:val="24"/>
                    <w:szCs w:val="24"/>
                  </w:rPr>
                  <w:t>PrepSCTFindMarkers</w:t>
                </w:r>
                <w:proofErr w:type="spellEnd"/>
                <w:r w:rsidRPr="00E00285">
                  <w:rPr>
                    <w:rFonts w:ascii="Gungsuh" w:eastAsia="Gungsuh" w:hAnsi="Gungsuh" w:cs="Gungsuh"/>
                    <w:color w:val="000000" w:themeColor="text1"/>
                    <w:sz w:val="24"/>
                    <w:szCs w:val="24"/>
                  </w:rPr>
                  <w:t xml:space="preserve"> + Wilcoxon; min.pct = 0.10; </w:t>
                </w:r>
                <w:proofErr w:type="spellStart"/>
                <w:r w:rsidRPr="00E00285">
                  <w:rPr>
                    <w:rFonts w:ascii="Gungsuh" w:eastAsia="Gungsuh" w:hAnsi="Gungsuh" w:cs="Gungsuh"/>
                    <w:color w:val="000000" w:themeColor="text1"/>
                    <w:sz w:val="24"/>
                    <w:szCs w:val="24"/>
                  </w:rPr>
                  <w:t>logFC</w:t>
                </w:r>
                <w:proofErr w:type="spellEnd"/>
                <w:r w:rsidRPr="00E00285">
                  <w:rPr>
                    <w:rFonts w:ascii="Gungsuh" w:eastAsia="Gungsuh" w:hAnsi="Gungsuh" w:cs="Gungsuh"/>
                    <w:color w:val="000000" w:themeColor="text1"/>
                    <w:sz w:val="24"/>
                    <w:szCs w:val="24"/>
                  </w:rPr>
                  <w:t xml:space="preserve"> ≥ 0.25</w:t>
                </w:r>
              </w:sdtContent>
            </w:sdt>
          </w:p>
        </w:tc>
        <w:tc>
          <w:tcPr>
            <w:tcW w:w="3325" w:type="dxa"/>
          </w:tcPr>
          <w:p w14:paraId="59768FD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Positive marker genes</w:t>
            </w:r>
          </w:p>
        </w:tc>
      </w:tr>
      <w:tr w:rsidR="007B6E28" w:rsidRPr="00E00285" w14:paraId="57611486" w14:textId="77777777">
        <w:tc>
          <w:tcPr>
            <w:tcW w:w="3325" w:type="dxa"/>
          </w:tcPr>
          <w:p w14:paraId="1862357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Module scoring</w:t>
            </w:r>
          </w:p>
        </w:tc>
        <w:tc>
          <w:tcPr>
            <w:tcW w:w="3325" w:type="dxa"/>
          </w:tcPr>
          <w:p w14:paraId="0AA92012"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AddModuleScore</w:t>
            </w:r>
            <w:proofErr w:type="spellEnd"/>
          </w:p>
        </w:tc>
        <w:tc>
          <w:tcPr>
            <w:tcW w:w="3325" w:type="dxa"/>
          </w:tcPr>
          <w:p w14:paraId="15401B3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Curated epithelial, immune, metabolic, and stress programs</w:t>
            </w:r>
          </w:p>
        </w:tc>
      </w:tr>
      <w:tr w:rsidR="007B6E28" w:rsidRPr="00E00285" w14:paraId="31D06D3B" w14:textId="77777777">
        <w:tc>
          <w:tcPr>
            <w:tcW w:w="3325" w:type="dxa"/>
            <w:vAlign w:val="center"/>
          </w:tcPr>
          <w:p w14:paraId="425D4913" w14:textId="77777777" w:rsidR="007B6E28" w:rsidRPr="00E00285" w:rsidRDefault="00000000">
            <w:pPr>
              <w:rPr>
                <w:color w:val="000000" w:themeColor="text1"/>
              </w:rPr>
            </w:pPr>
            <w:r w:rsidRPr="00E00285">
              <w:rPr>
                <w:color w:val="000000" w:themeColor="text1"/>
                <w:sz w:val="17"/>
                <w:szCs w:val="17"/>
              </w:rPr>
              <w:t>Neighborhoods</w:t>
            </w:r>
          </w:p>
        </w:tc>
        <w:tc>
          <w:tcPr>
            <w:tcW w:w="3325" w:type="dxa"/>
            <w:vAlign w:val="center"/>
          </w:tcPr>
          <w:p w14:paraId="0FC92310" w14:textId="77777777" w:rsidR="007B6E28" w:rsidRPr="00E00285" w:rsidRDefault="00000000">
            <w:pPr>
              <w:rPr>
                <w:color w:val="000000" w:themeColor="text1"/>
              </w:rPr>
            </w:pPr>
            <w:r w:rsidRPr="00E00285">
              <w:rPr>
                <w:color w:val="000000" w:themeColor="text1"/>
                <w:sz w:val="17"/>
                <w:szCs w:val="17"/>
              </w:rPr>
              <w:t xml:space="preserve">Native </w:t>
            </w:r>
            <w:proofErr w:type="spellStart"/>
            <w:r w:rsidRPr="00E00285">
              <w:rPr>
                <w:color w:val="000000" w:themeColor="text1"/>
                <w:sz w:val="17"/>
                <w:szCs w:val="17"/>
              </w:rPr>
              <w:t>Visium</w:t>
            </w:r>
            <w:proofErr w:type="spellEnd"/>
            <w:r w:rsidRPr="00E00285">
              <w:rPr>
                <w:color w:val="000000" w:themeColor="text1"/>
                <w:sz w:val="17"/>
                <w:szCs w:val="17"/>
              </w:rPr>
              <w:t xml:space="preserve"> array adjacency; distance-limited graph sensitivity</w:t>
            </w:r>
          </w:p>
        </w:tc>
        <w:tc>
          <w:tcPr>
            <w:tcW w:w="3325" w:type="dxa"/>
            <w:vAlign w:val="center"/>
          </w:tcPr>
          <w:p w14:paraId="3252E964" w14:textId="77777777" w:rsidR="007B6E28" w:rsidRPr="00E00285" w:rsidRDefault="00000000">
            <w:pPr>
              <w:rPr>
                <w:color w:val="000000" w:themeColor="text1"/>
              </w:rPr>
            </w:pPr>
            <w:r w:rsidRPr="00E00285">
              <w:rPr>
                <w:color w:val="000000" w:themeColor="text1"/>
                <w:sz w:val="17"/>
                <w:szCs w:val="17"/>
              </w:rPr>
              <w:t>Continuous local-mixing fraction and binary interface sensitivity across clustering resolutions</w:t>
            </w:r>
          </w:p>
        </w:tc>
      </w:tr>
      <w:tr w:rsidR="007B6E28" w:rsidRPr="00E00285" w14:paraId="5F1AAF52" w14:textId="77777777">
        <w:tc>
          <w:tcPr>
            <w:tcW w:w="3325" w:type="dxa"/>
          </w:tcPr>
          <w:p w14:paraId="23FB4A5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 gradients</w:t>
            </w:r>
          </w:p>
        </w:tc>
        <w:tc>
          <w:tcPr>
            <w:tcW w:w="3325" w:type="dxa"/>
          </w:tcPr>
          <w:p w14:paraId="7A6010F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2D GAM: value ~ s(x, y), REML</w:t>
            </w:r>
          </w:p>
        </w:tc>
        <w:tc>
          <w:tcPr>
            <w:tcW w:w="3325" w:type="dxa"/>
          </w:tcPr>
          <w:p w14:paraId="5277F5B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Deviance explained used as spatial-structure summary</w:t>
            </w:r>
          </w:p>
        </w:tc>
      </w:tr>
      <w:tr w:rsidR="007B6E28" w:rsidRPr="00E00285" w14:paraId="0ACA3AD0" w14:textId="77777777">
        <w:tc>
          <w:tcPr>
            <w:tcW w:w="3325" w:type="dxa"/>
          </w:tcPr>
          <w:p w14:paraId="1DC4B2F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lastRenderedPageBreak/>
              <w:t>SVGs</w:t>
            </w:r>
          </w:p>
        </w:tc>
        <w:tc>
          <w:tcPr>
            <w:tcW w:w="3325" w:type="dxa"/>
          </w:tcPr>
          <w:p w14:paraId="1E12368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Moran’s I ranking</w:t>
            </w:r>
          </w:p>
        </w:tc>
        <w:tc>
          <w:tcPr>
            <w:tcW w:w="3325" w:type="dxa"/>
          </w:tcPr>
          <w:p w14:paraId="3BC189A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Cluster-independent spatial patterning</w:t>
            </w:r>
          </w:p>
        </w:tc>
      </w:tr>
      <w:tr w:rsidR="007B6E28" w:rsidRPr="00E00285" w14:paraId="3AEEBE62" w14:textId="77777777">
        <w:tc>
          <w:tcPr>
            <w:tcW w:w="3325" w:type="dxa"/>
          </w:tcPr>
          <w:p w14:paraId="0B3EF61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Deconvolution</w:t>
            </w:r>
          </w:p>
        </w:tc>
        <w:tc>
          <w:tcPr>
            <w:tcW w:w="3325" w:type="dxa"/>
          </w:tcPr>
          <w:p w14:paraId="097275A5"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STdeconvolve</w:t>
            </w:r>
            <w:proofErr w:type="spellEnd"/>
            <w:r w:rsidRPr="00E00285">
              <w:rPr>
                <w:rFonts w:ascii="Times New Roman" w:eastAsia="Times New Roman" w:hAnsi="Times New Roman" w:cs="Times New Roman"/>
                <w:color w:val="000000" w:themeColor="text1"/>
                <w:sz w:val="24"/>
                <w:szCs w:val="24"/>
              </w:rPr>
              <w:t>; eight reference-free topics</w:t>
            </w:r>
          </w:p>
        </w:tc>
        <w:tc>
          <w:tcPr>
            <w:tcW w:w="3325" w:type="dxa"/>
          </w:tcPr>
          <w:p w14:paraId="0717E66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Latent transcriptional topics, not definitive cell counts</w:t>
            </w:r>
          </w:p>
        </w:tc>
      </w:tr>
    </w:tbl>
    <w:p w14:paraId="740A7B95"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12. Dimension reduction, clustering, and domain annotation</w:t>
      </w:r>
    </w:p>
    <w:p w14:paraId="5133F5FE"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SCTransform</w:t>
      </w:r>
      <w:proofErr w:type="spellEnd"/>
      <w:r w:rsidRPr="00E00285">
        <w:rPr>
          <w:rFonts w:ascii="Times New Roman" w:eastAsia="Times New Roman" w:hAnsi="Times New Roman" w:cs="Times New Roman"/>
          <w:color w:val="000000" w:themeColor="text1"/>
          <w:sz w:val="24"/>
          <w:szCs w:val="24"/>
        </w:rPr>
        <w:t>-normalized expression was analyzed with 50 principal components, dimensions 1-30 for UMAP and nearest-neighbor graph construction, and graph-based clustering at resolution 0.45. Five spot-level transcriptional domains were recovered. The final spot counts in Supplementary Table S9 were calculated from the supplied cluster_spot_counts_NOD_1.csv output.</w:t>
      </w:r>
    </w:p>
    <w:p w14:paraId="5170FCA5" w14:textId="77777777" w:rsidR="007B6E28" w:rsidRPr="00E00285" w:rsidRDefault="00000000">
      <w:pPr>
        <w:keepLines/>
        <w:pBdr>
          <w:top w:val="nil"/>
          <w:left w:val="nil"/>
          <w:bottom w:val="nil"/>
          <w:right w:val="nil"/>
          <w:between w:val="nil"/>
        </w:pBdr>
        <w:shd w:val="clear" w:color="auto" w:fill="F2F2F2"/>
        <w:spacing w:before="60" w:line="240" w:lineRule="auto"/>
        <w:ind w:left="216" w:right="7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obj &lt;- </w:t>
      </w:r>
      <w:proofErr w:type="spellStart"/>
      <w:r w:rsidRPr="00E00285">
        <w:rPr>
          <w:rFonts w:ascii="Times New Roman" w:eastAsia="Times New Roman" w:hAnsi="Times New Roman" w:cs="Times New Roman"/>
          <w:color w:val="000000" w:themeColor="text1"/>
          <w:sz w:val="24"/>
          <w:szCs w:val="24"/>
        </w:rPr>
        <w:t>RunPCA</w:t>
      </w:r>
      <w:proofErr w:type="spellEnd"/>
      <w:r w:rsidRPr="00E00285">
        <w:rPr>
          <w:rFonts w:ascii="Times New Roman" w:eastAsia="Times New Roman" w:hAnsi="Times New Roman" w:cs="Times New Roman"/>
          <w:color w:val="000000" w:themeColor="text1"/>
          <w:sz w:val="24"/>
          <w:szCs w:val="24"/>
        </w:rPr>
        <w:t xml:space="preserve">(obj, </w:t>
      </w:r>
      <w:proofErr w:type="spellStart"/>
      <w:r w:rsidRPr="00E00285">
        <w:rPr>
          <w:rFonts w:ascii="Times New Roman" w:eastAsia="Times New Roman" w:hAnsi="Times New Roman" w:cs="Times New Roman"/>
          <w:color w:val="000000" w:themeColor="text1"/>
          <w:sz w:val="24"/>
          <w:szCs w:val="24"/>
        </w:rPr>
        <w:t>npcs</w:t>
      </w:r>
      <w:proofErr w:type="spellEnd"/>
      <w:r w:rsidRPr="00E00285">
        <w:rPr>
          <w:rFonts w:ascii="Times New Roman" w:eastAsia="Times New Roman" w:hAnsi="Times New Roman" w:cs="Times New Roman"/>
          <w:color w:val="000000" w:themeColor="text1"/>
          <w:sz w:val="24"/>
          <w:szCs w:val="24"/>
        </w:rPr>
        <w:t xml:space="preserve"> = 50)</w:t>
      </w:r>
      <w:r w:rsidRPr="00E00285">
        <w:rPr>
          <w:rFonts w:ascii="Times New Roman" w:eastAsia="Times New Roman" w:hAnsi="Times New Roman" w:cs="Times New Roman"/>
          <w:color w:val="000000" w:themeColor="text1"/>
          <w:sz w:val="24"/>
          <w:szCs w:val="24"/>
        </w:rPr>
        <w:br/>
        <w:t xml:space="preserve">obj &lt;- </w:t>
      </w:r>
      <w:proofErr w:type="spellStart"/>
      <w:r w:rsidRPr="00E00285">
        <w:rPr>
          <w:rFonts w:ascii="Times New Roman" w:eastAsia="Times New Roman" w:hAnsi="Times New Roman" w:cs="Times New Roman"/>
          <w:color w:val="000000" w:themeColor="text1"/>
          <w:sz w:val="24"/>
          <w:szCs w:val="24"/>
        </w:rPr>
        <w:t>RunUMAP</w:t>
      </w:r>
      <w:proofErr w:type="spellEnd"/>
      <w:r w:rsidRPr="00E00285">
        <w:rPr>
          <w:rFonts w:ascii="Times New Roman" w:eastAsia="Times New Roman" w:hAnsi="Times New Roman" w:cs="Times New Roman"/>
          <w:color w:val="000000" w:themeColor="text1"/>
          <w:sz w:val="24"/>
          <w:szCs w:val="24"/>
        </w:rPr>
        <w:t>(obj, reduction = "</w:t>
      </w:r>
      <w:proofErr w:type="spellStart"/>
      <w:r w:rsidRPr="00E00285">
        <w:rPr>
          <w:rFonts w:ascii="Times New Roman" w:eastAsia="Times New Roman" w:hAnsi="Times New Roman" w:cs="Times New Roman"/>
          <w:color w:val="000000" w:themeColor="text1"/>
          <w:sz w:val="24"/>
          <w:szCs w:val="24"/>
        </w:rPr>
        <w:t>pca</w:t>
      </w:r>
      <w:proofErr w:type="spellEnd"/>
      <w:r w:rsidRPr="00E00285">
        <w:rPr>
          <w:rFonts w:ascii="Times New Roman" w:eastAsia="Times New Roman" w:hAnsi="Times New Roman" w:cs="Times New Roman"/>
          <w:color w:val="000000" w:themeColor="text1"/>
          <w:sz w:val="24"/>
          <w:szCs w:val="24"/>
        </w:rPr>
        <w:t>", dims = 1:30)</w:t>
      </w:r>
      <w:r w:rsidRPr="00E00285">
        <w:rPr>
          <w:rFonts w:ascii="Times New Roman" w:eastAsia="Times New Roman" w:hAnsi="Times New Roman" w:cs="Times New Roman"/>
          <w:color w:val="000000" w:themeColor="text1"/>
          <w:sz w:val="24"/>
          <w:szCs w:val="24"/>
        </w:rPr>
        <w:br/>
        <w:t xml:space="preserve">obj &lt;- </w:t>
      </w:r>
      <w:proofErr w:type="spellStart"/>
      <w:r w:rsidRPr="00E00285">
        <w:rPr>
          <w:rFonts w:ascii="Times New Roman" w:eastAsia="Times New Roman" w:hAnsi="Times New Roman" w:cs="Times New Roman"/>
          <w:color w:val="000000" w:themeColor="text1"/>
          <w:sz w:val="24"/>
          <w:szCs w:val="24"/>
        </w:rPr>
        <w:t>FindNeighbors</w:t>
      </w:r>
      <w:proofErr w:type="spellEnd"/>
      <w:r w:rsidRPr="00E00285">
        <w:rPr>
          <w:rFonts w:ascii="Times New Roman" w:eastAsia="Times New Roman" w:hAnsi="Times New Roman" w:cs="Times New Roman"/>
          <w:color w:val="000000" w:themeColor="text1"/>
          <w:sz w:val="24"/>
          <w:szCs w:val="24"/>
        </w:rPr>
        <w:t>(obj, reduction = "</w:t>
      </w:r>
      <w:proofErr w:type="spellStart"/>
      <w:r w:rsidRPr="00E00285">
        <w:rPr>
          <w:rFonts w:ascii="Times New Roman" w:eastAsia="Times New Roman" w:hAnsi="Times New Roman" w:cs="Times New Roman"/>
          <w:color w:val="000000" w:themeColor="text1"/>
          <w:sz w:val="24"/>
          <w:szCs w:val="24"/>
        </w:rPr>
        <w:t>pca</w:t>
      </w:r>
      <w:proofErr w:type="spellEnd"/>
      <w:r w:rsidRPr="00E00285">
        <w:rPr>
          <w:rFonts w:ascii="Times New Roman" w:eastAsia="Times New Roman" w:hAnsi="Times New Roman" w:cs="Times New Roman"/>
          <w:color w:val="000000" w:themeColor="text1"/>
          <w:sz w:val="24"/>
          <w:szCs w:val="24"/>
        </w:rPr>
        <w:t>", dims = 1:30)</w:t>
      </w:r>
      <w:r w:rsidRPr="00E00285">
        <w:rPr>
          <w:rFonts w:ascii="Times New Roman" w:eastAsia="Times New Roman" w:hAnsi="Times New Roman" w:cs="Times New Roman"/>
          <w:color w:val="000000" w:themeColor="text1"/>
          <w:sz w:val="24"/>
          <w:szCs w:val="24"/>
        </w:rPr>
        <w:br/>
        <w:t xml:space="preserve">obj &lt;- </w:t>
      </w:r>
      <w:proofErr w:type="spellStart"/>
      <w:r w:rsidRPr="00E00285">
        <w:rPr>
          <w:rFonts w:ascii="Times New Roman" w:eastAsia="Times New Roman" w:hAnsi="Times New Roman" w:cs="Times New Roman"/>
          <w:color w:val="000000" w:themeColor="text1"/>
          <w:sz w:val="24"/>
          <w:szCs w:val="24"/>
        </w:rPr>
        <w:t>FindClusters</w:t>
      </w:r>
      <w:proofErr w:type="spellEnd"/>
      <w:r w:rsidRPr="00E00285">
        <w:rPr>
          <w:rFonts w:ascii="Times New Roman" w:eastAsia="Times New Roman" w:hAnsi="Times New Roman" w:cs="Times New Roman"/>
          <w:color w:val="000000" w:themeColor="text1"/>
          <w:sz w:val="24"/>
          <w:szCs w:val="24"/>
        </w:rPr>
        <w:t>(obj, resolution = 0.45)</w:t>
      </w:r>
    </w:p>
    <w:p w14:paraId="76992AF1" w14:textId="77777777" w:rsidR="007B6E28" w:rsidRPr="00E00285" w:rsidRDefault="00000000">
      <w:pPr>
        <w:keepNext/>
        <w:pBdr>
          <w:top w:val="nil"/>
          <w:left w:val="nil"/>
          <w:bottom w:val="nil"/>
          <w:right w:val="nil"/>
          <w:between w:val="nil"/>
        </w:pBdr>
        <w:spacing w:before="140" w:after="60" w:line="276"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Table S9. </w:t>
      </w:r>
      <w:r w:rsidRPr="00E00285">
        <w:rPr>
          <w:rFonts w:ascii="Times New Roman" w:eastAsia="Times New Roman" w:hAnsi="Times New Roman" w:cs="Times New Roman"/>
          <w:color w:val="000000" w:themeColor="text1"/>
          <w:sz w:val="24"/>
          <w:szCs w:val="24"/>
        </w:rPr>
        <w:t>Lacrimal gland spatial-domain sizes, working annotations, and representative markers.</w:t>
      </w:r>
    </w:p>
    <w:tbl>
      <w:tblPr>
        <w:tblStyle w:val="a7"/>
        <w:tblW w:w="101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5"/>
        <w:gridCol w:w="1995"/>
        <w:gridCol w:w="1995"/>
        <w:gridCol w:w="2150"/>
        <w:gridCol w:w="1995"/>
      </w:tblGrid>
      <w:tr w:rsidR="007B6E28" w:rsidRPr="00E00285" w14:paraId="3A82A170" w14:textId="77777777">
        <w:tc>
          <w:tcPr>
            <w:tcW w:w="1995" w:type="dxa"/>
          </w:tcPr>
          <w:p w14:paraId="6D115A0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Cluster</w:t>
            </w:r>
          </w:p>
        </w:tc>
        <w:tc>
          <w:tcPr>
            <w:tcW w:w="1995" w:type="dxa"/>
          </w:tcPr>
          <w:p w14:paraId="4DB8CAB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Spots</w:t>
            </w:r>
          </w:p>
        </w:tc>
        <w:tc>
          <w:tcPr>
            <w:tcW w:w="1995" w:type="dxa"/>
          </w:tcPr>
          <w:p w14:paraId="4544A8A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Percent of spots</w:t>
            </w:r>
          </w:p>
        </w:tc>
        <w:tc>
          <w:tcPr>
            <w:tcW w:w="2150" w:type="dxa"/>
          </w:tcPr>
          <w:p w14:paraId="76075CB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Working transcriptional-domain annotation</w:t>
            </w:r>
          </w:p>
        </w:tc>
        <w:tc>
          <w:tcPr>
            <w:tcW w:w="1995" w:type="dxa"/>
          </w:tcPr>
          <w:p w14:paraId="137CEC5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Representative markers</w:t>
            </w:r>
          </w:p>
        </w:tc>
      </w:tr>
      <w:tr w:rsidR="007B6E28" w:rsidRPr="00E00285" w14:paraId="25ABAEC5" w14:textId="77777777">
        <w:tc>
          <w:tcPr>
            <w:tcW w:w="1995" w:type="dxa"/>
          </w:tcPr>
          <w:p w14:paraId="4078208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w:t>
            </w:r>
          </w:p>
        </w:tc>
        <w:tc>
          <w:tcPr>
            <w:tcW w:w="1995" w:type="dxa"/>
          </w:tcPr>
          <w:p w14:paraId="5B83AE0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418</w:t>
            </w:r>
          </w:p>
        </w:tc>
        <w:tc>
          <w:tcPr>
            <w:tcW w:w="1995" w:type="dxa"/>
          </w:tcPr>
          <w:p w14:paraId="65B8597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27.57%</w:t>
            </w:r>
          </w:p>
        </w:tc>
        <w:tc>
          <w:tcPr>
            <w:tcW w:w="2150" w:type="dxa"/>
          </w:tcPr>
          <w:p w14:paraId="6C4C63D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Inflamed secretory-interface epithelial domain</w:t>
            </w:r>
          </w:p>
        </w:tc>
        <w:tc>
          <w:tcPr>
            <w:tcW w:w="1995" w:type="dxa"/>
          </w:tcPr>
          <w:p w14:paraId="49A04CB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2310057J18Rik, </w:t>
            </w:r>
            <w:proofErr w:type="spellStart"/>
            <w:r w:rsidRPr="00E00285">
              <w:rPr>
                <w:rFonts w:ascii="Times New Roman" w:eastAsia="Times New Roman" w:hAnsi="Times New Roman" w:cs="Times New Roman"/>
                <w:color w:val="000000" w:themeColor="text1"/>
                <w:sz w:val="24"/>
                <w:szCs w:val="24"/>
              </w:rPr>
              <w:t>Igha</w:t>
            </w:r>
            <w:proofErr w:type="spellEnd"/>
            <w:r w:rsidRPr="00E00285">
              <w:rPr>
                <w:rFonts w:ascii="Times New Roman" w:eastAsia="Times New Roman" w:hAnsi="Times New Roman" w:cs="Times New Roman"/>
                <w:color w:val="000000" w:themeColor="text1"/>
                <w:sz w:val="24"/>
                <w:szCs w:val="24"/>
              </w:rPr>
              <w:t xml:space="preserve">, </w:t>
            </w:r>
            <w:proofErr w:type="spellStart"/>
            <w:r w:rsidRPr="00E00285">
              <w:rPr>
                <w:rFonts w:ascii="Times New Roman" w:eastAsia="Times New Roman" w:hAnsi="Times New Roman" w:cs="Times New Roman"/>
                <w:color w:val="000000" w:themeColor="text1"/>
                <w:sz w:val="24"/>
                <w:szCs w:val="24"/>
              </w:rPr>
              <w:t>Pigr</w:t>
            </w:r>
            <w:proofErr w:type="spellEnd"/>
            <w:r w:rsidRPr="00E00285">
              <w:rPr>
                <w:rFonts w:ascii="Times New Roman" w:eastAsia="Times New Roman" w:hAnsi="Times New Roman" w:cs="Times New Roman"/>
                <w:color w:val="000000" w:themeColor="text1"/>
                <w:sz w:val="24"/>
                <w:szCs w:val="24"/>
              </w:rPr>
              <w:t xml:space="preserve">, Aqp8, Hp, Esp15, Esp6, </w:t>
            </w:r>
            <w:proofErr w:type="spellStart"/>
            <w:r w:rsidRPr="00E00285">
              <w:rPr>
                <w:rFonts w:ascii="Times New Roman" w:eastAsia="Times New Roman" w:hAnsi="Times New Roman" w:cs="Times New Roman"/>
                <w:color w:val="000000" w:themeColor="text1"/>
                <w:sz w:val="24"/>
                <w:szCs w:val="24"/>
              </w:rPr>
              <w:t>Ltf</w:t>
            </w:r>
            <w:proofErr w:type="spellEnd"/>
            <w:r w:rsidRPr="00E00285">
              <w:rPr>
                <w:rFonts w:ascii="Times New Roman" w:eastAsia="Times New Roman" w:hAnsi="Times New Roman" w:cs="Times New Roman"/>
                <w:color w:val="000000" w:themeColor="text1"/>
                <w:sz w:val="24"/>
                <w:szCs w:val="24"/>
              </w:rPr>
              <w:t>, P4hb, Bhlha15</w:t>
            </w:r>
          </w:p>
        </w:tc>
      </w:tr>
      <w:tr w:rsidR="007B6E28" w:rsidRPr="00E00285" w14:paraId="265457FD" w14:textId="77777777">
        <w:tc>
          <w:tcPr>
            <w:tcW w:w="1995" w:type="dxa"/>
          </w:tcPr>
          <w:p w14:paraId="465C8E7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w:t>
            </w:r>
          </w:p>
        </w:tc>
        <w:tc>
          <w:tcPr>
            <w:tcW w:w="1995" w:type="dxa"/>
          </w:tcPr>
          <w:p w14:paraId="67D1347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394</w:t>
            </w:r>
          </w:p>
        </w:tc>
        <w:tc>
          <w:tcPr>
            <w:tcW w:w="1995" w:type="dxa"/>
          </w:tcPr>
          <w:p w14:paraId="5FD72BB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25.99%</w:t>
            </w:r>
          </w:p>
        </w:tc>
        <w:tc>
          <w:tcPr>
            <w:tcW w:w="2150" w:type="dxa"/>
          </w:tcPr>
          <w:p w14:paraId="5CB443C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Car6/</w:t>
            </w:r>
            <w:proofErr w:type="spellStart"/>
            <w:r w:rsidRPr="00E00285">
              <w:rPr>
                <w:rFonts w:ascii="Times New Roman" w:eastAsia="Times New Roman" w:hAnsi="Times New Roman" w:cs="Times New Roman"/>
                <w:color w:val="000000" w:themeColor="text1"/>
                <w:sz w:val="24"/>
                <w:szCs w:val="24"/>
              </w:rPr>
              <w:t>secretoglobin</w:t>
            </w:r>
            <w:proofErr w:type="spellEnd"/>
            <w:r w:rsidRPr="00E00285">
              <w:rPr>
                <w:rFonts w:ascii="Times New Roman" w:eastAsia="Times New Roman" w:hAnsi="Times New Roman" w:cs="Times New Roman"/>
                <w:color w:val="000000" w:themeColor="text1"/>
                <w:sz w:val="24"/>
                <w:szCs w:val="24"/>
              </w:rPr>
              <w:t>-rich epithelial-secretory domain</w:t>
            </w:r>
          </w:p>
        </w:tc>
        <w:tc>
          <w:tcPr>
            <w:tcW w:w="1995" w:type="dxa"/>
          </w:tcPr>
          <w:p w14:paraId="0A98E34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Scgb2b11, Car6, Cthrc1, Gm43674, Rell1, Esp31, Scgb2b19, Scgb2b12, Scgb2b17, Scgb1b3</w:t>
            </w:r>
          </w:p>
        </w:tc>
      </w:tr>
      <w:tr w:rsidR="007B6E28" w:rsidRPr="00E00285" w14:paraId="5671B8BF" w14:textId="77777777">
        <w:tc>
          <w:tcPr>
            <w:tcW w:w="1995" w:type="dxa"/>
          </w:tcPr>
          <w:p w14:paraId="0CC0510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w:t>
            </w:r>
          </w:p>
        </w:tc>
        <w:tc>
          <w:tcPr>
            <w:tcW w:w="1995" w:type="dxa"/>
          </w:tcPr>
          <w:p w14:paraId="48F1B51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269</w:t>
            </w:r>
          </w:p>
        </w:tc>
        <w:tc>
          <w:tcPr>
            <w:tcW w:w="1995" w:type="dxa"/>
          </w:tcPr>
          <w:p w14:paraId="7BBCFFA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17.74%</w:t>
            </w:r>
          </w:p>
        </w:tc>
        <w:tc>
          <w:tcPr>
            <w:tcW w:w="2150" w:type="dxa"/>
          </w:tcPr>
          <w:p w14:paraId="1CA7C03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Second </w:t>
            </w:r>
            <w:proofErr w:type="spellStart"/>
            <w:r w:rsidRPr="00E00285">
              <w:rPr>
                <w:rFonts w:ascii="Times New Roman" w:eastAsia="Times New Roman" w:hAnsi="Times New Roman" w:cs="Times New Roman"/>
                <w:color w:val="000000" w:themeColor="text1"/>
                <w:sz w:val="24"/>
                <w:szCs w:val="24"/>
              </w:rPr>
              <w:t>secretoglobin</w:t>
            </w:r>
            <w:proofErr w:type="spellEnd"/>
            <w:r w:rsidRPr="00E00285">
              <w:rPr>
                <w:rFonts w:ascii="Times New Roman" w:eastAsia="Times New Roman" w:hAnsi="Times New Roman" w:cs="Times New Roman"/>
                <w:color w:val="000000" w:themeColor="text1"/>
                <w:sz w:val="24"/>
                <w:szCs w:val="24"/>
              </w:rPr>
              <w:t>/Mup5 epithelial domain</w:t>
            </w:r>
          </w:p>
        </w:tc>
        <w:tc>
          <w:tcPr>
            <w:tcW w:w="1995" w:type="dxa"/>
          </w:tcPr>
          <w:p w14:paraId="6A86F4F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Mup5, A4gnt, Scgb1b27, Esp3, Scgb2b17, Scgb2b12, Esp24, Scgb2b3, Scgb2a2, Esp31</w:t>
            </w:r>
          </w:p>
        </w:tc>
      </w:tr>
      <w:tr w:rsidR="007B6E28" w:rsidRPr="00E00285" w14:paraId="629190F6" w14:textId="77777777">
        <w:tc>
          <w:tcPr>
            <w:tcW w:w="1995" w:type="dxa"/>
          </w:tcPr>
          <w:p w14:paraId="63C9569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w:t>
            </w:r>
          </w:p>
        </w:tc>
        <w:tc>
          <w:tcPr>
            <w:tcW w:w="1995" w:type="dxa"/>
          </w:tcPr>
          <w:p w14:paraId="3E0CE66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267</w:t>
            </w:r>
          </w:p>
        </w:tc>
        <w:tc>
          <w:tcPr>
            <w:tcW w:w="1995" w:type="dxa"/>
          </w:tcPr>
          <w:p w14:paraId="0FF0ED8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17.61%</w:t>
            </w:r>
          </w:p>
        </w:tc>
        <w:tc>
          <w:tcPr>
            <w:tcW w:w="2150" w:type="dxa"/>
          </w:tcPr>
          <w:p w14:paraId="28D5B05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Antigen-presentation and lymphoid-activation domain</w:t>
            </w:r>
          </w:p>
        </w:tc>
        <w:tc>
          <w:tcPr>
            <w:tcW w:w="1995" w:type="dxa"/>
          </w:tcPr>
          <w:p w14:paraId="28DA879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Ccl5, Slamf6, </w:t>
            </w:r>
            <w:proofErr w:type="spellStart"/>
            <w:r w:rsidRPr="00E00285">
              <w:rPr>
                <w:rFonts w:ascii="Times New Roman" w:eastAsia="Times New Roman" w:hAnsi="Times New Roman" w:cs="Times New Roman"/>
                <w:color w:val="000000" w:themeColor="text1"/>
                <w:sz w:val="24"/>
                <w:szCs w:val="24"/>
              </w:rPr>
              <w:t>Ighd</w:t>
            </w:r>
            <w:proofErr w:type="spellEnd"/>
            <w:r w:rsidRPr="00E00285">
              <w:rPr>
                <w:rFonts w:ascii="Times New Roman" w:eastAsia="Times New Roman" w:hAnsi="Times New Roman" w:cs="Times New Roman"/>
                <w:color w:val="000000" w:themeColor="text1"/>
                <w:sz w:val="24"/>
                <w:szCs w:val="24"/>
              </w:rPr>
              <w:t>, H2-Ob, Cd19, Cd79a, Cd79b, Cd74, H2-Eb1, H2-Aa, Ccl19</w:t>
            </w:r>
          </w:p>
        </w:tc>
      </w:tr>
      <w:tr w:rsidR="007B6E28" w:rsidRPr="00E00285" w14:paraId="7C2C1D93" w14:textId="77777777">
        <w:tc>
          <w:tcPr>
            <w:tcW w:w="1995" w:type="dxa"/>
          </w:tcPr>
          <w:p w14:paraId="0573220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w:t>
            </w:r>
          </w:p>
        </w:tc>
        <w:tc>
          <w:tcPr>
            <w:tcW w:w="1995" w:type="dxa"/>
          </w:tcPr>
          <w:p w14:paraId="2CED5FA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168</w:t>
            </w:r>
          </w:p>
        </w:tc>
        <w:tc>
          <w:tcPr>
            <w:tcW w:w="1995" w:type="dxa"/>
          </w:tcPr>
          <w:p w14:paraId="297A6B5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11.08%</w:t>
            </w:r>
          </w:p>
        </w:tc>
        <w:tc>
          <w:tcPr>
            <w:tcW w:w="2150" w:type="dxa"/>
          </w:tcPr>
          <w:p w14:paraId="5874F03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Plasma-cell/humoral-complement domain</w:t>
            </w:r>
          </w:p>
        </w:tc>
        <w:tc>
          <w:tcPr>
            <w:tcW w:w="1995" w:type="dxa"/>
          </w:tcPr>
          <w:p w14:paraId="1930B21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Iglv1, Ighg1, </w:t>
            </w:r>
            <w:proofErr w:type="spellStart"/>
            <w:r w:rsidRPr="00E00285">
              <w:rPr>
                <w:rFonts w:ascii="Times New Roman" w:eastAsia="Times New Roman" w:hAnsi="Times New Roman" w:cs="Times New Roman"/>
                <w:color w:val="000000" w:themeColor="text1"/>
                <w:sz w:val="24"/>
                <w:szCs w:val="24"/>
              </w:rPr>
              <w:t>Slpi</w:t>
            </w:r>
            <w:proofErr w:type="spellEnd"/>
            <w:r w:rsidRPr="00E00285">
              <w:rPr>
                <w:rFonts w:ascii="Times New Roman" w:eastAsia="Times New Roman" w:hAnsi="Times New Roman" w:cs="Times New Roman"/>
                <w:color w:val="000000" w:themeColor="text1"/>
                <w:sz w:val="24"/>
                <w:szCs w:val="24"/>
              </w:rPr>
              <w:t xml:space="preserve">, </w:t>
            </w:r>
            <w:proofErr w:type="spellStart"/>
            <w:r w:rsidRPr="00E00285">
              <w:rPr>
                <w:rFonts w:ascii="Times New Roman" w:eastAsia="Times New Roman" w:hAnsi="Times New Roman" w:cs="Times New Roman"/>
                <w:color w:val="000000" w:themeColor="text1"/>
                <w:sz w:val="24"/>
                <w:szCs w:val="24"/>
              </w:rPr>
              <w:t>Igkc</w:t>
            </w:r>
            <w:proofErr w:type="spellEnd"/>
            <w:r w:rsidRPr="00E00285">
              <w:rPr>
                <w:rFonts w:ascii="Times New Roman" w:eastAsia="Times New Roman" w:hAnsi="Times New Roman" w:cs="Times New Roman"/>
                <w:color w:val="000000" w:themeColor="text1"/>
                <w:sz w:val="24"/>
                <w:szCs w:val="24"/>
              </w:rPr>
              <w:t xml:space="preserve">, </w:t>
            </w:r>
            <w:proofErr w:type="spellStart"/>
            <w:r w:rsidRPr="00E00285">
              <w:rPr>
                <w:rFonts w:ascii="Times New Roman" w:eastAsia="Times New Roman" w:hAnsi="Times New Roman" w:cs="Times New Roman"/>
                <w:color w:val="000000" w:themeColor="text1"/>
                <w:sz w:val="24"/>
                <w:szCs w:val="24"/>
              </w:rPr>
              <w:t>Jchain</w:t>
            </w:r>
            <w:proofErr w:type="spellEnd"/>
            <w:r w:rsidRPr="00E00285">
              <w:rPr>
                <w:rFonts w:ascii="Times New Roman" w:eastAsia="Times New Roman" w:hAnsi="Times New Roman" w:cs="Times New Roman"/>
                <w:color w:val="000000" w:themeColor="text1"/>
                <w:sz w:val="24"/>
                <w:szCs w:val="24"/>
              </w:rPr>
              <w:t xml:space="preserve">, Mzb1, Iglc1, Ighg2b, </w:t>
            </w:r>
            <w:proofErr w:type="spellStart"/>
            <w:r w:rsidRPr="00E00285">
              <w:rPr>
                <w:rFonts w:ascii="Times New Roman" w:eastAsia="Times New Roman" w:hAnsi="Times New Roman" w:cs="Times New Roman"/>
                <w:color w:val="000000" w:themeColor="text1"/>
                <w:sz w:val="24"/>
                <w:szCs w:val="24"/>
              </w:rPr>
              <w:t>Ighm</w:t>
            </w:r>
            <w:proofErr w:type="spellEnd"/>
            <w:r w:rsidRPr="00E00285">
              <w:rPr>
                <w:rFonts w:ascii="Times New Roman" w:eastAsia="Times New Roman" w:hAnsi="Times New Roman" w:cs="Times New Roman"/>
                <w:color w:val="000000" w:themeColor="text1"/>
                <w:sz w:val="24"/>
                <w:szCs w:val="24"/>
              </w:rPr>
              <w:t>, C3</w:t>
            </w:r>
          </w:p>
        </w:tc>
      </w:tr>
    </w:tbl>
    <w:p w14:paraId="437783B8" w14:textId="77777777" w:rsidR="007B6E28" w:rsidRPr="00E00285" w:rsidRDefault="00000000">
      <w:pPr>
        <w:spacing w:before="40" w:after="12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Note. </w:t>
      </w:r>
      <w:r w:rsidRPr="00E00285">
        <w:rPr>
          <w:rFonts w:ascii="Times New Roman" w:eastAsia="Times New Roman" w:hAnsi="Times New Roman" w:cs="Times New Roman"/>
          <w:i/>
          <w:iCs/>
          <w:color w:val="000000" w:themeColor="text1"/>
          <w:sz w:val="24"/>
          <w:szCs w:val="24"/>
        </w:rPr>
        <w:t>The labels summarize mixed spot-level programs. They should not be interpreted as pure cell-type identities.</w:t>
      </w:r>
    </w:p>
    <w:p w14:paraId="5B04F24C" w14:textId="77777777" w:rsidR="007B6E28" w:rsidRPr="00E00285" w:rsidRDefault="00000000">
      <w:pPr>
        <w:keepLines/>
        <w:spacing w:after="0"/>
        <w:jc w:val="center"/>
        <w:rPr>
          <w:color w:val="000000" w:themeColor="text1"/>
        </w:rPr>
      </w:pPr>
      <w:r w:rsidRPr="00E00285">
        <w:rPr>
          <w:noProof/>
          <w:color w:val="000000" w:themeColor="text1"/>
        </w:rPr>
        <w:lastRenderedPageBreak/>
        <w:drawing>
          <wp:inline distT="0" distB="0" distL="0" distR="0" wp14:anchorId="5FB50133" wp14:editId="3DFBD958">
            <wp:extent cx="6217920" cy="2941350"/>
            <wp:effectExtent l="0" t="0" r="0" b="0"/>
            <wp:docPr id="6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1"/>
                    <a:srcRect/>
                    <a:stretch>
                      <a:fillRect/>
                    </a:stretch>
                  </pic:blipFill>
                  <pic:spPr>
                    <a:xfrm>
                      <a:off x="0" y="0"/>
                      <a:ext cx="6217920" cy="2941350"/>
                    </a:xfrm>
                    <a:prstGeom prst="rect">
                      <a:avLst/>
                    </a:prstGeom>
                    <a:ln/>
                  </pic:spPr>
                </pic:pic>
              </a:graphicData>
            </a:graphic>
          </wp:inline>
        </w:drawing>
      </w:r>
    </w:p>
    <w:p w14:paraId="67D0403F" w14:textId="77777777" w:rsidR="007B6E28" w:rsidRPr="00E00285" w:rsidRDefault="00000000">
      <w:pPr>
        <w:keepLines/>
        <w:pageBreakBefore/>
        <w:spacing w:after="0"/>
        <w:jc w:val="center"/>
        <w:rPr>
          <w:color w:val="000000" w:themeColor="text1"/>
        </w:rPr>
      </w:pPr>
      <w:r w:rsidRPr="00E00285">
        <w:rPr>
          <w:noProof/>
          <w:color w:val="000000" w:themeColor="text1"/>
        </w:rPr>
        <w:lastRenderedPageBreak/>
        <w:drawing>
          <wp:inline distT="0" distB="0" distL="0" distR="0" wp14:anchorId="01CDDA51" wp14:editId="513D04A1">
            <wp:extent cx="6217920" cy="6480881"/>
            <wp:effectExtent l="0" t="0" r="0" b="0"/>
            <wp:docPr id="6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22"/>
                    <a:srcRect/>
                    <a:stretch>
                      <a:fillRect/>
                    </a:stretch>
                  </pic:blipFill>
                  <pic:spPr>
                    <a:xfrm>
                      <a:off x="0" y="0"/>
                      <a:ext cx="6217920" cy="6480881"/>
                    </a:xfrm>
                    <a:prstGeom prst="rect">
                      <a:avLst/>
                    </a:prstGeom>
                    <a:ln/>
                  </pic:spPr>
                </pic:pic>
              </a:graphicData>
            </a:graphic>
          </wp:inline>
        </w:drawing>
      </w:r>
    </w:p>
    <w:p w14:paraId="3B3DADA5"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Figure S9. </w:t>
      </w:r>
      <w:r w:rsidRPr="00E00285">
        <w:rPr>
          <w:rFonts w:ascii="Times New Roman" w:eastAsia="Times New Roman" w:hAnsi="Times New Roman" w:cs="Times New Roman"/>
          <w:color w:val="000000" w:themeColor="text1"/>
          <w:sz w:val="24"/>
          <w:szCs w:val="24"/>
        </w:rPr>
        <w:t>Unsupervised clustering of the lacrimal gland section. (A) UMAP of five Seurat clusters. (B) Spatial localization of the same clusters. (C) Heatmap of leading cluster marker genes.</w:t>
      </w:r>
    </w:p>
    <w:p w14:paraId="483B56FA"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The UMAP resolves five transcriptional states, while the tissue map shows that those states are spatially interleaved. Clusters 0-2 form related epithelial-secretory territories, cluster 3 carries a strong antigen-presentation and lymphoid program, and cluster 4 carries a plasma-cell and humoral-complement program.</w:t>
      </w:r>
    </w:p>
    <w:p w14:paraId="27848BF7"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13. Marker-gene programs and functional enrichment</w:t>
      </w:r>
    </w:p>
    <w:p w14:paraId="22FA3FB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Cluster markers were identified after SCT marker preparation using the Wilcoxon rank-sum test. The three epithelial domains were distinguishable despite sharing </w:t>
      </w:r>
      <w:proofErr w:type="spellStart"/>
      <w:r w:rsidRPr="00E00285">
        <w:rPr>
          <w:rFonts w:ascii="Times New Roman" w:eastAsia="Times New Roman" w:hAnsi="Times New Roman" w:cs="Times New Roman"/>
          <w:color w:val="000000" w:themeColor="text1"/>
          <w:sz w:val="24"/>
          <w:szCs w:val="24"/>
        </w:rPr>
        <w:t>secretoglobin</w:t>
      </w:r>
      <w:proofErr w:type="spellEnd"/>
      <w:r w:rsidRPr="00E00285">
        <w:rPr>
          <w:rFonts w:ascii="Times New Roman" w:eastAsia="Times New Roman" w:hAnsi="Times New Roman" w:cs="Times New Roman"/>
          <w:color w:val="000000" w:themeColor="text1"/>
          <w:sz w:val="24"/>
          <w:szCs w:val="24"/>
        </w:rPr>
        <w:t xml:space="preserve"> and epithelial genes. Cluster 0 combined </w:t>
      </w:r>
      <w:proofErr w:type="spellStart"/>
      <w:r w:rsidRPr="00E00285">
        <w:rPr>
          <w:rFonts w:ascii="Times New Roman" w:eastAsia="Times New Roman" w:hAnsi="Times New Roman" w:cs="Times New Roman"/>
          <w:color w:val="000000" w:themeColor="text1"/>
          <w:sz w:val="24"/>
          <w:szCs w:val="24"/>
        </w:rPr>
        <w:t>Pigr</w:t>
      </w:r>
      <w:proofErr w:type="spellEnd"/>
      <w:r w:rsidRPr="00E00285">
        <w:rPr>
          <w:rFonts w:ascii="Times New Roman" w:eastAsia="Times New Roman" w:hAnsi="Times New Roman" w:cs="Times New Roman"/>
          <w:color w:val="000000" w:themeColor="text1"/>
          <w:sz w:val="24"/>
          <w:szCs w:val="24"/>
        </w:rPr>
        <w:t xml:space="preserve">, Aqp8, </w:t>
      </w:r>
      <w:proofErr w:type="spellStart"/>
      <w:r w:rsidRPr="00E00285">
        <w:rPr>
          <w:rFonts w:ascii="Times New Roman" w:eastAsia="Times New Roman" w:hAnsi="Times New Roman" w:cs="Times New Roman"/>
          <w:color w:val="000000" w:themeColor="text1"/>
          <w:sz w:val="24"/>
          <w:szCs w:val="24"/>
        </w:rPr>
        <w:t>Ltf</w:t>
      </w:r>
      <w:proofErr w:type="spellEnd"/>
      <w:r w:rsidRPr="00E00285">
        <w:rPr>
          <w:rFonts w:ascii="Times New Roman" w:eastAsia="Times New Roman" w:hAnsi="Times New Roman" w:cs="Times New Roman"/>
          <w:color w:val="000000" w:themeColor="text1"/>
          <w:sz w:val="24"/>
          <w:szCs w:val="24"/>
        </w:rPr>
        <w:t xml:space="preserve">, Hp, P4hb, Bhlha15, and other secretory-defense or stress-handling genes. Cluster 1 was enriched for Car6 and </w:t>
      </w:r>
      <w:proofErr w:type="spellStart"/>
      <w:r w:rsidRPr="00E00285">
        <w:rPr>
          <w:rFonts w:ascii="Times New Roman" w:eastAsia="Times New Roman" w:hAnsi="Times New Roman" w:cs="Times New Roman"/>
          <w:color w:val="000000" w:themeColor="text1"/>
          <w:sz w:val="24"/>
          <w:szCs w:val="24"/>
        </w:rPr>
        <w:t>secretoglobin</w:t>
      </w:r>
      <w:proofErr w:type="spellEnd"/>
      <w:r w:rsidRPr="00E00285">
        <w:rPr>
          <w:rFonts w:ascii="Times New Roman" w:eastAsia="Times New Roman" w:hAnsi="Times New Roman" w:cs="Times New Roman"/>
          <w:color w:val="000000" w:themeColor="text1"/>
          <w:sz w:val="24"/>
          <w:szCs w:val="24"/>
        </w:rPr>
        <w:t xml:space="preserve"> genes. Cluster 2 carried a second </w:t>
      </w:r>
      <w:proofErr w:type="spellStart"/>
      <w:r w:rsidRPr="00E00285">
        <w:rPr>
          <w:rFonts w:ascii="Times New Roman" w:eastAsia="Times New Roman" w:hAnsi="Times New Roman" w:cs="Times New Roman"/>
          <w:color w:val="000000" w:themeColor="text1"/>
          <w:sz w:val="24"/>
          <w:szCs w:val="24"/>
        </w:rPr>
        <w:t>secretoglobin</w:t>
      </w:r>
      <w:proofErr w:type="spellEnd"/>
      <w:r w:rsidRPr="00E00285">
        <w:rPr>
          <w:rFonts w:ascii="Times New Roman" w:eastAsia="Times New Roman" w:hAnsi="Times New Roman" w:cs="Times New Roman"/>
          <w:color w:val="000000" w:themeColor="text1"/>
          <w:sz w:val="24"/>
          <w:szCs w:val="24"/>
        </w:rPr>
        <w:t xml:space="preserve">/Mup5-associated program. Cluster 3 was marked by Cd74, H2-Eb1, H2-Aa, Cd19, </w:t>
      </w:r>
      <w:r w:rsidRPr="00E00285">
        <w:rPr>
          <w:rFonts w:ascii="Times New Roman" w:eastAsia="Times New Roman" w:hAnsi="Times New Roman" w:cs="Times New Roman"/>
          <w:color w:val="000000" w:themeColor="text1"/>
          <w:sz w:val="24"/>
          <w:szCs w:val="24"/>
        </w:rPr>
        <w:lastRenderedPageBreak/>
        <w:t xml:space="preserve">Cd79a, Ccl5, Ccl19, and related lymphoid genes. Cluster 4 was enriched for </w:t>
      </w:r>
      <w:proofErr w:type="spellStart"/>
      <w:r w:rsidRPr="00E00285">
        <w:rPr>
          <w:rFonts w:ascii="Times New Roman" w:eastAsia="Times New Roman" w:hAnsi="Times New Roman" w:cs="Times New Roman"/>
          <w:color w:val="000000" w:themeColor="text1"/>
          <w:sz w:val="24"/>
          <w:szCs w:val="24"/>
        </w:rPr>
        <w:t>Igkc</w:t>
      </w:r>
      <w:proofErr w:type="spellEnd"/>
      <w:r w:rsidRPr="00E00285">
        <w:rPr>
          <w:rFonts w:ascii="Times New Roman" w:eastAsia="Times New Roman" w:hAnsi="Times New Roman" w:cs="Times New Roman"/>
          <w:color w:val="000000" w:themeColor="text1"/>
          <w:sz w:val="24"/>
          <w:szCs w:val="24"/>
        </w:rPr>
        <w:t xml:space="preserve">, </w:t>
      </w:r>
      <w:proofErr w:type="spellStart"/>
      <w:r w:rsidRPr="00E00285">
        <w:rPr>
          <w:rFonts w:ascii="Times New Roman" w:eastAsia="Times New Roman" w:hAnsi="Times New Roman" w:cs="Times New Roman"/>
          <w:color w:val="000000" w:themeColor="text1"/>
          <w:sz w:val="24"/>
          <w:szCs w:val="24"/>
        </w:rPr>
        <w:t>Jchain</w:t>
      </w:r>
      <w:proofErr w:type="spellEnd"/>
      <w:r w:rsidRPr="00E00285">
        <w:rPr>
          <w:rFonts w:ascii="Times New Roman" w:eastAsia="Times New Roman" w:hAnsi="Times New Roman" w:cs="Times New Roman"/>
          <w:color w:val="000000" w:themeColor="text1"/>
          <w:sz w:val="24"/>
          <w:szCs w:val="24"/>
        </w:rPr>
        <w:t>, Mzb1, immunoglobulin chains, C3, and other humoral-effector genes.</w:t>
      </w:r>
    </w:p>
    <w:p w14:paraId="756B7080" w14:textId="77777777" w:rsidR="007B6E28" w:rsidRPr="00E00285" w:rsidRDefault="00000000">
      <w:pPr>
        <w:keepLines/>
        <w:spacing w:after="0"/>
        <w:jc w:val="center"/>
        <w:rPr>
          <w:color w:val="000000" w:themeColor="text1"/>
        </w:rPr>
      </w:pPr>
      <w:r w:rsidRPr="00E00285">
        <w:rPr>
          <w:noProof/>
          <w:color w:val="000000" w:themeColor="text1"/>
        </w:rPr>
        <w:drawing>
          <wp:inline distT="0" distB="0" distL="0" distR="0" wp14:anchorId="2CE77EF7" wp14:editId="47FE987B">
            <wp:extent cx="6217920" cy="3810518"/>
            <wp:effectExtent l="0" t="0" r="0" b="0"/>
            <wp:docPr id="6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6217920" cy="3810518"/>
                    </a:xfrm>
                    <a:prstGeom prst="rect">
                      <a:avLst/>
                    </a:prstGeom>
                    <a:ln/>
                  </pic:spPr>
                </pic:pic>
              </a:graphicData>
            </a:graphic>
          </wp:inline>
        </w:drawing>
      </w:r>
    </w:p>
    <w:p w14:paraId="35C7C59A"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Figure S10. </w:t>
      </w:r>
      <w:r w:rsidRPr="00E00285">
        <w:rPr>
          <w:rFonts w:ascii="Times New Roman" w:eastAsia="Times New Roman" w:hAnsi="Times New Roman" w:cs="Times New Roman"/>
          <w:color w:val="000000" w:themeColor="text1"/>
          <w:sz w:val="24"/>
          <w:szCs w:val="24"/>
        </w:rPr>
        <w:t>Marker-gene expression and spatial localization in the lacrimal gland. (A) Dot plot of selected epithelial, secretory, antigen-presentation, lymphoid, humoral, metabolic, and stress-associated genes. (B-D) Spatial maps of the same marker panel in three image groups.</w:t>
      </w:r>
    </w:p>
    <w:p w14:paraId="4BF47C63"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 xml:space="preserve">Marker expression demonstrates that the glandular compartment is transcriptionally heterogeneous rather than uniform. </w:t>
      </w:r>
      <w:proofErr w:type="spellStart"/>
      <w:r w:rsidRPr="00E00285">
        <w:rPr>
          <w:rFonts w:ascii="Times New Roman" w:eastAsia="Times New Roman" w:hAnsi="Times New Roman" w:cs="Times New Roman"/>
          <w:color w:val="000000" w:themeColor="text1"/>
          <w:sz w:val="24"/>
          <w:szCs w:val="24"/>
        </w:rPr>
        <w:t>Secretoglobin</w:t>
      </w:r>
      <w:proofErr w:type="spellEnd"/>
      <w:r w:rsidRPr="00E00285">
        <w:rPr>
          <w:rFonts w:ascii="Times New Roman" w:eastAsia="Times New Roman" w:hAnsi="Times New Roman" w:cs="Times New Roman"/>
          <w:color w:val="000000" w:themeColor="text1"/>
          <w:sz w:val="24"/>
          <w:szCs w:val="24"/>
        </w:rPr>
        <w:t xml:space="preserve">-rich epithelial regions coexist with an </w:t>
      </w:r>
      <w:proofErr w:type="spellStart"/>
      <w:r w:rsidRPr="00E00285">
        <w:rPr>
          <w:rFonts w:ascii="Times New Roman" w:eastAsia="Times New Roman" w:hAnsi="Times New Roman" w:cs="Times New Roman"/>
          <w:color w:val="000000" w:themeColor="text1"/>
          <w:sz w:val="24"/>
          <w:szCs w:val="24"/>
        </w:rPr>
        <w:t>Ltf</w:t>
      </w:r>
      <w:proofErr w:type="spellEnd"/>
      <w:r w:rsidRPr="00E00285">
        <w:rPr>
          <w:rFonts w:ascii="Times New Roman" w:eastAsia="Times New Roman" w:hAnsi="Times New Roman" w:cs="Times New Roman"/>
          <w:color w:val="000000" w:themeColor="text1"/>
          <w:sz w:val="24"/>
          <w:szCs w:val="24"/>
        </w:rPr>
        <w:t>/</w:t>
      </w:r>
      <w:proofErr w:type="spellStart"/>
      <w:r w:rsidRPr="00E00285">
        <w:rPr>
          <w:rFonts w:ascii="Times New Roman" w:eastAsia="Times New Roman" w:hAnsi="Times New Roman" w:cs="Times New Roman"/>
          <w:color w:val="000000" w:themeColor="text1"/>
          <w:sz w:val="24"/>
          <w:szCs w:val="24"/>
        </w:rPr>
        <w:t>Pigr</w:t>
      </w:r>
      <w:proofErr w:type="spellEnd"/>
      <w:r w:rsidRPr="00E00285">
        <w:rPr>
          <w:rFonts w:ascii="Times New Roman" w:eastAsia="Times New Roman" w:hAnsi="Times New Roman" w:cs="Times New Roman"/>
          <w:color w:val="000000" w:themeColor="text1"/>
          <w:sz w:val="24"/>
          <w:szCs w:val="24"/>
        </w:rPr>
        <w:t>-associated defense interface, an MHC class II-rich lymphoid region, and an immunoglobulin/</w:t>
      </w:r>
      <w:proofErr w:type="spellStart"/>
      <w:r w:rsidRPr="00E00285">
        <w:rPr>
          <w:rFonts w:ascii="Times New Roman" w:eastAsia="Times New Roman" w:hAnsi="Times New Roman" w:cs="Times New Roman"/>
          <w:color w:val="000000" w:themeColor="text1"/>
          <w:sz w:val="24"/>
          <w:szCs w:val="24"/>
        </w:rPr>
        <w:t>Jchain</w:t>
      </w:r>
      <w:proofErr w:type="spellEnd"/>
      <w:r w:rsidRPr="00E00285">
        <w:rPr>
          <w:rFonts w:ascii="Times New Roman" w:eastAsia="Times New Roman" w:hAnsi="Times New Roman" w:cs="Times New Roman"/>
          <w:color w:val="000000" w:themeColor="text1"/>
          <w:sz w:val="24"/>
          <w:szCs w:val="24"/>
        </w:rPr>
        <w:t>-rich humoral region.</w:t>
      </w:r>
    </w:p>
    <w:p w14:paraId="7D54BAD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GO Biological Process enrichment was interpreted conservatively and used only when it agreed with the corresponding marker and spatial evidence. Cluster 0 showed endoplasmic-reticulum stress and mucosal immune programs, cluster 3 showed leukocyte and lymphocyte activation programs, and cluster 4 showed classical complement and immunoglobulin-mediated humoral programs.</w:t>
      </w:r>
    </w:p>
    <w:p w14:paraId="36904131" w14:textId="77777777" w:rsidR="007B6E28" w:rsidRPr="00E00285" w:rsidRDefault="00000000">
      <w:pPr>
        <w:keepNext/>
        <w:pBdr>
          <w:top w:val="nil"/>
          <w:left w:val="nil"/>
          <w:bottom w:val="nil"/>
          <w:right w:val="nil"/>
          <w:between w:val="nil"/>
        </w:pBdr>
        <w:spacing w:before="140" w:after="60" w:line="276"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Table S10. </w:t>
      </w:r>
      <w:r w:rsidRPr="00E00285">
        <w:rPr>
          <w:rFonts w:ascii="Times New Roman" w:eastAsia="Times New Roman" w:hAnsi="Times New Roman" w:cs="Times New Roman"/>
          <w:color w:val="000000" w:themeColor="text1"/>
          <w:sz w:val="24"/>
          <w:szCs w:val="24"/>
        </w:rPr>
        <w:t>Representative GO Biological Process enrichment results concordant with the lacrimal gland domain annotations.</w:t>
      </w:r>
    </w:p>
    <w:tbl>
      <w:tblPr>
        <w:tblStyle w:val="a8"/>
        <w:tblW w:w="101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7"/>
        <w:gridCol w:w="1983"/>
        <w:gridCol w:w="1940"/>
        <w:gridCol w:w="1954"/>
        <w:gridCol w:w="1938"/>
      </w:tblGrid>
      <w:tr w:rsidR="007B6E28" w:rsidRPr="00E00285" w14:paraId="2572A236" w14:textId="77777777">
        <w:tc>
          <w:tcPr>
            <w:tcW w:w="2377" w:type="dxa"/>
          </w:tcPr>
          <w:p w14:paraId="5721B71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Domain</w:t>
            </w:r>
          </w:p>
        </w:tc>
        <w:tc>
          <w:tcPr>
            <w:tcW w:w="1983" w:type="dxa"/>
          </w:tcPr>
          <w:p w14:paraId="437AA3D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GO biological process</w:t>
            </w:r>
          </w:p>
        </w:tc>
        <w:tc>
          <w:tcPr>
            <w:tcW w:w="1940" w:type="dxa"/>
          </w:tcPr>
          <w:p w14:paraId="52ECFDF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Gene ratio</w:t>
            </w:r>
          </w:p>
        </w:tc>
        <w:tc>
          <w:tcPr>
            <w:tcW w:w="1954" w:type="dxa"/>
          </w:tcPr>
          <w:p w14:paraId="68D8052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Fold enrichment</w:t>
            </w:r>
          </w:p>
        </w:tc>
        <w:tc>
          <w:tcPr>
            <w:tcW w:w="1938" w:type="dxa"/>
          </w:tcPr>
          <w:p w14:paraId="4249D4B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Adjusted P</w:t>
            </w:r>
          </w:p>
        </w:tc>
      </w:tr>
      <w:tr w:rsidR="007B6E28" w:rsidRPr="00E00285" w14:paraId="0953C953" w14:textId="77777777">
        <w:tc>
          <w:tcPr>
            <w:tcW w:w="2377" w:type="dxa"/>
          </w:tcPr>
          <w:p w14:paraId="39C5C5C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 secretory interface</w:t>
            </w:r>
          </w:p>
        </w:tc>
        <w:tc>
          <w:tcPr>
            <w:tcW w:w="1983" w:type="dxa"/>
          </w:tcPr>
          <w:p w14:paraId="7340A30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ER unfolded protein response</w:t>
            </w:r>
          </w:p>
        </w:tc>
        <w:tc>
          <w:tcPr>
            <w:tcW w:w="1940" w:type="dxa"/>
          </w:tcPr>
          <w:p w14:paraId="11BA3D0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4/34</w:t>
            </w:r>
          </w:p>
        </w:tc>
        <w:tc>
          <w:tcPr>
            <w:tcW w:w="1954" w:type="dxa"/>
          </w:tcPr>
          <w:p w14:paraId="30C4CD8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34.79</w:t>
            </w:r>
          </w:p>
        </w:tc>
        <w:tc>
          <w:tcPr>
            <w:tcW w:w="1938" w:type="dxa"/>
          </w:tcPr>
          <w:p w14:paraId="090E6C0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3.33 × 10⁻3</w:t>
            </w:r>
          </w:p>
        </w:tc>
      </w:tr>
      <w:tr w:rsidR="007B6E28" w:rsidRPr="00E00285" w14:paraId="49AFAC26" w14:textId="77777777">
        <w:tc>
          <w:tcPr>
            <w:tcW w:w="2377" w:type="dxa"/>
          </w:tcPr>
          <w:p w14:paraId="6E5F3B2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 secretory interface</w:t>
            </w:r>
          </w:p>
        </w:tc>
        <w:tc>
          <w:tcPr>
            <w:tcW w:w="1983" w:type="dxa"/>
          </w:tcPr>
          <w:p w14:paraId="566C7A3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Mucosal immune response</w:t>
            </w:r>
          </w:p>
        </w:tc>
        <w:tc>
          <w:tcPr>
            <w:tcW w:w="1940" w:type="dxa"/>
          </w:tcPr>
          <w:p w14:paraId="1A997B5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3/34</w:t>
            </w:r>
          </w:p>
        </w:tc>
        <w:tc>
          <w:tcPr>
            <w:tcW w:w="1954" w:type="dxa"/>
          </w:tcPr>
          <w:p w14:paraId="0D1E10B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50.45</w:t>
            </w:r>
          </w:p>
        </w:tc>
        <w:tc>
          <w:tcPr>
            <w:tcW w:w="1938" w:type="dxa"/>
          </w:tcPr>
          <w:p w14:paraId="5573772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3.56 × 10⁻3</w:t>
            </w:r>
          </w:p>
        </w:tc>
      </w:tr>
      <w:tr w:rsidR="007B6E28" w:rsidRPr="00E00285" w14:paraId="344A9776" w14:textId="77777777">
        <w:tc>
          <w:tcPr>
            <w:tcW w:w="2377" w:type="dxa"/>
          </w:tcPr>
          <w:p w14:paraId="736C0D7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 secretory interface</w:t>
            </w:r>
          </w:p>
        </w:tc>
        <w:tc>
          <w:tcPr>
            <w:tcW w:w="1983" w:type="dxa"/>
          </w:tcPr>
          <w:p w14:paraId="134E4C8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Response to ER stress</w:t>
            </w:r>
          </w:p>
        </w:tc>
        <w:tc>
          <w:tcPr>
            <w:tcW w:w="1940" w:type="dxa"/>
          </w:tcPr>
          <w:p w14:paraId="3DDAA1E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5/34</w:t>
            </w:r>
          </w:p>
        </w:tc>
        <w:tc>
          <w:tcPr>
            <w:tcW w:w="1954" w:type="dxa"/>
          </w:tcPr>
          <w:p w14:paraId="0781B9A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13.05</w:t>
            </w:r>
          </w:p>
        </w:tc>
        <w:tc>
          <w:tcPr>
            <w:tcW w:w="1938" w:type="dxa"/>
          </w:tcPr>
          <w:p w14:paraId="16BB8E3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3.56 × 10⁻3</w:t>
            </w:r>
          </w:p>
        </w:tc>
      </w:tr>
      <w:tr w:rsidR="007B6E28" w:rsidRPr="00E00285" w14:paraId="4C6B23F2" w14:textId="77777777">
        <w:tc>
          <w:tcPr>
            <w:tcW w:w="2377" w:type="dxa"/>
          </w:tcPr>
          <w:p w14:paraId="2CA1636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 antigen presentation/lymphoid</w:t>
            </w:r>
          </w:p>
        </w:tc>
        <w:tc>
          <w:tcPr>
            <w:tcW w:w="1983" w:type="dxa"/>
          </w:tcPr>
          <w:p w14:paraId="466F68F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Leukocyte proliferation</w:t>
            </w:r>
          </w:p>
        </w:tc>
        <w:tc>
          <w:tcPr>
            <w:tcW w:w="1940" w:type="dxa"/>
          </w:tcPr>
          <w:p w14:paraId="3B19CF6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110/1,154</w:t>
            </w:r>
          </w:p>
        </w:tc>
        <w:tc>
          <w:tcPr>
            <w:tcW w:w="1954" w:type="dxa"/>
          </w:tcPr>
          <w:p w14:paraId="6837555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6.44</w:t>
            </w:r>
          </w:p>
        </w:tc>
        <w:tc>
          <w:tcPr>
            <w:tcW w:w="1938" w:type="dxa"/>
          </w:tcPr>
          <w:p w14:paraId="2DD12AF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5.30 × 10⁻55</w:t>
            </w:r>
          </w:p>
        </w:tc>
      </w:tr>
      <w:tr w:rsidR="007B6E28" w:rsidRPr="00E00285" w14:paraId="43A38022" w14:textId="77777777">
        <w:tc>
          <w:tcPr>
            <w:tcW w:w="2377" w:type="dxa"/>
          </w:tcPr>
          <w:p w14:paraId="454ED44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 antigen presentation/lymphoid</w:t>
            </w:r>
          </w:p>
        </w:tc>
        <w:tc>
          <w:tcPr>
            <w:tcW w:w="1983" w:type="dxa"/>
          </w:tcPr>
          <w:p w14:paraId="7C33828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Mononuclear cell proliferation</w:t>
            </w:r>
          </w:p>
        </w:tc>
        <w:tc>
          <w:tcPr>
            <w:tcW w:w="1940" w:type="dxa"/>
          </w:tcPr>
          <w:p w14:paraId="5F249A1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104/1,154</w:t>
            </w:r>
          </w:p>
        </w:tc>
        <w:tc>
          <w:tcPr>
            <w:tcW w:w="1954" w:type="dxa"/>
          </w:tcPr>
          <w:p w14:paraId="1A374A3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6.76</w:t>
            </w:r>
          </w:p>
        </w:tc>
        <w:tc>
          <w:tcPr>
            <w:tcW w:w="1938" w:type="dxa"/>
          </w:tcPr>
          <w:p w14:paraId="56277AE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3.17 × 10⁻54</w:t>
            </w:r>
          </w:p>
        </w:tc>
      </w:tr>
      <w:tr w:rsidR="007B6E28" w:rsidRPr="00E00285" w14:paraId="214E0E3C" w14:textId="77777777">
        <w:tc>
          <w:tcPr>
            <w:tcW w:w="2377" w:type="dxa"/>
          </w:tcPr>
          <w:p w14:paraId="72776E5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 antigen presentation/lymphoid</w:t>
            </w:r>
          </w:p>
        </w:tc>
        <w:tc>
          <w:tcPr>
            <w:tcW w:w="1983" w:type="dxa"/>
          </w:tcPr>
          <w:p w14:paraId="6AD1FA1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Lymphocyte proliferation</w:t>
            </w:r>
          </w:p>
        </w:tc>
        <w:tc>
          <w:tcPr>
            <w:tcW w:w="1940" w:type="dxa"/>
          </w:tcPr>
          <w:p w14:paraId="14734A0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101/1,154</w:t>
            </w:r>
          </w:p>
        </w:tc>
        <w:tc>
          <w:tcPr>
            <w:tcW w:w="1954" w:type="dxa"/>
          </w:tcPr>
          <w:p w14:paraId="25EAA42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6.70</w:t>
            </w:r>
          </w:p>
        </w:tc>
        <w:tc>
          <w:tcPr>
            <w:tcW w:w="1938" w:type="dxa"/>
          </w:tcPr>
          <w:p w14:paraId="35A8A1A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3.00 × 10⁻52</w:t>
            </w:r>
          </w:p>
        </w:tc>
      </w:tr>
      <w:tr w:rsidR="007B6E28" w:rsidRPr="00E00285" w14:paraId="193BA687" w14:textId="77777777">
        <w:tc>
          <w:tcPr>
            <w:tcW w:w="2377" w:type="dxa"/>
          </w:tcPr>
          <w:p w14:paraId="4A84DEB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lastRenderedPageBreak/>
              <w:t>4: plasma/humoral</w:t>
            </w:r>
          </w:p>
        </w:tc>
        <w:tc>
          <w:tcPr>
            <w:tcW w:w="1983" w:type="dxa"/>
          </w:tcPr>
          <w:p w14:paraId="6661519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Complement activation, classical pathway</w:t>
            </w:r>
          </w:p>
        </w:tc>
        <w:tc>
          <w:tcPr>
            <w:tcW w:w="1940" w:type="dxa"/>
          </w:tcPr>
          <w:p w14:paraId="3E85289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10/77</w:t>
            </w:r>
          </w:p>
        </w:tc>
        <w:tc>
          <w:tcPr>
            <w:tcW w:w="1954" w:type="dxa"/>
          </w:tcPr>
          <w:p w14:paraId="1573DF7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77.71</w:t>
            </w:r>
          </w:p>
        </w:tc>
        <w:tc>
          <w:tcPr>
            <w:tcW w:w="1938" w:type="dxa"/>
          </w:tcPr>
          <w:p w14:paraId="194F7B5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9.85 × 10⁻14</w:t>
            </w:r>
          </w:p>
        </w:tc>
      </w:tr>
      <w:tr w:rsidR="007B6E28" w:rsidRPr="00E00285" w14:paraId="50941EC6" w14:textId="77777777">
        <w:tc>
          <w:tcPr>
            <w:tcW w:w="2377" w:type="dxa"/>
          </w:tcPr>
          <w:p w14:paraId="20704E6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 plasma/humoral</w:t>
            </w:r>
          </w:p>
        </w:tc>
        <w:tc>
          <w:tcPr>
            <w:tcW w:w="1983" w:type="dxa"/>
          </w:tcPr>
          <w:p w14:paraId="0F7D8D1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Humoral response mediated by circulating immunoglobulin</w:t>
            </w:r>
          </w:p>
        </w:tc>
        <w:tc>
          <w:tcPr>
            <w:tcW w:w="1940" w:type="dxa"/>
          </w:tcPr>
          <w:p w14:paraId="5E9A1E2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10/77</w:t>
            </w:r>
          </w:p>
        </w:tc>
        <w:tc>
          <w:tcPr>
            <w:tcW w:w="1954" w:type="dxa"/>
          </w:tcPr>
          <w:p w14:paraId="598432A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56.64</w:t>
            </w:r>
          </w:p>
        </w:tc>
        <w:tc>
          <w:tcPr>
            <w:tcW w:w="1938" w:type="dxa"/>
          </w:tcPr>
          <w:p w14:paraId="3F984B7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1.55 × 10⁻12</w:t>
            </w:r>
          </w:p>
        </w:tc>
      </w:tr>
      <w:tr w:rsidR="007B6E28" w:rsidRPr="00E00285" w14:paraId="45C0AC45" w14:textId="77777777">
        <w:tc>
          <w:tcPr>
            <w:tcW w:w="2377" w:type="dxa"/>
          </w:tcPr>
          <w:p w14:paraId="5D6D662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 plasma/humoral</w:t>
            </w:r>
          </w:p>
        </w:tc>
        <w:tc>
          <w:tcPr>
            <w:tcW w:w="1983" w:type="dxa"/>
          </w:tcPr>
          <w:p w14:paraId="48F49FF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B-cell-mediated immunity</w:t>
            </w:r>
          </w:p>
        </w:tc>
        <w:tc>
          <w:tcPr>
            <w:tcW w:w="1940" w:type="dxa"/>
          </w:tcPr>
          <w:p w14:paraId="6BA895B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14/77</w:t>
            </w:r>
          </w:p>
        </w:tc>
        <w:tc>
          <w:tcPr>
            <w:tcW w:w="1954" w:type="dxa"/>
          </w:tcPr>
          <w:p w14:paraId="3D85BF3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17.33</w:t>
            </w:r>
          </w:p>
        </w:tc>
        <w:tc>
          <w:tcPr>
            <w:tcW w:w="1938" w:type="dxa"/>
          </w:tcPr>
          <w:p w14:paraId="4F0674E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1.93 × 10⁻11</w:t>
            </w:r>
          </w:p>
        </w:tc>
      </w:tr>
    </w:tbl>
    <w:p w14:paraId="0B9DBCCB" w14:textId="77777777" w:rsidR="007B6E28" w:rsidRPr="00E00285" w:rsidRDefault="00000000">
      <w:pPr>
        <w:keepLines/>
        <w:spacing w:after="0"/>
        <w:jc w:val="center"/>
        <w:rPr>
          <w:color w:val="000000" w:themeColor="text1"/>
        </w:rPr>
      </w:pPr>
      <w:r w:rsidRPr="00E00285">
        <w:rPr>
          <w:noProof/>
          <w:color w:val="000000" w:themeColor="text1"/>
        </w:rPr>
        <w:drawing>
          <wp:inline distT="0" distB="0" distL="0" distR="0" wp14:anchorId="0D2C7CDB" wp14:editId="7EBE8CAF">
            <wp:extent cx="6221480" cy="2829303"/>
            <wp:effectExtent l="0" t="0" r="0" b="0"/>
            <wp:docPr id="69"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4"/>
                    <a:srcRect/>
                    <a:stretch>
                      <a:fillRect/>
                    </a:stretch>
                  </pic:blipFill>
                  <pic:spPr>
                    <a:xfrm>
                      <a:off x="0" y="0"/>
                      <a:ext cx="6221480" cy="2829303"/>
                    </a:xfrm>
                    <a:prstGeom prst="rect">
                      <a:avLst/>
                    </a:prstGeom>
                    <a:ln/>
                  </pic:spPr>
                </pic:pic>
              </a:graphicData>
            </a:graphic>
          </wp:inline>
        </w:drawing>
      </w:r>
    </w:p>
    <w:p w14:paraId="3D607689" w14:textId="77777777" w:rsidR="007B6E28" w:rsidRPr="00E00285" w:rsidRDefault="007B6E28">
      <w:pPr>
        <w:rPr>
          <w:color w:val="000000" w:themeColor="text1"/>
        </w:rPr>
      </w:pPr>
    </w:p>
    <w:p w14:paraId="38B047DA" w14:textId="77777777" w:rsidR="007B6E28" w:rsidRPr="00E00285" w:rsidRDefault="00000000">
      <w:pPr>
        <w:tabs>
          <w:tab w:val="left" w:pos="2532"/>
        </w:tabs>
        <w:rPr>
          <w:color w:val="000000" w:themeColor="text1"/>
        </w:rPr>
      </w:pPr>
      <w:r w:rsidRPr="00E00285">
        <w:rPr>
          <w:noProof/>
          <w:color w:val="000000" w:themeColor="text1"/>
        </w:rPr>
        <w:drawing>
          <wp:inline distT="0" distB="0" distL="0" distR="0" wp14:anchorId="6F281F71" wp14:editId="714B1447">
            <wp:extent cx="6217920" cy="4681762"/>
            <wp:effectExtent l="0" t="0" r="0" b="0"/>
            <wp:docPr id="7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5"/>
                    <a:srcRect/>
                    <a:stretch>
                      <a:fillRect/>
                    </a:stretch>
                  </pic:blipFill>
                  <pic:spPr>
                    <a:xfrm>
                      <a:off x="0" y="0"/>
                      <a:ext cx="6217920" cy="4681762"/>
                    </a:xfrm>
                    <a:prstGeom prst="rect">
                      <a:avLst/>
                    </a:prstGeom>
                    <a:ln/>
                  </pic:spPr>
                </pic:pic>
              </a:graphicData>
            </a:graphic>
          </wp:inline>
        </w:drawing>
      </w:r>
    </w:p>
    <w:p w14:paraId="5DC1471E"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lastRenderedPageBreak/>
        <w:t xml:space="preserve">Supplementary Figure S11. </w:t>
      </w:r>
      <w:r w:rsidRPr="00E00285">
        <w:rPr>
          <w:rFonts w:ascii="Times New Roman" w:eastAsia="Times New Roman" w:hAnsi="Times New Roman" w:cs="Times New Roman"/>
          <w:color w:val="000000" w:themeColor="text1"/>
          <w:sz w:val="24"/>
          <w:szCs w:val="24"/>
        </w:rPr>
        <w:t>Representative GO Biological Process enrichment. (A) Cluster 0, the inflamed secretory-interface domain. (B) Cluster 3, the antigen-presentation and lymphoid-activation domain. (C) Cluster 4, the plasma-cell/humoral-complement domain.</w:t>
      </w:r>
    </w:p>
    <w:p w14:paraId="5AD22A54"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The enrichment results connect spot-level marker patterns to broader biological processes. Secretory-interface spots show protein-folding and mucosal-defense stress, antigen-presentation spots show lymphocyte proliferation and activation, and plasma/humoral spots show classical complement and immunoglobulin-mediated immunity.</w:t>
      </w:r>
    </w:p>
    <w:p w14:paraId="4BAECFF3"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14. Biological program scoring</w:t>
      </w:r>
    </w:p>
    <w:p w14:paraId="0C6C8BA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Curated gene sets were summarized with Seurat </w:t>
      </w:r>
      <w:proofErr w:type="spellStart"/>
      <w:r w:rsidRPr="00E00285">
        <w:rPr>
          <w:rFonts w:ascii="Times New Roman" w:eastAsia="Times New Roman" w:hAnsi="Times New Roman" w:cs="Times New Roman"/>
          <w:color w:val="000000" w:themeColor="text1"/>
          <w:sz w:val="24"/>
          <w:szCs w:val="24"/>
        </w:rPr>
        <w:t>AddModuleScore</w:t>
      </w:r>
      <w:proofErr w:type="spellEnd"/>
      <w:r w:rsidRPr="00E00285">
        <w:rPr>
          <w:rFonts w:ascii="Times New Roman" w:eastAsia="Times New Roman" w:hAnsi="Times New Roman" w:cs="Times New Roman"/>
          <w:color w:val="000000" w:themeColor="text1"/>
          <w:sz w:val="24"/>
          <w:szCs w:val="24"/>
        </w:rPr>
        <w:t xml:space="preserve"> to compare coordinated program activity across clusters and tissue space. The scored programs represented epithelial-secretory, antigen-presentation, B-cell/plasma-cell, T-cell, myeloid/stromal, interferon-chemokine, core-metabolism, lipid-metabolism, and oxidative-stress activity.</w:t>
      </w:r>
    </w:p>
    <w:p w14:paraId="3B362823" w14:textId="77777777" w:rsidR="007B6E28" w:rsidRPr="00E00285" w:rsidRDefault="00000000">
      <w:pPr>
        <w:keepLines/>
        <w:spacing w:after="0"/>
        <w:jc w:val="center"/>
        <w:rPr>
          <w:color w:val="000000" w:themeColor="text1"/>
        </w:rPr>
      </w:pPr>
      <w:r w:rsidRPr="00E00285">
        <w:rPr>
          <w:noProof/>
          <w:color w:val="000000" w:themeColor="text1"/>
        </w:rPr>
        <w:drawing>
          <wp:inline distT="0" distB="0" distL="0" distR="0" wp14:anchorId="6855ED17" wp14:editId="43756A97">
            <wp:extent cx="6217920" cy="3090596"/>
            <wp:effectExtent l="0" t="0" r="0" b="0"/>
            <wp:docPr id="7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6217920" cy="3090596"/>
                    </a:xfrm>
                    <a:prstGeom prst="rect">
                      <a:avLst/>
                    </a:prstGeom>
                    <a:ln/>
                  </pic:spPr>
                </pic:pic>
              </a:graphicData>
            </a:graphic>
          </wp:inline>
        </w:drawing>
      </w:r>
    </w:p>
    <w:p w14:paraId="27AE8F79" w14:textId="77777777" w:rsidR="007B6E28" w:rsidRPr="00E00285" w:rsidRDefault="00000000">
      <w:pPr>
        <w:keepLines/>
        <w:pageBreakBefore/>
        <w:spacing w:after="0"/>
        <w:jc w:val="center"/>
        <w:rPr>
          <w:color w:val="000000" w:themeColor="text1"/>
        </w:rPr>
      </w:pPr>
      <w:r w:rsidRPr="00E00285">
        <w:rPr>
          <w:noProof/>
          <w:color w:val="000000" w:themeColor="text1"/>
        </w:rPr>
        <w:lastRenderedPageBreak/>
        <w:drawing>
          <wp:inline distT="0" distB="0" distL="0" distR="0" wp14:anchorId="0A86F787" wp14:editId="76D2B342">
            <wp:extent cx="6217920" cy="4283456"/>
            <wp:effectExtent l="0" t="0" r="0" b="0"/>
            <wp:docPr id="72"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27"/>
                    <a:srcRect/>
                    <a:stretch>
                      <a:fillRect/>
                    </a:stretch>
                  </pic:blipFill>
                  <pic:spPr>
                    <a:xfrm>
                      <a:off x="0" y="0"/>
                      <a:ext cx="6217920" cy="4283456"/>
                    </a:xfrm>
                    <a:prstGeom prst="rect">
                      <a:avLst/>
                    </a:prstGeom>
                    <a:ln/>
                  </pic:spPr>
                </pic:pic>
              </a:graphicData>
            </a:graphic>
          </wp:inline>
        </w:drawing>
      </w:r>
    </w:p>
    <w:p w14:paraId="6EC2D6BE"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Figure S12. </w:t>
      </w:r>
      <w:r w:rsidRPr="00E00285">
        <w:rPr>
          <w:rFonts w:ascii="Times New Roman" w:eastAsia="Times New Roman" w:hAnsi="Times New Roman" w:cs="Times New Roman"/>
          <w:color w:val="000000" w:themeColor="text1"/>
          <w:sz w:val="24"/>
          <w:szCs w:val="24"/>
        </w:rPr>
        <w:t>Biological program scores in the lacrimal gland. (A) Dot plot of module scores across Seurat clusters. (B-D) Spatial maps of epithelial-secretory, antigen-presentation, B-cell/plasma-cell, T-cell, myeloid/stromal, interferon-chemokine, metabolism, lipid-metabolism, and oxidative-stress scores.</w:t>
      </w:r>
    </w:p>
    <w:p w14:paraId="43B5234C"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Module scores reinforce the marker-based domain assignments and reveal that immune and secretory programs are distributed as overlapping fields. The analysis does not support a simple binary division into immune versus glandular tissue. Instead, immune-associated programs are embedded within and adjacent to secretory regions.</w:t>
      </w:r>
    </w:p>
    <w:p w14:paraId="1717E038"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15. Spatially variable genes</w:t>
      </w:r>
    </w:p>
    <w:p w14:paraId="0A01945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Moran’s I was used to rank genes by spatial autocorrelation independently of the Seurat cluster labels. The leading genes included </w:t>
      </w:r>
      <w:proofErr w:type="spellStart"/>
      <w:r w:rsidRPr="00E00285">
        <w:rPr>
          <w:rFonts w:ascii="Times New Roman" w:eastAsia="Times New Roman" w:hAnsi="Times New Roman" w:cs="Times New Roman"/>
          <w:color w:val="000000" w:themeColor="text1"/>
          <w:sz w:val="24"/>
          <w:szCs w:val="24"/>
        </w:rPr>
        <w:t>secretoglobins</w:t>
      </w:r>
      <w:proofErr w:type="spellEnd"/>
      <w:r w:rsidRPr="00E00285">
        <w:rPr>
          <w:rFonts w:ascii="Times New Roman" w:eastAsia="Times New Roman" w:hAnsi="Times New Roman" w:cs="Times New Roman"/>
          <w:color w:val="000000" w:themeColor="text1"/>
          <w:sz w:val="24"/>
          <w:szCs w:val="24"/>
        </w:rPr>
        <w:t>, epithelial-defense genes, antigen-presentation genes, immunoglobulin genes, and highly expressed structural or translational genes. Supplementary Table S11 lists the top 20 supplied genes.</w:t>
      </w:r>
    </w:p>
    <w:p w14:paraId="79A5B3AF" w14:textId="77777777" w:rsidR="007B6E28" w:rsidRPr="00E00285" w:rsidRDefault="00000000">
      <w:pPr>
        <w:keepNext/>
        <w:pBdr>
          <w:top w:val="nil"/>
          <w:left w:val="nil"/>
          <w:bottom w:val="nil"/>
          <w:right w:val="nil"/>
          <w:between w:val="nil"/>
        </w:pBdr>
        <w:spacing w:before="140" w:after="60" w:line="276"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Table S11. </w:t>
      </w:r>
      <w:r w:rsidRPr="00E00285">
        <w:rPr>
          <w:rFonts w:ascii="Times New Roman" w:eastAsia="Times New Roman" w:hAnsi="Times New Roman" w:cs="Times New Roman"/>
          <w:color w:val="000000" w:themeColor="text1"/>
          <w:sz w:val="24"/>
          <w:szCs w:val="24"/>
        </w:rPr>
        <w:t>Top 20 spatially variable genes in the lacrimal gland section.</w:t>
      </w:r>
    </w:p>
    <w:tbl>
      <w:tblPr>
        <w:tblStyle w:val="a9"/>
        <w:tblW w:w="99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2494"/>
        <w:gridCol w:w="2494"/>
        <w:gridCol w:w="2494"/>
      </w:tblGrid>
      <w:tr w:rsidR="007B6E28" w:rsidRPr="00E00285" w14:paraId="23E6F702" w14:textId="77777777">
        <w:tc>
          <w:tcPr>
            <w:tcW w:w="2494" w:type="dxa"/>
          </w:tcPr>
          <w:p w14:paraId="64EB431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Rank</w:t>
            </w:r>
          </w:p>
        </w:tc>
        <w:tc>
          <w:tcPr>
            <w:tcW w:w="2494" w:type="dxa"/>
          </w:tcPr>
          <w:p w14:paraId="307A001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Gene</w:t>
            </w:r>
          </w:p>
        </w:tc>
        <w:tc>
          <w:tcPr>
            <w:tcW w:w="2494" w:type="dxa"/>
          </w:tcPr>
          <w:p w14:paraId="5362E67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Curated broad category</w:t>
            </w:r>
          </w:p>
        </w:tc>
        <w:tc>
          <w:tcPr>
            <w:tcW w:w="2494" w:type="dxa"/>
          </w:tcPr>
          <w:p w14:paraId="1430818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Interpretive summary</w:t>
            </w:r>
          </w:p>
        </w:tc>
      </w:tr>
      <w:tr w:rsidR="007B6E28" w:rsidRPr="00E00285" w14:paraId="35247FF6" w14:textId="77777777">
        <w:tc>
          <w:tcPr>
            <w:tcW w:w="2494" w:type="dxa"/>
          </w:tcPr>
          <w:p w14:paraId="6E9EDA1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w:t>
            </w:r>
          </w:p>
        </w:tc>
        <w:tc>
          <w:tcPr>
            <w:tcW w:w="2494" w:type="dxa"/>
          </w:tcPr>
          <w:p w14:paraId="5F20D64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Scgb2b3</w:t>
            </w:r>
          </w:p>
        </w:tc>
        <w:tc>
          <w:tcPr>
            <w:tcW w:w="2494" w:type="dxa"/>
          </w:tcPr>
          <w:p w14:paraId="09C957C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0C3A56E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42DF0AC8" w14:textId="77777777">
        <w:tc>
          <w:tcPr>
            <w:tcW w:w="2494" w:type="dxa"/>
          </w:tcPr>
          <w:p w14:paraId="544DC20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w:t>
            </w:r>
          </w:p>
        </w:tc>
        <w:tc>
          <w:tcPr>
            <w:tcW w:w="2494" w:type="dxa"/>
          </w:tcPr>
          <w:p w14:paraId="46187EB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2310057J18Rik</w:t>
            </w:r>
          </w:p>
        </w:tc>
        <w:tc>
          <w:tcPr>
            <w:tcW w:w="2494" w:type="dxa"/>
          </w:tcPr>
          <w:p w14:paraId="34C166C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7A91B52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2BD7D34C" w14:textId="77777777">
        <w:tc>
          <w:tcPr>
            <w:tcW w:w="2494" w:type="dxa"/>
          </w:tcPr>
          <w:p w14:paraId="01AD794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w:t>
            </w:r>
          </w:p>
        </w:tc>
        <w:tc>
          <w:tcPr>
            <w:tcW w:w="2494" w:type="dxa"/>
          </w:tcPr>
          <w:p w14:paraId="7712F58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Scgb2a2</w:t>
            </w:r>
          </w:p>
        </w:tc>
        <w:tc>
          <w:tcPr>
            <w:tcW w:w="2494" w:type="dxa"/>
          </w:tcPr>
          <w:p w14:paraId="2D62409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2D54DE1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35862C88" w14:textId="77777777">
        <w:tc>
          <w:tcPr>
            <w:tcW w:w="2494" w:type="dxa"/>
          </w:tcPr>
          <w:p w14:paraId="11D1C90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lastRenderedPageBreak/>
              <w:t>4</w:t>
            </w:r>
          </w:p>
        </w:tc>
        <w:tc>
          <w:tcPr>
            <w:tcW w:w="2494" w:type="dxa"/>
          </w:tcPr>
          <w:p w14:paraId="3819D0C9"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Apoe</w:t>
            </w:r>
            <w:proofErr w:type="spellEnd"/>
          </w:p>
        </w:tc>
        <w:tc>
          <w:tcPr>
            <w:tcW w:w="2494" w:type="dxa"/>
          </w:tcPr>
          <w:p w14:paraId="516B6E2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216EDFA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6D783CB7" w14:textId="77777777">
        <w:tc>
          <w:tcPr>
            <w:tcW w:w="2494" w:type="dxa"/>
          </w:tcPr>
          <w:p w14:paraId="77673FB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5</w:t>
            </w:r>
          </w:p>
        </w:tc>
        <w:tc>
          <w:tcPr>
            <w:tcW w:w="2494" w:type="dxa"/>
          </w:tcPr>
          <w:p w14:paraId="4F040EF2"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Slpi</w:t>
            </w:r>
            <w:proofErr w:type="spellEnd"/>
          </w:p>
        </w:tc>
        <w:tc>
          <w:tcPr>
            <w:tcW w:w="2494" w:type="dxa"/>
          </w:tcPr>
          <w:p w14:paraId="69BE2E0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3FF9CE9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396164D3" w14:textId="77777777">
        <w:tc>
          <w:tcPr>
            <w:tcW w:w="2494" w:type="dxa"/>
          </w:tcPr>
          <w:p w14:paraId="38BE36F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6</w:t>
            </w:r>
          </w:p>
        </w:tc>
        <w:tc>
          <w:tcPr>
            <w:tcW w:w="2494" w:type="dxa"/>
          </w:tcPr>
          <w:p w14:paraId="744F463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Scgb1b3</w:t>
            </w:r>
          </w:p>
        </w:tc>
        <w:tc>
          <w:tcPr>
            <w:tcW w:w="2494" w:type="dxa"/>
          </w:tcPr>
          <w:p w14:paraId="2045BDC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2E8EDA8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7BD70B7F" w14:textId="77777777">
        <w:tc>
          <w:tcPr>
            <w:tcW w:w="2494" w:type="dxa"/>
          </w:tcPr>
          <w:p w14:paraId="6865C3F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7</w:t>
            </w:r>
          </w:p>
        </w:tc>
        <w:tc>
          <w:tcPr>
            <w:tcW w:w="2494" w:type="dxa"/>
          </w:tcPr>
          <w:p w14:paraId="231B1E3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Mucl2</w:t>
            </w:r>
          </w:p>
        </w:tc>
        <w:tc>
          <w:tcPr>
            <w:tcW w:w="2494" w:type="dxa"/>
          </w:tcPr>
          <w:p w14:paraId="6261FA4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63CAF2F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5746F000" w14:textId="77777777">
        <w:tc>
          <w:tcPr>
            <w:tcW w:w="2494" w:type="dxa"/>
          </w:tcPr>
          <w:p w14:paraId="03E1025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8</w:t>
            </w:r>
          </w:p>
        </w:tc>
        <w:tc>
          <w:tcPr>
            <w:tcW w:w="2494" w:type="dxa"/>
          </w:tcPr>
          <w:p w14:paraId="6A22CEF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Esp15</w:t>
            </w:r>
          </w:p>
        </w:tc>
        <w:tc>
          <w:tcPr>
            <w:tcW w:w="2494" w:type="dxa"/>
          </w:tcPr>
          <w:p w14:paraId="5469D48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7B0A5AB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7DD10E4D" w14:textId="77777777">
        <w:tc>
          <w:tcPr>
            <w:tcW w:w="2494" w:type="dxa"/>
          </w:tcPr>
          <w:p w14:paraId="577221D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9</w:t>
            </w:r>
          </w:p>
        </w:tc>
        <w:tc>
          <w:tcPr>
            <w:tcW w:w="2494" w:type="dxa"/>
          </w:tcPr>
          <w:p w14:paraId="5088256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Scgb2b17</w:t>
            </w:r>
          </w:p>
        </w:tc>
        <w:tc>
          <w:tcPr>
            <w:tcW w:w="2494" w:type="dxa"/>
          </w:tcPr>
          <w:p w14:paraId="120F5EB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epithelial secretory</w:t>
            </w:r>
          </w:p>
        </w:tc>
        <w:tc>
          <w:tcPr>
            <w:tcW w:w="2494" w:type="dxa"/>
          </w:tcPr>
          <w:p w14:paraId="72B0A5A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patterned epithelial or secretory signal</w:t>
            </w:r>
          </w:p>
        </w:tc>
      </w:tr>
      <w:tr w:rsidR="007B6E28" w:rsidRPr="00E00285" w14:paraId="1FCE8A5D" w14:textId="77777777">
        <w:tc>
          <w:tcPr>
            <w:tcW w:w="2494" w:type="dxa"/>
          </w:tcPr>
          <w:p w14:paraId="581E972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10</w:t>
            </w:r>
          </w:p>
        </w:tc>
        <w:tc>
          <w:tcPr>
            <w:tcW w:w="2494" w:type="dxa"/>
          </w:tcPr>
          <w:p w14:paraId="289ABF9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Gm5938</w:t>
            </w:r>
          </w:p>
        </w:tc>
        <w:tc>
          <w:tcPr>
            <w:tcW w:w="2494" w:type="dxa"/>
          </w:tcPr>
          <w:p w14:paraId="53B5C63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7F81560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36314F66" w14:textId="77777777">
        <w:tc>
          <w:tcPr>
            <w:tcW w:w="2494" w:type="dxa"/>
          </w:tcPr>
          <w:p w14:paraId="519EC54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11</w:t>
            </w:r>
          </w:p>
        </w:tc>
        <w:tc>
          <w:tcPr>
            <w:tcW w:w="2494" w:type="dxa"/>
          </w:tcPr>
          <w:p w14:paraId="53026D0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Cd74</w:t>
            </w:r>
          </w:p>
        </w:tc>
        <w:tc>
          <w:tcPr>
            <w:tcW w:w="2494" w:type="dxa"/>
          </w:tcPr>
          <w:p w14:paraId="1F1CE57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antigen presentation</w:t>
            </w:r>
          </w:p>
        </w:tc>
        <w:tc>
          <w:tcPr>
            <w:tcW w:w="2494" w:type="dxa"/>
          </w:tcPr>
          <w:p w14:paraId="329C6DE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patterned antigen-presentation signal</w:t>
            </w:r>
          </w:p>
        </w:tc>
      </w:tr>
      <w:tr w:rsidR="007B6E28" w:rsidRPr="00E00285" w14:paraId="24E56E65" w14:textId="77777777">
        <w:tc>
          <w:tcPr>
            <w:tcW w:w="2494" w:type="dxa"/>
          </w:tcPr>
          <w:p w14:paraId="1CBFC80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12</w:t>
            </w:r>
          </w:p>
        </w:tc>
        <w:tc>
          <w:tcPr>
            <w:tcW w:w="2494" w:type="dxa"/>
          </w:tcPr>
          <w:p w14:paraId="0469BBC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H2-K1</w:t>
            </w:r>
          </w:p>
        </w:tc>
        <w:tc>
          <w:tcPr>
            <w:tcW w:w="2494" w:type="dxa"/>
          </w:tcPr>
          <w:p w14:paraId="675608E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6AA05B8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4E8A108B" w14:textId="77777777">
        <w:tc>
          <w:tcPr>
            <w:tcW w:w="2494" w:type="dxa"/>
          </w:tcPr>
          <w:p w14:paraId="10C8CC5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13</w:t>
            </w:r>
          </w:p>
        </w:tc>
        <w:tc>
          <w:tcPr>
            <w:tcW w:w="2494" w:type="dxa"/>
          </w:tcPr>
          <w:p w14:paraId="02531F0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Rps27a</w:t>
            </w:r>
          </w:p>
        </w:tc>
        <w:tc>
          <w:tcPr>
            <w:tcW w:w="2494" w:type="dxa"/>
          </w:tcPr>
          <w:p w14:paraId="49DA6D6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5BA470D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2CD6714A" w14:textId="77777777">
        <w:tc>
          <w:tcPr>
            <w:tcW w:w="2494" w:type="dxa"/>
          </w:tcPr>
          <w:p w14:paraId="21A98AE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14</w:t>
            </w:r>
          </w:p>
        </w:tc>
        <w:tc>
          <w:tcPr>
            <w:tcW w:w="2494" w:type="dxa"/>
          </w:tcPr>
          <w:p w14:paraId="0043653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Fth1</w:t>
            </w:r>
          </w:p>
        </w:tc>
        <w:tc>
          <w:tcPr>
            <w:tcW w:w="2494" w:type="dxa"/>
          </w:tcPr>
          <w:p w14:paraId="348DBA0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3C26855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6A067292" w14:textId="77777777">
        <w:tc>
          <w:tcPr>
            <w:tcW w:w="2494" w:type="dxa"/>
          </w:tcPr>
          <w:p w14:paraId="39C4E21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15</w:t>
            </w:r>
          </w:p>
        </w:tc>
        <w:tc>
          <w:tcPr>
            <w:tcW w:w="2494" w:type="dxa"/>
          </w:tcPr>
          <w:p w14:paraId="5121C39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Esp31</w:t>
            </w:r>
          </w:p>
        </w:tc>
        <w:tc>
          <w:tcPr>
            <w:tcW w:w="2494" w:type="dxa"/>
          </w:tcPr>
          <w:p w14:paraId="1759B67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67BA1D6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0CD55496" w14:textId="77777777">
        <w:tc>
          <w:tcPr>
            <w:tcW w:w="2494" w:type="dxa"/>
          </w:tcPr>
          <w:p w14:paraId="146644C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16</w:t>
            </w:r>
          </w:p>
        </w:tc>
        <w:tc>
          <w:tcPr>
            <w:tcW w:w="2494" w:type="dxa"/>
          </w:tcPr>
          <w:p w14:paraId="326A265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Scgb1b2</w:t>
            </w:r>
          </w:p>
        </w:tc>
        <w:tc>
          <w:tcPr>
            <w:tcW w:w="2494" w:type="dxa"/>
          </w:tcPr>
          <w:p w14:paraId="2D4CD3F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776C325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53B4E84E" w14:textId="77777777">
        <w:tc>
          <w:tcPr>
            <w:tcW w:w="2494" w:type="dxa"/>
          </w:tcPr>
          <w:p w14:paraId="6F1AAB8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17</w:t>
            </w:r>
          </w:p>
        </w:tc>
        <w:tc>
          <w:tcPr>
            <w:tcW w:w="2494" w:type="dxa"/>
          </w:tcPr>
          <w:p w14:paraId="6D3313E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Rpl4</w:t>
            </w:r>
          </w:p>
        </w:tc>
        <w:tc>
          <w:tcPr>
            <w:tcW w:w="2494" w:type="dxa"/>
          </w:tcPr>
          <w:p w14:paraId="5B8ECDF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1081841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0EBB69EA" w14:textId="77777777">
        <w:tc>
          <w:tcPr>
            <w:tcW w:w="2494" w:type="dxa"/>
          </w:tcPr>
          <w:p w14:paraId="5E40C78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18</w:t>
            </w:r>
          </w:p>
        </w:tc>
        <w:tc>
          <w:tcPr>
            <w:tcW w:w="2494" w:type="dxa"/>
          </w:tcPr>
          <w:p w14:paraId="7633AC6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Iglc1</w:t>
            </w:r>
          </w:p>
        </w:tc>
        <w:tc>
          <w:tcPr>
            <w:tcW w:w="2494" w:type="dxa"/>
          </w:tcPr>
          <w:p w14:paraId="37690EB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546701C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7668014B" w14:textId="77777777">
        <w:tc>
          <w:tcPr>
            <w:tcW w:w="2494" w:type="dxa"/>
          </w:tcPr>
          <w:p w14:paraId="46DAE1D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19</w:t>
            </w:r>
          </w:p>
        </w:tc>
        <w:tc>
          <w:tcPr>
            <w:tcW w:w="2494" w:type="dxa"/>
          </w:tcPr>
          <w:p w14:paraId="5616D8E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Ighg1</w:t>
            </w:r>
          </w:p>
        </w:tc>
        <w:tc>
          <w:tcPr>
            <w:tcW w:w="2494" w:type="dxa"/>
          </w:tcPr>
          <w:p w14:paraId="458C3A6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2FA8B65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r w:rsidR="007B6E28" w:rsidRPr="00E00285" w14:paraId="39647DBB" w14:textId="77777777">
        <w:tc>
          <w:tcPr>
            <w:tcW w:w="2494" w:type="dxa"/>
          </w:tcPr>
          <w:p w14:paraId="0F06845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20</w:t>
            </w:r>
          </w:p>
        </w:tc>
        <w:tc>
          <w:tcPr>
            <w:tcW w:w="2494" w:type="dxa"/>
          </w:tcPr>
          <w:p w14:paraId="0810059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Fau</w:t>
            </w:r>
          </w:p>
        </w:tc>
        <w:tc>
          <w:tcPr>
            <w:tcW w:w="2494" w:type="dxa"/>
          </w:tcPr>
          <w:p w14:paraId="69B3B26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other or unannotated</w:t>
            </w:r>
          </w:p>
        </w:tc>
        <w:tc>
          <w:tcPr>
            <w:tcW w:w="2494" w:type="dxa"/>
          </w:tcPr>
          <w:p w14:paraId="2DD0AC0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Spatially organized gene not assigned to curated program</w:t>
            </w:r>
          </w:p>
        </w:tc>
      </w:tr>
    </w:tbl>
    <w:p w14:paraId="5F384C11" w14:textId="77777777" w:rsidR="007B6E28" w:rsidRPr="00E00285" w:rsidRDefault="00000000">
      <w:pPr>
        <w:keepLines/>
        <w:spacing w:after="0"/>
        <w:jc w:val="center"/>
        <w:rPr>
          <w:color w:val="000000" w:themeColor="text1"/>
        </w:rPr>
      </w:pPr>
      <w:r w:rsidRPr="00E00285">
        <w:rPr>
          <w:noProof/>
          <w:color w:val="000000" w:themeColor="text1"/>
        </w:rPr>
        <w:lastRenderedPageBreak/>
        <w:drawing>
          <wp:inline distT="0" distB="0" distL="0" distR="0" wp14:anchorId="0C33D42E" wp14:editId="3B5F9D16">
            <wp:extent cx="6217920" cy="2972766"/>
            <wp:effectExtent l="0" t="0" r="0" b="0"/>
            <wp:docPr id="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6217920" cy="2972766"/>
                    </a:xfrm>
                    <a:prstGeom prst="rect">
                      <a:avLst/>
                    </a:prstGeom>
                    <a:ln/>
                  </pic:spPr>
                </pic:pic>
              </a:graphicData>
            </a:graphic>
          </wp:inline>
        </w:drawing>
      </w:r>
    </w:p>
    <w:p w14:paraId="0DCB1FEA" w14:textId="77777777" w:rsidR="007B6E28" w:rsidRPr="00E00285" w:rsidRDefault="00000000">
      <w:pPr>
        <w:keepLines/>
        <w:pageBreakBefore/>
        <w:spacing w:after="0"/>
        <w:jc w:val="center"/>
        <w:rPr>
          <w:color w:val="000000" w:themeColor="text1"/>
        </w:rPr>
      </w:pPr>
      <w:r w:rsidRPr="00E00285">
        <w:rPr>
          <w:noProof/>
          <w:color w:val="000000" w:themeColor="text1"/>
        </w:rPr>
        <w:lastRenderedPageBreak/>
        <w:drawing>
          <wp:inline distT="0" distB="0" distL="0" distR="0" wp14:anchorId="5E1A2D8E" wp14:editId="2D529540">
            <wp:extent cx="6217920" cy="6943610"/>
            <wp:effectExtent l="0" t="0" r="0" b="0"/>
            <wp:docPr id="4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9"/>
                    <a:srcRect/>
                    <a:stretch>
                      <a:fillRect/>
                    </a:stretch>
                  </pic:blipFill>
                  <pic:spPr>
                    <a:xfrm>
                      <a:off x="0" y="0"/>
                      <a:ext cx="6217920" cy="6943610"/>
                    </a:xfrm>
                    <a:prstGeom prst="rect">
                      <a:avLst/>
                    </a:prstGeom>
                    <a:ln/>
                  </pic:spPr>
                </pic:pic>
              </a:graphicData>
            </a:graphic>
          </wp:inline>
        </w:drawing>
      </w:r>
    </w:p>
    <w:p w14:paraId="44941186"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Figure S13. </w:t>
      </w:r>
      <w:r w:rsidRPr="00E00285">
        <w:rPr>
          <w:rFonts w:ascii="Times New Roman" w:eastAsia="Times New Roman" w:hAnsi="Times New Roman" w:cs="Times New Roman"/>
          <w:color w:val="000000" w:themeColor="text1"/>
          <w:sz w:val="24"/>
          <w:szCs w:val="24"/>
        </w:rPr>
        <w:t>Expression patterns of leading spatially variable genes in the lacrimal gland. (A) Dot plot by cluster. (B) Heatmap by cluster. (C-D) Spatial maps of the leading genes.</w:t>
      </w:r>
    </w:p>
    <w:p w14:paraId="7F712063"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The spatially variable gene analysis independently recovers the same epithelial-secretory, antigen-presentation, and humoral axes identified by clustering. It also exposes additional spatially organized genes that were not included in the predefined module panels.</w:t>
      </w:r>
    </w:p>
    <w:p w14:paraId="31F46695"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color w:val="000000" w:themeColor="text1"/>
        </w:rPr>
        <w:t xml:space="preserve">16. Native </w:t>
      </w:r>
      <w:proofErr w:type="spellStart"/>
      <w:r w:rsidRPr="00E00285">
        <w:rPr>
          <w:color w:val="000000" w:themeColor="text1"/>
        </w:rPr>
        <w:t>Visium</w:t>
      </w:r>
      <w:proofErr w:type="spellEnd"/>
      <w:r w:rsidRPr="00E00285">
        <w:rPr>
          <w:color w:val="000000" w:themeColor="text1"/>
        </w:rPr>
        <w:t xml:space="preserve"> adjacency, local mixing, and sensitivity analysis</w:t>
      </w:r>
    </w:p>
    <w:p w14:paraId="08103C45" w14:textId="77777777" w:rsidR="007B6E28" w:rsidRPr="00E00285" w:rsidRDefault="00000000">
      <w:pPr>
        <w:rPr>
          <w:color w:val="000000" w:themeColor="text1"/>
        </w:rPr>
      </w:pPr>
      <w:r w:rsidRPr="00E00285">
        <w:rPr>
          <w:color w:val="000000" w:themeColor="text1"/>
        </w:rPr>
        <w:t xml:space="preserve">Native </w:t>
      </w:r>
      <w:proofErr w:type="spellStart"/>
      <w:r w:rsidRPr="00E00285">
        <w:rPr>
          <w:color w:val="000000" w:themeColor="text1"/>
        </w:rPr>
        <w:t>Visium</w:t>
      </w:r>
      <w:proofErr w:type="spellEnd"/>
      <w:r w:rsidRPr="00E00285">
        <w:rPr>
          <w:color w:val="000000" w:themeColor="text1"/>
        </w:rPr>
        <w:t xml:space="preserve"> adjacency was defined from the Space Ranger array coordinates rather than from a generic k-nearest-neighbor search. For the standard staggered </w:t>
      </w:r>
      <w:proofErr w:type="spellStart"/>
      <w:r w:rsidRPr="00E00285">
        <w:rPr>
          <w:color w:val="000000" w:themeColor="text1"/>
        </w:rPr>
        <w:t>Visium</w:t>
      </w:r>
      <w:proofErr w:type="spellEnd"/>
      <w:r w:rsidRPr="00E00285">
        <w:rPr>
          <w:color w:val="000000" w:themeColor="text1"/>
        </w:rPr>
        <w:t xml:space="preserve"> array, retained spots were connected only when their </w:t>
      </w:r>
      <w:proofErr w:type="spellStart"/>
      <w:r w:rsidRPr="00E00285">
        <w:rPr>
          <w:color w:val="000000" w:themeColor="text1"/>
        </w:rPr>
        <w:t>array_row</w:t>
      </w:r>
      <w:proofErr w:type="spellEnd"/>
      <w:r w:rsidRPr="00E00285">
        <w:rPr>
          <w:color w:val="000000" w:themeColor="text1"/>
        </w:rPr>
        <w:t>/</w:t>
      </w:r>
      <w:proofErr w:type="spellStart"/>
      <w:r w:rsidRPr="00E00285">
        <w:rPr>
          <w:color w:val="000000" w:themeColor="text1"/>
        </w:rPr>
        <w:t>array_col</w:t>
      </w:r>
      <w:proofErr w:type="spellEnd"/>
      <w:r w:rsidRPr="00E00285">
        <w:rPr>
          <w:color w:val="000000" w:themeColor="text1"/>
        </w:rPr>
        <w:t xml:space="preserve"> offsets corresponded to one of the six immediate lattice positions: (0, ±2) or (±1, ±1). A non-tissue, missing, or QC-removed position therefore reduced the number of available neighbors and was not replaced by a more distant spot. This follows the Space Ranger array-coordinate convention for the </w:t>
      </w:r>
      <w:proofErr w:type="spellStart"/>
      <w:r w:rsidRPr="00E00285">
        <w:rPr>
          <w:color w:val="000000" w:themeColor="text1"/>
        </w:rPr>
        <w:t>Visium</w:t>
      </w:r>
      <w:proofErr w:type="spellEnd"/>
      <w:r w:rsidRPr="00E00285">
        <w:rPr>
          <w:color w:val="000000" w:themeColor="text1"/>
        </w:rPr>
        <w:t xml:space="preserve"> orange-crate layout (10x Genomics, 2026).</w:t>
      </w:r>
    </w:p>
    <w:p w14:paraId="71E4EA3F" w14:textId="77777777" w:rsidR="007B6E28" w:rsidRPr="00E00285" w:rsidRDefault="00000000">
      <w:pPr>
        <w:rPr>
          <w:color w:val="000000" w:themeColor="text1"/>
        </w:rPr>
      </w:pPr>
      <w:r w:rsidRPr="00E00285">
        <w:rPr>
          <w:color w:val="000000" w:themeColor="text1"/>
        </w:rPr>
        <w:lastRenderedPageBreak/>
        <w:t>The primary local-coherence statistic was the neighbor-difference fraction, calculated for each spot as the number of available native neighbors assigned to a different cluster divided by the native degree of that spot. The binary label “at least one different neighbor” was retained only as a descriptive interface measure. A stricter sensitivity definition classified a spot as an interface when at least 50% of its available native neighbors belonged to another cluster.</w:t>
      </w:r>
    </w:p>
    <w:p w14:paraId="75FB6227" w14:textId="77777777" w:rsidR="007B6E28" w:rsidRPr="00E00285" w:rsidRDefault="00000000">
      <w:pPr>
        <w:shd w:val="clear" w:color="auto" w:fill="F2F2F2"/>
        <w:rPr>
          <w:color w:val="000000" w:themeColor="text1"/>
        </w:rPr>
      </w:pPr>
      <w:r w:rsidRPr="00E00285">
        <w:rPr>
          <w:rFonts w:ascii="Courier New" w:eastAsia="Courier New" w:hAnsi="Courier New" w:cs="Courier New"/>
          <w:color w:val="000000" w:themeColor="text1"/>
          <w:sz w:val="17"/>
          <w:szCs w:val="17"/>
        </w:rPr>
        <w:t xml:space="preserve"># Native </w:t>
      </w:r>
      <w:proofErr w:type="spellStart"/>
      <w:r w:rsidRPr="00E00285">
        <w:rPr>
          <w:rFonts w:ascii="Courier New" w:eastAsia="Courier New" w:hAnsi="Courier New" w:cs="Courier New"/>
          <w:color w:val="000000" w:themeColor="text1"/>
          <w:sz w:val="17"/>
          <w:szCs w:val="17"/>
        </w:rPr>
        <w:t>Visium</w:t>
      </w:r>
      <w:proofErr w:type="spellEnd"/>
      <w:r w:rsidRPr="00E00285">
        <w:rPr>
          <w:rFonts w:ascii="Courier New" w:eastAsia="Courier New" w:hAnsi="Courier New" w:cs="Courier New"/>
          <w:color w:val="000000" w:themeColor="text1"/>
          <w:sz w:val="17"/>
          <w:szCs w:val="17"/>
        </w:rPr>
        <w:t xml:space="preserve"> lattice adjacency</w:t>
      </w:r>
      <w:r w:rsidRPr="00E00285">
        <w:rPr>
          <w:rFonts w:ascii="Courier New" w:eastAsia="Courier New" w:hAnsi="Courier New" w:cs="Courier New"/>
          <w:color w:val="000000" w:themeColor="text1"/>
          <w:sz w:val="17"/>
          <w:szCs w:val="17"/>
        </w:rPr>
        <w:br/>
        <w:t xml:space="preserve">offsets &lt;- </w:t>
      </w:r>
      <w:proofErr w:type="spellStart"/>
      <w:r w:rsidRPr="00E00285">
        <w:rPr>
          <w:rFonts w:ascii="Courier New" w:eastAsia="Courier New" w:hAnsi="Courier New" w:cs="Courier New"/>
          <w:color w:val="000000" w:themeColor="text1"/>
          <w:sz w:val="17"/>
          <w:szCs w:val="17"/>
        </w:rPr>
        <w:t>data.frame</w:t>
      </w:r>
      <w:proofErr w:type="spellEnd"/>
      <w:r w:rsidRPr="00E00285">
        <w:rPr>
          <w:rFonts w:ascii="Courier New" w:eastAsia="Courier New" w:hAnsi="Courier New" w:cs="Courier New"/>
          <w:color w:val="000000" w:themeColor="text1"/>
          <w:sz w:val="17"/>
          <w:szCs w:val="17"/>
        </w:rPr>
        <w:t>(dr = c(0,0,-1,-1,1,1), dc = c(-2,2,-1,1,-1,1))</w:t>
      </w:r>
      <w:r w:rsidRPr="00E00285">
        <w:rPr>
          <w:rFonts w:ascii="Courier New" w:eastAsia="Courier New" w:hAnsi="Courier New" w:cs="Courier New"/>
          <w:color w:val="000000" w:themeColor="text1"/>
          <w:sz w:val="17"/>
          <w:szCs w:val="17"/>
        </w:rPr>
        <w:br/>
      </w:r>
      <w:proofErr w:type="spellStart"/>
      <w:r w:rsidRPr="00E00285">
        <w:rPr>
          <w:rFonts w:ascii="Courier New" w:eastAsia="Courier New" w:hAnsi="Courier New" w:cs="Courier New"/>
          <w:color w:val="000000" w:themeColor="text1"/>
          <w:sz w:val="17"/>
          <w:szCs w:val="17"/>
        </w:rPr>
        <w:t>native_edges</w:t>
      </w:r>
      <w:proofErr w:type="spellEnd"/>
      <w:r w:rsidRPr="00E00285">
        <w:rPr>
          <w:rFonts w:ascii="Courier New" w:eastAsia="Courier New" w:hAnsi="Courier New" w:cs="Courier New"/>
          <w:color w:val="000000" w:themeColor="text1"/>
          <w:sz w:val="17"/>
          <w:szCs w:val="17"/>
        </w:rPr>
        <w:t xml:space="preserve"> &lt;- </w:t>
      </w:r>
      <w:proofErr w:type="spellStart"/>
      <w:r w:rsidRPr="00E00285">
        <w:rPr>
          <w:rFonts w:ascii="Courier New" w:eastAsia="Courier New" w:hAnsi="Courier New" w:cs="Courier New"/>
          <w:color w:val="000000" w:themeColor="text1"/>
          <w:sz w:val="17"/>
          <w:szCs w:val="17"/>
        </w:rPr>
        <w:t>build_native_visium_edges</w:t>
      </w:r>
      <w:proofErr w:type="spellEnd"/>
      <w:r w:rsidRPr="00E00285">
        <w:rPr>
          <w:rFonts w:ascii="Courier New" w:eastAsia="Courier New" w:hAnsi="Courier New" w:cs="Courier New"/>
          <w:color w:val="000000" w:themeColor="text1"/>
          <w:sz w:val="17"/>
          <w:szCs w:val="17"/>
        </w:rPr>
        <w:t>(</w:t>
      </w:r>
      <w:proofErr w:type="spellStart"/>
      <w:r w:rsidRPr="00E00285">
        <w:rPr>
          <w:rFonts w:ascii="Courier New" w:eastAsia="Courier New" w:hAnsi="Courier New" w:cs="Courier New"/>
          <w:color w:val="000000" w:themeColor="text1"/>
          <w:sz w:val="17"/>
          <w:szCs w:val="17"/>
        </w:rPr>
        <w:t>boundary_df</w:t>
      </w:r>
      <w:proofErr w:type="spellEnd"/>
      <w:r w:rsidRPr="00E00285">
        <w:rPr>
          <w:rFonts w:ascii="Courier New" w:eastAsia="Courier New" w:hAnsi="Courier New" w:cs="Courier New"/>
          <w:color w:val="000000" w:themeColor="text1"/>
          <w:sz w:val="17"/>
          <w:szCs w:val="17"/>
        </w:rPr>
        <w:t>)</w:t>
      </w:r>
      <w:r w:rsidRPr="00E00285">
        <w:rPr>
          <w:rFonts w:ascii="Courier New" w:eastAsia="Courier New" w:hAnsi="Courier New" w:cs="Courier New"/>
          <w:color w:val="000000" w:themeColor="text1"/>
          <w:sz w:val="17"/>
          <w:szCs w:val="17"/>
        </w:rPr>
        <w:br/>
      </w:r>
      <w:proofErr w:type="spellStart"/>
      <w:r w:rsidRPr="00E00285">
        <w:rPr>
          <w:rFonts w:ascii="Courier New" w:eastAsia="Courier New" w:hAnsi="Courier New" w:cs="Courier New"/>
          <w:color w:val="000000" w:themeColor="text1"/>
          <w:sz w:val="17"/>
          <w:szCs w:val="17"/>
        </w:rPr>
        <w:t>neighbor_diff_fraction</w:t>
      </w:r>
      <w:proofErr w:type="spellEnd"/>
      <w:r w:rsidRPr="00E00285">
        <w:rPr>
          <w:rFonts w:ascii="Courier New" w:eastAsia="Courier New" w:hAnsi="Courier New" w:cs="Courier New"/>
          <w:color w:val="000000" w:themeColor="text1"/>
          <w:sz w:val="17"/>
          <w:szCs w:val="17"/>
        </w:rPr>
        <w:t xml:space="preserve"> &lt;- </w:t>
      </w:r>
      <w:proofErr w:type="spellStart"/>
      <w:r w:rsidRPr="00E00285">
        <w:rPr>
          <w:rFonts w:ascii="Courier New" w:eastAsia="Courier New" w:hAnsi="Courier New" w:cs="Courier New"/>
          <w:color w:val="000000" w:themeColor="text1"/>
          <w:sz w:val="17"/>
          <w:szCs w:val="17"/>
        </w:rPr>
        <w:t>n_different_neighbors</w:t>
      </w:r>
      <w:proofErr w:type="spellEnd"/>
      <w:r w:rsidRPr="00E00285">
        <w:rPr>
          <w:rFonts w:ascii="Courier New" w:eastAsia="Courier New" w:hAnsi="Courier New" w:cs="Courier New"/>
          <w:color w:val="000000" w:themeColor="text1"/>
          <w:sz w:val="17"/>
          <w:szCs w:val="17"/>
        </w:rPr>
        <w:t xml:space="preserve"> / degree</w:t>
      </w:r>
    </w:p>
    <w:p w14:paraId="47F16854" w14:textId="77777777" w:rsidR="007B6E28" w:rsidRPr="00E00285" w:rsidRDefault="00000000">
      <w:pPr>
        <w:keepNext/>
        <w:pBdr>
          <w:top w:val="nil"/>
          <w:left w:val="nil"/>
          <w:bottom w:val="nil"/>
          <w:right w:val="nil"/>
          <w:between w:val="nil"/>
        </w:pBdr>
        <w:spacing w:before="140" w:after="60" w:line="276" w:lineRule="auto"/>
        <w:rPr>
          <w:color w:val="000000" w:themeColor="text1"/>
          <w:sz w:val="18"/>
          <w:szCs w:val="18"/>
        </w:rPr>
      </w:pPr>
      <w:r w:rsidRPr="00E00285">
        <w:rPr>
          <w:b/>
          <w:bCs/>
          <w:color w:val="000000" w:themeColor="text1"/>
          <w:sz w:val="18"/>
          <w:szCs w:val="18"/>
        </w:rPr>
        <w:t>Supplementary Table S12.</w:t>
      </w:r>
      <w:r w:rsidRPr="00E00285">
        <w:rPr>
          <w:color w:val="000000" w:themeColor="text1"/>
          <w:sz w:val="18"/>
          <w:szCs w:val="18"/>
        </w:rPr>
        <w:t xml:space="preserve"> Native </w:t>
      </w:r>
      <w:proofErr w:type="spellStart"/>
      <w:r w:rsidRPr="00E00285">
        <w:rPr>
          <w:color w:val="000000" w:themeColor="text1"/>
          <w:sz w:val="18"/>
          <w:szCs w:val="18"/>
        </w:rPr>
        <w:t>Visium</w:t>
      </w:r>
      <w:proofErr w:type="spellEnd"/>
      <w:r w:rsidRPr="00E00285">
        <w:rPr>
          <w:color w:val="000000" w:themeColor="text1"/>
          <w:sz w:val="18"/>
          <w:szCs w:val="18"/>
        </w:rPr>
        <w:t xml:space="preserve"> adjacency, local-mixing statistics, and sensitivity analyses in the lacrimal gland section.</w:t>
      </w:r>
    </w:p>
    <w:p w14:paraId="133C4997" w14:textId="77777777" w:rsidR="007B6E28" w:rsidRPr="00E00285" w:rsidRDefault="00000000">
      <w:pPr>
        <w:rPr>
          <w:color w:val="000000" w:themeColor="text1"/>
        </w:rPr>
      </w:pPr>
      <w:r w:rsidRPr="00E00285">
        <w:rPr>
          <w:b/>
          <w:bCs/>
          <w:color w:val="000000" w:themeColor="text1"/>
        </w:rPr>
        <w:t>(A)</w:t>
      </w:r>
      <w:r w:rsidRPr="00E00285">
        <w:rPr>
          <w:color w:val="000000" w:themeColor="text1"/>
        </w:rPr>
        <w:t xml:space="preserve"> Primary native-array adjacency results at Seurat clustering resolution 0.45.</w:t>
      </w:r>
    </w:p>
    <w:tbl>
      <w:tblPr>
        <w:tblStyle w:val="aa"/>
        <w:tblW w:w="99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3"/>
        <w:gridCol w:w="1663"/>
        <w:gridCol w:w="1663"/>
        <w:gridCol w:w="1663"/>
        <w:gridCol w:w="1663"/>
        <w:gridCol w:w="1663"/>
      </w:tblGrid>
      <w:tr w:rsidR="007B6E28" w:rsidRPr="00E00285" w14:paraId="2220A814" w14:textId="77777777">
        <w:trPr>
          <w:tblHeader/>
          <w:jc w:val="center"/>
        </w:trPr>
        <w:tc>
          <w:tcPr>
            <w:tcW w:w="1663" w:type="dxa"/>
            <w:tcMar>
              <w:top w:w="50" w:type="dxa"/>
              <w:bottom w:w="50" w:type="dxa"/>
            </w:tcMar>
            <w:vAlign w:val="center"/>
          </w:tcPr>
          <w:p w14:paraId="0ADFEEFD" w14:textId="77777777" w:rsidR="007B6E28" w:rsidRPr="00E00285" w:rsidRDefault="00000000">
            <w:pPr>
              <w:rPr>
                <w:color w:val="000000" w:themeColor="text1"/>
              </w:rPr>
            </w:pPr>
            <w:r w:rsidRPr="00E00285">
              <w:rPr>
                <w:b/>
                <w:bCs/>
                <w:color w:val="000000" w:themeColor="text1"/>
                <w:sz w:val="15"/>
                <w:szCs w:val="15"/>
              </w:rPr>
              <w:t>Group</w:t>
            </w:r>
          </w:p>
        </w:tc>
        <w:tc>
          <w:tcPr>
            <w:tcW w:w="1663" w:type="dxa"/>
            <w:tcMar>
              <w:top w:w="50" w:type="dxa"/>
              <w:bottom w:w="50" w:type="dxa"/>
            </w:tcMar>
            <w:vAlign w:val="center"/>
          </w:tcPr>
          <w:p w14:paraId="4BE01E2D" w14:textId="77777777" w:rsidR="007B6E28" w:rsidRPr="00E00285" w:rsidRDefault="00000000">
            <w:pPr>
              <w:rPr>
                <w:color w:val="000000" w:themeColor="text1"/>
              </w:rPr>
            </w:pPr>
            <w:r w:rsidRPr="00E00285">
              <w:rPr>
                <w:b/>
                <w:bCs/>
                <w:color w:val="000000" w:themeColor="text1"/>
                <w:sz w:val="15"/>
                <w:szCs w:val="15"/>
              </w:rPr>
              <w:t>Spots</w:t>
            </w:r>
          </w:p>
        </w:tc>
        <w:tc>
          <w:tcPr>
            <w:tcW w:w="1663" w:type="dxa"/>
            <w:tcMar>
              <w:top w:w="50" w:type="dxa"/>
              <w:bottom w:w="50" w:type="dxa"/>
            </w:tcMar>
            <w:vAlign w:val="center"/>
          </w:tcPr>
          <w:p w14:paraId="6FF27C03" w14:textId="77777777" w:rsidR="007B6E28" w:rsidRPr="00E00285" w:rsidRDefault="00000000">
            <w:pPr>
              <w:rPr>
                <w:color w:val="000000" w:themeColor="text1"/>
              </w:rPr>
            </w:pPr>
            <w:r w:rsidRPr="00E00285">
              <w:rPr>
                <w:b/>
                <w:bCs/>
                <w:color w:val="000000" w:themeColor="text1"/>
                <w:sz w:val="15"/>
                <w:szCs w:val="15"/>
              </w:rPr>
              <w:t>Mean native degree</w:t>
            </w:r>
          </w:p>
        </w:tc>
        <w:tc>
          <w:tcPr>
            <w:tcW w:w="1663" w:type="dxa"/>
            <w:tcMar>
              <w:top w:w="50" w:type="dxa"/>
              <w:bottom w:w="50" w:type="dxa"/>
            </w:tcMar>
            <w:vAlign w:val="center"/>
          </w:tcPr>
          <w:p w14:paraId="448C6CDC" w14:textId="77777777" w:rsidR="007B6E28" w:rsidRPr="00E00285" w:rsidRDefault="00000000">
            <w:pPr>
              <w:rPr>
                <w:color w:val="000000" w:themeColor="text1"/>
              </w:rPr>
            </w:pPr>
            <w:r w:rsidRPr="00E00285">
              <w:rPr>
                <w:b/>
                <w:bCs/>
                <w:color w:val="000000" w:themeColor="text1"/>
                <w:sz w:val="15"/>
                <w:szCs w:val="15"/>
              </w:rPr>
              <w:t>Mean neighbor-difference fraction</w:t>
            </w:r>
          </w:p>
        </w:tc>
        <w:tc>
          <w:tcPr>
            <w:tcW w:w="1663" w:type="dxa"/>
            <w:tcMar>
              <w:top w:w="50" w:type="dxa"/>
              <w:bottom w:w="50" w:type="dxa"/>
            </w:tcMar>
            <w:vAlign w:val="center"/>
          </w:tcPr>
          <w:p w14:paraId="5A3911CE" w14:textId="77777777" w:rsidR="007B6E28" w:rsidRPr="00E00285" w:rsidRDefault="00000000">
            <w:pPr>
              <w:rPr>
                <w:color w:val="000000" w:themeColor="text1"/>
              </w:rPr>
            </w:pPr>
            <w:sdt>
              <w:sdtPr>
                <w:rPr>
                  <w:color w:val="000000" w:themeColor="text1"/>
                </w:rPr>
                <w:tag w:val="goog_rdk_5"/>
                <w:id w:val="1000863714"/>
              </w:sdtPr>
              <w:sdtContent>
                <w:r w:rsidRPr="00E00285">
                  <w:rPr>
                    <w:rFonts w:ascii="Arial Unicode MS" w:eastAsia="Arial Unicode MS" w:hAnsi="Arial Unicode MS" w:cs="Arial Unicode MS"/>
                    <w:b/>
                    <w:bCs/>
                    <w:color w:val="000000" w:themeColor="text1"/>
                    <w:sz w:val="15"/>
                    <w:szCs w:val="15"/>
                  </w:rPr>
                  <w:t>≥1 different native neighbor, n (%)</w:t>
                </w:r>
              </w:sdtContent>
            </w:sdt>
          </w:p>
        </w:tc>
        <w:tc>
          <w:tcPr>
            <w:tcW w:w="1663" w:type="dxa"/>
            <w:tcMar>
              <w:top w:w="50" w:type="dxa"/>
              <w:bottom w:w="50" w:type="dxa"/>
            </w:tcMar>
            <w:vAlign w:val="center"/>
          </w:tcPr>
          <w:p w14:paraId="5A6CFC87" w14:textId="77777777" w:rsidR="007B6E28" w:rsidRPr="00E00285" w:rsidRDefault="00000000">
            <w:pPr>
              <w:rPr>
                <w:color w:val="000000" w:themeColor="text1"/>
              </w:rPr>
            </w:pPr>
            <w:sdt>
              <w:sdtPr>
                <w:rPr>
                  <w:color w:val="000000" w:themeColor="text1"/>
                </w:rPr>
                <w:tag w:val="goog_rdk_6"/>
                <w:id w:val="1408751338"/>
              </w:sdtPr>
              <w:sdtContent>
                <w:r w:rsidRPr="00E00285">
                  <w:rPr>
                    <w:rFonts w:ascii="Arial Unicode MS" w:eastAsia="Arial Unicode MS" w:hAnsi="Arial Unicode MS" w:cs="Arial Unicode MS"/>
                    <w:b/>
                    <w:bCs/>
                    <w:color w:val="000000" w:themeColor="text1"/>
                    <w:sz w:val="15"/>
                    <w:szCs w:val="15"/>
                  </w:rPr>
                  <w:t>≥50% different native neighbors, n (%)</w:t>
                </w:r>
              </w:sdtContent>
            </w:sdt>
          </w:p>
        </w:tc>
      </w:tr>
      <w:tr w:rsidR="007B6E28" w:rsidRPr="00E00285" w14:paraId="6F6A6073" w14:textId="77777777">
        <w:trPr>
          <w:jc w:val="center"/>
        </w:trPr>
        <w:tc>
          <w:tcPr>
            <w:tcW w:w="1663" w:type="dxa"/>
            <w:tcMar>
              <w:top w:w="50" w:type="dxa"/>
              <w:bottom w:w="50" w:type="dxa"/>
            </w:tcMar>
            <w:vAlign w:val="center"/>
          </w:tcPr>
          <w:p w14:paraId="59DCC35B" w14:textId="77777777" w:rsidR="007B6E28" w:rsidRPr="00E00285" w:rsidRDefault="00000000">
            <w:pPr>
              <w:rPr>
                <w:color w:val="000000" w:themeColor="text1"/>
              </w:rPr>
            </w:pPr>
            <w:r w:rsidRPr="00E00285">
              <w:rPr>
                <w:color w:val="000000" w:themeColor="text1"/>
                <w:sz w:val="15"/>
                <w:szCs w:val="15"/>
              </w:rPr>
              <w:t>Overall</w:t>
            </w:r>
          </w:p>
        </w:tc>
        <w:tc>
          <w:tcPr>
            <w:tcW w:w="1663" w:type="dxa"/>
            <w:tcMar>
              <w:top w:w="50" w:type="dxa"/>
              <w:bottom w:w="50" w:type="dxa"/>
            </w:tcMar>
            <w:vAlign w:val="center"/>
          </w:tcPr>
          <w:p w14:paraId="053F6DD4" w14:textId="77777777" w:rsidR="007B6E28" w:rsidRPr="00E00285" w:rsidRDefault="00000000">
            <w:pPr>
              <w:rPr>
                <w:color w:val="000000" w:themeColor="text1"/>
              </w:rPr>
            </w:pPr>
            <w:r w:rsidRPr="00E00285">
              <w:rPr>
                <w:color w:val="000000" w:themeColor="text1"/>
                <w:sz w:val="15"/>
                <w:szCs w:val="15"/>
              </w:rPr>
              <w:t>1,516</w:t>
            </w:r>
          </w:p>
        </w:tc>
        <w:tc>
          <w:tcPr>
            <w:tcW w:w="1663" w:type="dxa"/>
            <w:tcMar>
              <w:top w:w="50" w:type="dxa"/>
              <w:bottom w:w="50" w:type="dxa"/>
            </w:tcMar>
            <w:vAlign w:val="center"/>
          </w:tcPr>
          <w:p w14:paraId="6D65037A" w14:textId="77777777" w:rsidR="007B6E28" w:rsidRPr="00E00285" w:rsidRDefault="00000000">
            <w:pPr>
              <w:rPr>
                <w:color w:val="000000" w:themeColor="text1"/>
              </w:rPr>
            </w:pPr>
            <w:r w:rsidRPr="00E00285">
              <w:rPr>
                <w:color w:val="000000" w:themeColor="text1"/>
                <w:sz w:val="15"/>
                <w:szCs w:val="15"/>
              </w:rPr>
              <w:t>5.669</w:t>
            </w:r>
          </w:p>
        </w:tc>
        <w:tc>
          <w:tcPr>
            <w:tcW w:w="1663" w:type="dxa"/>
            <w:tcMar>
              <w:top w:w="50" w:type="dxa"/>
              <w:bottom w:w="50" w:type="dxa"/>
            </w:tcMar>
            <w:vAlign w:val="center"/>
          </w:tcPr>
          <w:p w14:paraId="574358A1" w14:textId="77777777" w:rsidR="007B6E28" w:rsidRPr="00E00285" w:rsidRDefault="00000000">
            <w:pPr>
              <w:rPr>
                <w:color w:val="000000" w:themeColor="text1"/>
              </w:rPr>
            </w:pPr>
            <w:r w:rsidRPr="00E00285">
              <w:rPr>
                <w:color w:val="000000" w:themeColor="text1"/>
                <w:sz w:val="15"/>
                <w:szCs w:val="15"/>
              </w:rPr>
              <w:t>0.4613</w:t>
            </w:r>
          </w:p>
        </w:tc>
        <w:tc>
          <w:tcPr>
            <w:tcW w:w="1663" w:type="dxa"/>
            <w:tcMar>
              <w:top w:w="50" w:type="dxa"/>
              <w:bottom w:w="50" w:type="dxa"/>
            </w:tcMar>
            <w:vAlign w:val="center"/>
          </w:tcPr>
          <w:p w14:paraId="4DABF553" w14:textId="77777777" w:rsidR="007B6E28" w:rsidRPr="00E00285" w:rsidRDefault="00000000">
            <w:pPr>
              <w:rPr>
                <w:color w:val="000000" w:themeColor="text1"/>
              </w:rPr>
            </w:pPr>
            <w:r w:rsidRPr="00E00285">
              <w:rPr>
                <w:color w:val="000000" w:themeColor="text1"/>
                <w:sz w:val="15"/>
                <w:szCs w:val="15"/>
              </w:rPr>
              <w:t>1,288 (84.96%)</w:t>
            </w:r>
          </w:p>
        </w:tc>
        <w:tc>
          <w:tcPr>
            <w:tcW w:w="1663" w:type="dxa"/>
            <w:tcMar>
              <w:top w:w="50" w:type="dxa"/>
              <w:bottom w:w="50" w:type="dxa"/>
            </w:tcMar>
            <w:vAlign w:val="center"/>
          </w:tcPr>
          <w:p w14:paraId="58EF4D03" w14:textId="77777777" w:rsidR="007B6E28" w:rsidRPr="00E00285" w:rsidRDefault="00000000">
            <w:pPr>
              <w:rPr>
                <w:color w:val="000000" w:themeColor="text1"/>
              </w:rPr>
            </w:pPr>
            <w:r w:rsidRPr="00E00285">
              <w:rPr>
                <w:color w:val="000000" w:themeColor="text1"/>
                <w:sz w:val="15"/>
                <w:szCs w:val="15"/>
              </w:rPr>
              <w:t>811 (53.50%)</w:t>
            </w:r>
          </w:p>
        </w:tc>
      </w:tr>
      <w:tr w:rsidR="007B6E28" w:rsidRPr="00E00285" w14:paraId="29E97AB6" w14:textId="77777777">
        <w:trPr>
          <w:jc w:val="center"/>
        </w:trPr>
        <w:tc>
          <w:tcPr>
            <w:tcW w:w="1663" w:type="dxa"/>
            <w:tcMar>
              <w:top w:w="50" w:type="dxa"/>
              <w:bottom w:w="50" w:type="dxa"/>
            </w:tcMar>
            <w:vAlign w:val="center"/>
          </w:tcPr>
          <w:p w14:paraId="5F031F5A" w14:textId="77777777" w:rsidR="007B6E28" w:rsidRPr="00E00285" w:rsidRDefault="00000000">
            <w:pPr>
              <w:rPr>
                <w:color w:val="000000" w:themeColor="text1"/>
              </w:rPr>
            </w:pPr>
            <w:r w:rsidRPr="00E00285">
              <w:rPr>
                <w:color w:val="000000" w:themeColor="text1"/>
                <w:sz w:val="15"/>
                <w:szCs w:val="15"/>
              </w:rPr>
              <w:t>Cluster 0</w:t>
            </w:r>
          </w:p>
        </w:tc>
        <w:tc>
          <w:tcPr>
            <w:tcW w:w="1663" w:type="dxa"/>
            <w:tcMar>
              <w:top w:w="50" w:type="dxa"/>
              <w:bottom w:w="50" w:type="dxa"/>
            </w:tcMar>
            <w:vAlign w:val="center"/>
          </w:tcPr>
          <w:p w14:paraId="15D6980A" w14:textId="77777777" w:rsidR="007B6E28" w:rsidRPr="00E00285" w:rsidRDefault="00000000">
            <w:pPr>
              <w:rPr>
                <w:color w:val="000000" w:themeColor="text1"/>
              </w:rPr>
            </w:pPr>
            <w:r w:rsidRPr="00E00285">
              <w:rPr>
                <w:color w:val="000000" w:themeColor="text1"/>
                <w:sz w:val="15"/>
                <w:szCs w:val="15"/>
              </w:rPr>
              <w:t>418</w:t>
            </w:r>
          </w:p>
        </w:tc>
        <w:tc>
          <w:tcPr>
            <w:tcW w:w="1663" w:type="dxa"/>
            <w:tcMar>
              <w:top w:w="50" w:type="dxa"/>
              <w:bottom w:w="50" w:type="dxa"/>
            </w:tcMar>
            <w:vAlign w:val="center"/>
          </w:tcPr>
          <w:p w14:paraId="64937107" w14:textId="77777777" w:rsidR="007B6E28" w:rsidRPr="00E00285" w:rsidRDefault="00000000">
            <w:pPr>
              <w:rPr>
                <w:color w:val="000000" w:themeColor="text1"/>
              </w:rPr>
            </w:pPr>
            <w:r w:rsidRPr="00E00285">
              <w:rPr>
                <w:color w:val="000000" w:themeColor="text1"/>
                <w:sz w:val="15"/>
                <w:szCs w:val="15"/>
              </w:rPr>
              <w:t>5.799</w:t>
            </w:r>
          </w:p>
        </w:tc>
        <w:tc>
          <w:tcPr>
            <w:tcW w:w="1663" w:type="dxa"/>
            <w:tcMar>
              <w:top w:w="50" w:type="dxa"/>
              <w:bottom w:w="50" w:type="dxa"/>
            </w:tcMar>
            <w:vAlign w:val="center"/>
          </w:tcPr>
          <w:p w14:paraId="0763F8A1" w14:textId="77777777" w:rsidR="007B6E28" w:rsidRPr="00E00285" w:rsidRDefault="00000000">
            <w:pPr>
              <w:rPr>
                <w:color w:val="000000" w:themeColor="text1"/>
              </w:rPr>
            </w:pPr>
            <w:r w:rsidRPr="00E00285">
              <w:rPr>
                <w:color w:val="000000" w:themeColor="text1"/>
                <w:sz w:val="15"/>
                <w:szCs w:val="15"/>
              </w:rPr>
              <w:t>0.4868</w:t>
            </w:r>
          </w:p>
        </w:tc>
        <w:tc>
          <w:tcPr>
            <w:tcW w:w="1663" w:type="dxa"/>
            <w:tcMar>
              <w:top w:w="50" w:type="dxa"/>
              <w:bottom w:w="50" w:type="dxa"/>
            </w:tcMar>
            <w:vAlign w:val="center"/>
          </w:tcPr>
          <w:p w14:paraId="2145FF39" w14:textId="77777777" w:rsidR="007B6E28" w:rsidRPr="00E00285" w:rsidRDefault="00000000">
            <w:pPr>
              <w:rPr>
                <w:color w:val="000000" w:themeColor="text1"/>
              </w:rPr>
            </w:pPr>
            <w:r w:rsidRPr="00E00285">
              <w:rPr>
                <w:color w:val="000000" w:themeColor="text1"/>
                <w:sz w:val="15"/>
                <w:szCs w:val="15"/>
              </w:rPr>
              <w:t>393 (94.02%)</w:t>
            </w:r>
          </w:p>
        </w:tc>
        <w:tc>
          <w:tcPr>
            <w:tcW w:w="1663" w:type="dxa"/>
            <w:tcMar>
              <w:top w:w="50" w:type="dxa"/>
              <w:bottom w:w="50" w:type="dxa"/>
            </w:tcMar>
            <w:vAlign w:val="center"/>
          </w:tcPr>
          <w:p w14:paraId="155CF32B" w14:textId="77777777" w:rsidR="007B6E28" w:rsidRPr="00E00285" w:rsidRDefault="00000000">
            <w:pPr>
              <w:rPr>
                <w:color w:val="000000" w:themeColor="text1"/>
              </w:rPr>
            </w:pPr>
            <w:r w:rsidRPr="00E00285">
              <w:rPr>
                <w:color w:val="000000" w:themeColor="text1"/>
                <w:sz w:val="15"/>
                <w:szCs w:val="15"/>
              </w:rPr>
              <w:t>232 (55.50%)</w:t>
            </w:r>
          </w:p>
        </w:tc>
      </w:tr>
      <w:tr w:rsidR="007B6E28" w:rsidRPr="00E00285" w14:paraId="0CE27A77" w14:textId="77777777">
        <w:trPr>
          <w:jc w:val="center"/>
        </w:trPr>
        <w:tc>
          <w:tcPr>
            <w:tcW w:w="1663" w:type="dxa"/>
            <w:tcMar>
              <w:top w:w="50" w:type="dxa"/>
              <w:bottom w:w="50" w:type="dxa"/>
            </w:tcMar>
            <w:vAlign w:val="center"/>
          </w:tcPr>
          <w:p w14:paraId="7D155388" w14:textId="77777777" w:rsidR="007B6E28" w:rsidRPr="00E00285" w:rsidRDefault="00000000">
            <w:pPr>
              <w:rPr>
                <w:color w:val="000000" w:themeColor="text1"/>
              </w:rPr>
            </w:pPr>
            <w:r w:rsidRPr="00E00285">
              <w:rPr>
                <w:color w:val="000000" w:themeColor="text1"/>
                <w:sz w:val="15"/>
                <w:szCs w:val="15"/>
              </w:rPr>
              <w:t>Cluster 1</w:t>
            </w:r>
          </w:p>
        </w:tc>
        <w:tc>
          <w:tcPr>
            <w:tcW w:w="1663" w:type="dxa"/>
            <w:tcMar>
              <w:top w:w="50" w:type="dxa"/>
              <w:bottom w:w="50" w:type="dxa"/>
            </w:tcMar>
            <w:vAlign w:val="center"/>
          </w:tcPr>
          <w:p w14:paraId="36328A2F" w14:textId="77777777" w:rsidR="007B6E28" w:rsidRPr="00E00285" w:rsidRDefault="00000000">
            <w:pPr>
              <w:rPr>
                <w:color w:val="000000" w:themeColor="text1"/>
              </w:rPr>
            </w:pPr>
            <w:r w:rsidRPr="00E00285">
              <w:rPr>
                <w:color w:val="000000" w:themeColor="text1"/>
                <w:sz w:val="15"/>
                <w:szCs w:val="15"/>
              </w:rPr>
              <w:t>394</w:t>
            </w:r>
          </w:p>
        </w:tc>
        <w:tc>
          <w:tcPr>
            <w:tcW w:w="1663" w:type="dxa"/>
            <w:tcMar>
              <w:top w:w="50" w:type="dxa"/>
              <w:bottom w:w="50" w:type="dxa"/>
            </w:tcMar>
            <w:vAlign w:val="center"/>
          </w:tcPr>
          <w:p w14:paraId="4BEBF7A1" w14:textId="77777777" w:rsidR="007B6E28" w:rsidRPr="00E00285" w:rsidRDefault="00000000">
            <w:pPr>
              <w:rPr>
                <w:color w:val="000000" w:themeColor="text1"/>
              </w:rPr>
            </w:pPr>
            <w:r w:rsidRPr="00E00285">
              <w:rPr>
                <w:color w:val="000000" w:themeColor="text1"/>
                <w:sz w:val="15"/>
                <w:szCs w:val="15"/>
              </w:rPr>
              <w:t>5.635</w:t>
            </w:r>
          </w:p>
        </w:tc>
        <w:tc>
          <w:tcPr>
            <w:tcW w:w="1663" w:type="dxa"/>
            <w:tcMar>
              <w:top w:w="50" w:type="dxa"/>
              <w:bottom w:w="50" w:type="dxa"/>
            </w:tcMar>
            <w:vAlign w:val="center"/>
          </w:tcPr>
          <w:p w14:paraId="3687AB10" w14:textId="77777777" w:rsidR="007B6E28" w:rsidRPr="00E00285" w:rsidRDefault="00000000">
            <w:pPr>
              <w:rPr>
                <w:color w:val="000000" w:themeColor="text1"/>
              </w:rPr>
            </w:pPr>
            <w:r w:rsidRPr="00E00285">
              <w:rPr>
                <w:color w:val="000000" w:themeColor="text1"/>
                <w:sz w:val="15"/>
                <w:szCs w:val="15"/>
              </w:rPr>
              <w:t>0.4311</w:t>
            </w:r>
          </w:p>
        </w:tc>
        <w:tc>
          <w:tcPr>
            <w:tcW w:w="1663" w:type="dxa"/>
            <w:tcMar>
              <w:top w:w="50" w:type="dxa"/>
              <w:bottom w:w="50" w:type="dxa"/>
            </w:tcMar>
            <w:vAlign w:val="center"/>
          </w:tcPr>
          <w:p w14:paraId="0DBA5AE9" w14:textId="77777777" w:rsidR="007B6E28" w:rsidRPr="00E00285" w:rsidRDefault="00000000">
            <w:pPr>
              <w:rPr>
                <w:color w:val="000000" w:themeColor="text1"/>
              </w:rPr>
            </w:pPr>
            <w:r w:rsidRPr="00E00285">
              <w:rPr>
                <w:color w:val="000000" w:themeColor="text1"/>
                <w:sz w:val="15"/>
                <w:szCs w:val="15"/>
              </w:rPr>
              <w:t>339 (86.04%)</w:t>
            </w:r>
          </w:p>
        </w:tc>
        <w:tc>
          <w:tcPr>
            <w:tcW w:w="1663" w:type="dxa"/>
            <w:tcMar>
              <w:top w:w="50" w:type="dxa"/>
              <w:bottom w:w="50" w:type="dxa"/>
            </w:tcMar>
            <w:vAlign w:val="center"/>
          </w:tcPr>
          <w:p w14:paraId="413E44CE" w14:textId="77777777" w:rsidR="007B6E28" w:rsidRPr="00E00285" w:rsidRDefault="00000000">
            <w:pPr>
              <w:rPr>
                <w:color w:val="000000" w:themeColor="text1"/>
              </w:rPr>
            </w:pPr>
            <w:r w:rsidRPr="00E00285">
              <w:rPr>
                <w:color w:val="000000" w:themeColor="text1"/>
                <w:sz w:val="15"/>
                <w:szCs w:val="15"/>
              </w:rPr>
              <w:t>195 (49.49%)</w:t>
            </w:r>
          </w:p>
        </w:tc>
      </w:tr>
      <w:tr w:rsidR="007B6E28" w:rsidRPr="00E00285" w14:paraId="46D0C473" w14:textId="77777777">
        <w:trPr>
          <w:jc w:val="center"/>
        </w:trPr>
        <w:tc>
          <w:tcPr>
            <w:tcW w:w="1663" w:type="dxa"/>
            <w:tcMar>
              <w:top w:w="50" w:type="dxa"/>
              <w:bottom w:w="50" w:type="dxa"/>
            </w:tcMar>
            <w:vAlign w:val="center"/>
          </w:tcPr>
          <w:p w14:paraId="6780E2B9" w14:textId="77777777" w:rsidR="007B6E28" w:rsidRPr="00E00285" w:rsidRDefault="00000000">
            <w:pPr>
              <w:rPr>
                <w:color w:val="000000" w:themeColor="text1"/>
              </w:rPr>
            </w:pPr>
            <w:r w:rsidRPr="00E00285">
              <w:rPr>
                <w:color w:val="000000" w:themeColor="text1"/>
                <w:sz w:val="15"/>
                <w:szCs w:val="15"/>
              </w:rPr>
              <w:t>Cluster 2</w:t>
            </w:r>
          </w:p>
        </w:tc>
        <w:tc>
          <w:tcPr>
            <w:tcW w:w="1663" w:type="dxa"/>
            <w:tcMar>
              <w:top w:w="50" w:type="dxa"/>
              <w:bottom w:w="50" w:type="dxa"/>
            </w:tcMar>
            <w:vAlign w:val="center"/>
          </w:tcPr>
          <w:p w14:paraId="5686B596" w14:textId="77777777" w:rsidR="007B6E28" w:rsidRPr="00E00285" w:rsidRDefault="00000000">
            <w:pPr>
              <w:rPr>
                <w:color w:val="000000" w:themeColor="text1"/>
              </w:rPr>
            </w:pPr>
            <w:r w:rsidRPr="00E00285">
              <w:rPr>
                <w:color w:val="000000" w:themeColor="text1"/>
                <w:sz w:val="15"/>
                <w:szCs w:val="15"/>
              </w:rPr>
              <w:t>269</w:t>
            </w:r>
          </w:p>
        </w:tc>
        <w:tc>
          <w:tcPr>
            <w:tcW w:w="1663" w:type="dxa"/>
            <w:tcMar>
              <w:top w:w="50" w:type="dxa"/>
              <w:bottom w:w="50" w:type="dxa"/>
            </w:tcMar>
            <w:vAlign w:val="center"/>
          </w:tcPr>
          <w:p w14:paraId="08F1284B" w14:textId="77777777" w:rsidR="007B6E28" w:rsidRPr="00E00285" w:rsidRDefault="00000000">
            <w:pPr>
              <w:rPr>
                <w:color w:val="000000" w:themeColor="text1"/>
              </w:rPr>
            </w:pPr>
            <w:r w:rsidRPr="00E00285">
              <w:rPr>
                <w:color w:val="000000" w:themeColor="text1"/>
                <w:sz w:val="15"/>
                <w:szCs w:val="15"/>
              </w:rPr>
              <w:t>5.230</w:t>
            </w:r>
          </w:p>
        </w:tc>
        <w:tc>
          <w:tcPr>
            <w:tcW w:w="1663" w:type="dxa"/>
            <w:tcMar>
              <w:top w:w="50" w:type="dxa"/>
              <w:bottom w:w="50" w:type="dxa"/>
            </w:tcMar>
            <w:vAlign w:val="center"/>
          </w:tcPr>
          <w:p w14:paraId="26A36ED5" w14:textId="77777777" w:rsidR="007B6E28" w:rsidRPr="00E00285" w:rsidRDefault="00000000">
            <w:pPr>
              <w:rPr>
                <w:color w:val="000000" w:themeColor="text1"/>
              </w:rPr>
            </w:pPr>
            <w:r w:rsidRPr="00E00285">
              <w:rPr>
                <w:color w:val="000000" w:themeColor="text1"/>
                <w:sz w:val="15"/>
                <w:szCs w:val="15"/>
              </w:rPr>
              <w:t>0.3156</w:t>
            </w:r>
          </w:p>
        </w:tc>
        <w:tc>
          <w:tcPr>
            <w:tcW w:w="1663" w:type="dxa"/>
            <w:tcMar>
              <w:top w:w="50" w:type="dxa"/>
              <w:bottom w:w="50" w:type="dxa"/>
            </w:tcMar>
            <w:vAlign w:val="center"/>
          </w:tcPr>
          <w:p w14:paraId="66DFB3F3" w14:textId="77777777" w:rsidR="007B6E28" w:rsidRPr="00E00285" w:rsidRDefault="00000000">
            <w:pPr>
              <w:rPr>
                <w:color w:val="000000" w:themeColor="text1"/>
              </w:rPr>
            </w:pPr>
            <w:r w:rsidRPr="00E00285">
              <w:rPr>
                <w:color w:val="000000" w:themeColor="text1"/>
                <w:sz w:val="15"/>
                <w:szCs w:val="15"/>
              </w:rPr>
              <w:t>168 (62.45%)</w:t>
            </w:r>
          </w:p>
        </w:tc>
        <w:tc>
          <w:tcPr>
            <w:tcW w:w="1663" w:type="dxa"/>
            <w:tcMar>
              <w:top w:w="50" w:type="dxa"/>
              <w:bottom w:w="50" w:type="dxa"/>
            </w:tcMar>
            <w:vAlign w:val="center"/>
          </w:tcPr>
          <w:p w14:paraId="2F075190" w14:textId="77777777" w:rsidR="007B6E28" w:rsidRPr="00E00285" w:rsidRDefault="00000000">
            <w:pPr>
              <w:rPr>
                <w:color w:val="000000" w:themeColor="text1"/>
              </w:rPr>
            </w:pPr>
            <w:r w:rsidRPr="00E00285">
              <w:rPr>
                <w:color w:val="000000" w:themeColor="text1"/>
                <w:sz w:val="15"/>
                <w:szCs w:val="15"/>
              </w:rPr>
              <w:t>90 (33.46%)</w:t>
            </w:r>
          </w:p>
        </w:tc>
      </w:tr>
      <w:tr w:rsidR="007B6E28" w:rsidRPr="00E00285" w14:paraId="17A5850F" w14:textId="77777777">
        <w:trPr>
          <w:jc w:val="center"/>
        </w:trPr>
        <w:tc>
          <w:tcPr>
            <w:tcW w:w="1663" w:type="dxa"/>
            <w:tcMar>
              <w:top w:w="50" w:type="dxa"/>
              <w:bottom w:w="50" w:type="dxa"/>
            </w:tcMar>
            <w:vAlign w:val="center"/>
          </w:tcPr>
          <w:p w14:paraId="520D4006" w14:textId="77777777" w:rsidR="007B6E28" w:rsidRPr="00E00285" w:rsidRDefault="00000000">
            <w:pPr>
              <w:rPr>
                <w:color w:val="000000" w:themeColor="text1"/>
              </w:rPr>
            </w:pPr>
            <w:r w:rsidRPr="00E00285">
              <w:rPr>
                <w:color w:val="000000" w:themeColor="text1"/>
                <w:sz w:val="15"/>
                <w:szCs w:val="15"/>
              </w:rPr>
              <w:t>Cluster 3</w:t>
            </w:r>
          </w:p>
        </w:tc>
        <w:tc>
          <w:tcPr>
            <w:tcW w:w="1663" w:type="dxa"/>
            <w:tcMar>
              <w:top w:w="50" w:type="dxa"/>
              <w:bottom w:w="50" w:type="dxa"/>
            </w:tcMar>
            <w:vAlign w:val="center"/>
          </w:tcPr>
          <w:p w14:paraId="615E149F" w14:textId="77777777" w:rsidR="007B6E28" w:rsidRPr="00E00285" w:rsidRDefault="00000000">
            <w:pPr>
              <w:rPr>
                <w:color w:val="000000" w:themeColor="text1"/>
              </w:rPr>
            </w:pPr>
            <w:r w:rsidRPr="00E00285">
              <w:rPr>
                <w:color w:val="000000" w:themeColor="text1"/>
                <w:sz w:val="15"/>
                <w:szCs w:val="15"/>
              </w:rPr>
              <w:t>267</w:t>
            </w:r>
          </w:p>
        </w:tc>
        <w:tc>
          <w:tcPr>
            <w:tcW w:w="1663" w:type="dxa"/>
            <w:tcMar>
              <w:top w:w="50" w:type="dxa"/>
              <w:bottom w:w="50" w:type="dxa"/>
            </w:tcMar>
            <w:vAlign w:val="center"/>
          </w:tcPr>
          <w:p w14:paraId="714A0DEC" w14:textId="77777777" w:rsidR="007B6E28" w:rsidRPr="00E00285" w:rsidRDefault="00000000">
            <w:pPr>
              <w:rPr>
                <w:color w:val="000000" w:themeColor="text1"/>
              </w:rPr>
            </w:pPr>
            <w:r w:rsidRPr="00E00285">
              <w:rPr>
                <w:color w:val="000000" w:themeColor="text1"/>
                <w:sz w:val="15"/>
                <w:szCs w:val="15"/>
              </w:rPr>
              <w:t>5.854</w:t>
            </w:r>
          </w:p>
        </w:tc>
        <w:tc>
          <w:tcPr>
            <w:tcW w:w="1663" w:type="dxa"/>
            <w:tcMar>
              <w:top w:w="50" w:type="dxa"/>
              <w:bottom w:w="50" w:type="dxa"/>
            </w:tcMar>
            <w:vAlign w:val="center"/>
          </w:tcPr>
          <w:p w14:paraId="410501BB" w14:textId="77777777" w:rsidR="007B6E28" w:rsidRPr="00E00285" w:rsidRDefault="00000000">
            <w:pPr>
              <w:rPr>
                <w:color w:val="000000" w:themeColor="text1"/>
              </w:rPr>
            </w:pPr>
            <w:r w:rsidRPr="00E00285">
              <w:rPr>
                <w:color w:val="000000" w:themeColor="text1"/>
                <w:sz w:val="15"/>
                <w:szCs w:val="15"/>
              </w:rPr>
              <w:t>0.4423</w:t>
            </w:r>
          </w:p>
        </w:tc>
        <w:tc>
          <w:tcPr>
            <w:tcW w:w="1663" w:type="dxa"/>
            <w:tcMar>
              <w:top w:w="50" w:type="dxa"/>
              <w:bottom w:w="50" w:type="dxa"/>
            </w:tcMar>
            <w:vAlign w:val="center"/>
          </w:tcPr>
          <w:p w14:paraId="78204B75" w14:textId="77777777" w:rsidR="007B6E28" w:rsidRPr="00E00285" w:rsidRDefault="00000000">
            <w:pPr>
              <w:rPr>
                <w:color w:val="000000" w:themeColor="text1"/>
              </w:rPr>
            </w:pPr>
            <w:r w:rsidRPr="00E00285">
              <w:rPr>
                <w:color w:val="000000" w:themeColor="text1"/>
                <w:sz w:val="15"/>
                <w:szCs w:val="15"/>
              </w:rPr>
              <w:t>222 (83.15%)</w:t>
            </w:r>
          </w:p>
        </w:tc>
        <w:tc>
          <w:tcPr>
            <w:tcW w:w="1663" w:type="dxa"/>
            <w:tcMar>
              <w:top w:w="50" w:type="dxa"/>
              <w:bottom w:w="50" w:type="dxa"/>
            </w:tcMar>
            <w:vAlign w:val="center"/>
          </w:tcPr>
          <w:p w14:paraId="09FBB042" w14:textId="77777777" w:rsidR="007B6E28" w:rsidRPr="00E00285" w:rsidRDefault="00000000">
            <w:pPr>
              <w:rPr>
                <w:color w:val="000000" w:themeColor="text1"/>
              </w:rPr>
            </w:pPr>
            <w:r w:rsidRPr="00E00285">
              <w:rPr>
                <w:color w:val="000000" w:themeColor="text1"/>
                <w:sz w:val="15"/>
                <w:szCs w:val="15"/>
              </w:rPr>
              <w:t>147 (55.06%)</w:t>
            </w:r>
          </w:p>
        </w:tc>
      </w:tr>
      <w:tr w:rsidR="007B6E28" w:rsidRPr="00E00285" w14:paraId="4B5B7862" w14:textId="77777777">
        <w:trPr>
          <w:jc w:val="center"/>
        </w:trPr>
        <w:tc>
          <w:tcPr>
            <w:tcW w:w="1663" w:type="dxa"/>
            <w:tcMar>
              <w:top w:w="50" w:type="dxa"/>
              <w:bottom w:w="50" w:type="dxa"/>
            </w:tcMar>
            <w:vAlign w:val="center"/>
          </w:tcPr>
          <w:p w14:paraId="43EE42F3" w14:textId="77777777" w:rsidR="007B6E28" w:rsidRPr="00E00285" w:rsidRDefault="00000000">
            <w:pPr>
              <w:rPr>
                <w:color w:val="000000" w:themeColor="text1"/>
              </w:rPr>
            </w:pPr>
            <w:r w:rsidRPr="00E00285">
              <w:rPr>
                <w:color w:val="000000" w:themeColor="text1"/>
                <w:sz w:val="15"/>
                <w:szCs w:val="15"/>
              </w:rPr>
              <w:t>Cluster 4</w:t>
            </w:r>
          </w:p>
        </w:tc>
        <w:tc>
          <w:tcPr>
            <w:tcW w:w="1663" w:type="dxa"/>
            <w:tcMar>
              <w:top w:w="50" w:type="dxa"/>
              <w:bottom w:w="50" w:type="dxa"/>
            </w:tcMar>
            <w:vAlign w:val="center"/>
          </w:tcPr>
          <w:p w14:paraId="268B4E74" w14:textId="77777777" w:rsidR="007B6E28" w:rsidRPr="00E00285" w:rsidRDefault="00000000">
            <w:pPr>
              <w:rPr>
                <w:color w:val="000000" w:themeColor="text1"/>
              </w:rPr>
            </w:pPr>
            <w:r w:rsidRPr="00E00285">
              <w:rPr>
                <w:color w:val="000000" w:themeColor="text1"/>
                <w:sz w:val="15"/>
                <w:szCs w:val="15"/>
              </w:rPr>
              <w:t>168</w:t>
            </w:r>
          </w:p>
        </w:tc>
        <w:tc>
          <w:tcPr>
            <w:tcW w:w="1663" w:type="dxa"/>
            <w:tcMar>
              <w:top w:w="50" w:type="dxa"/>
              <w:bottom w:w="50" w:type="dxa"/>
            </w:tcMar>
            <w:vAlign w:val="center"/>
          </w:tcPr>
          <w:p w14:paraId="494D7A61" w14:textId="77777777" w:rsidR="007B6E28" w:rsidRPr="00E00285" w:rsidRDefault="00000000">
            <w:pPr>
              <w:rPr>
                <w:color w:val="000000" w:themeColor="text1"/>
              </w:rPr>
            </w:pPr>
            <w:r w:rsidRPr="00E00285">
              <w:rPr>
                <w:color w:val="000000" w:themeColor="text1"/>
                <w:sz w:val="15"/>
                <w:szCs w:val="15"/>
              </w:rPr>
              <w:t>5.833</w:t>
            </w:r>
          </w:p>
        </w:tc>
        <w:tc>
          <w:tcPr>
            <w:tcW w:w="1663" w:type="dxa"/>
            <w:tcMar>
              <w:top w:w="50" w:type="dxa"/>
              <w:bottom w:w="50" w:type="dxa"/>
            </w:tcMar>
            <w:vAlign w:val="center"/>
          </w:tcPr>
          <w:p w14:paraId="3C5CA498" w14:textId="77777777" w:rsidR="007B6E28" w:rsidRPr="00E00285" w:rsidRDefault="00000000">
            <w:pPr>
              <w:rPr>
                <w:color w:val="000000" w:themeColor="text1"/>
              </w:rPr>
            </w:pPr>
            <w:r w:rsidRPr="00E00285">
              <w:rPr>
                <w:color w:val="000000" w:themeColor="text1"/>
                <w:sz w:val="15"/>
                <w:szCs w:val="15"/>
              </w:rPr>
              <w:t>0.7320</w:t>
            </w:r>
          </w:p>
        </w:tc>
        <w:tc>
          <w:tcPr>
            <w:tcW w:w="1663" w:type="dxa"/>
            <w:tcMar>
              <w:top w:w="50" w:type="dxa"/>
              <w:bottom w:w="50" w:type="dxa"/>
            </w:tcMar>
            <w:vAlign w:val="center"/>
          </w:tcPr>
          <w:p w14:paraId="49232E64" w14:textId="77777777" w:rsidR="007B6E28" w:rsidRPr="00E00285" w:rsidRDefault="00000000">
            <w:pPr>
              <w:rPr>
                <w:color w:val="000000" w:themeColor="text1"/>
              </w:rPr>
            </w:pPr>
            <w:r w:rsidRPr="00E00285">
              <w:rPr>
                <w:color w:val="000000" w:themeColor="text1"/>
                <w:sz w:val="15"/>
                <w:szCs w:val="15"/>
              </w:rPr>
              <w:t>166 (98.81%)</w:t>
            </w:r>
          </w:p>
        </w:tc>
        <w:tc>
          <w:tcPr>
            <w:tcW w:w="1663" w:type="dxa"/>
            <w:tcMar>
              <w:top w:w="50" w:type="dxa"/>
              <w:bottom w:w="50" w:type="dxa"/>
            </w:tcMar>
            <w:vAlign w:val="center"/>
          </w:tcPr>
          <w:p w14:paraId="65B77DA1" w14:textId="77777777" w:rsidR="007B6E28" w:rsidRPr="00E00285" w:rsidRDefault="00000000">
            <w:pPr>
              <w:rPr>
                <w:color w:val="000000" w:themeColor="text1"/>
              </w:rPr>
            </w:pPr>
            <w:r w:rsidRPr="00E00285">
              <w:rPr>
                <w:color w:val="000000" w:themeColor="text1"/>
                <w:sz w:val="15"/>
                <w:szCs w:val="15"/>
              </w:rPr>
              <w:t>147 (87.50%)</w:t>
            </w:r>
          </w:p>
        </w:tc>
      </w:tr>
    </w:tbl>
    <w:p w14:paraId="0F261ADA" w14:textId="77777777" w:rsidR="007B6E28" w:rsidRPr="00E00285" w:rsidRDefault="00000000">
      <w:pPr>
        <w:rPr>
          <w:color w:val="000000" w:themeColor="text1"/>
        </w:rPr>
      </w:pPr>
      <w:r w:rsidRPr="00E00285">
        <w:rPr>
          <w:b/>
          <w:bCs/>
          <w:color w:val="000000" w:themeColor="text1"/>
        </w:rPr>
        <w:t>(B)</w:t>
      </w:r>
      <w:r w:rsidRPr="00E00285">
        <w:rPr>
          <w:color w:val="000000" w:themeColor="text1"/>
        </w:rPr>
        <w:t xml:space="preserve"> Sensitivity to graph construction.</w:t>
      </w:r>
    </w:p>
    <w:tbl>
      <w:tblPr>
        <w:tblStyle w:val="ab"/>
        <w:tblW w:w="99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3"/>
        <w:gridCol w:w="1663"/>
        <w:gridCol w:w="1663"/>
        <w:gridCol w:w="1663"/>
        <w:gridCol w:w="1663"/>
        <w:gridCol w:w="1663"/>
      </w:tblGrid>
      <w:tr w:rsidR="007B6E28" w:rsidRPr="00E00285" w14:paraId="607F5984" w14:textId="77777777">
        <w:trPr>
          <w:tblHeader/>
          <w:jc w:val="center"/>
        </w:trPr>
        <w:tc>
          <w:tcPr>
            <w:tcW w:w="1663" w:type="dxa"/>
            <w:tcMar>
              <w:top w:w="50" w:type="dxa"/>
              <w:bottom w:w="50" w:type="dxa"/>
            </w:tcMar>
            <w:vAlign w:val="center"/>
          </w:tcPr>
          <w:p w14:paraId="43E0C91A" w14:textId="77777777" w:rsidR="007B6E28" w:rsidRPr="00E00285" w:rsidRDefault="00000000">
            <w:pPr>
              <w:rPr>
                <w:color w:val="000000" w:themeColor="text1"/>
              </w:rPr>
            </w:pPr>
            <w:r w:rsidRPr="00E00285">
              <w:rPr>
                <w:b/>
                <w:bCs/>
                <w:color w:val="000000" w:themeColor="text1"/>
                <w:sz w:val="15"/>
                <w:szCs w:val="15"/>
              </w:rPr>
              <w:t>Graph</w:t>
            </w:r>
          </w:p>
        </w:tc>
        <w:tc>
          <w:tcPr>
            <w:tcW w:w="1663" w:type="dxa"/>
            <w:tcMar>
              <w:top w:w="50" w:type="dxa"/>
              <w:bottom w:w="50" w:type="dxa"/>
            </w:tcMar>
            <w:vAlign w:val="center"/>
          </w:tcPr>
          <w:p w14:paraId="218FD538" w14:textId="77777777" w:rsidR="007B6E28" w:rsidRPr="00E00285" w:rsidRDefault="00000000">
            <w:pPr>
              <w:rPr>
                <w:color w:val="000000" w:themeColor="text1"/>
              </w:rPr>
            </w:pPr>
            <w:r w:rsidRPr="00E00285">
              <w:rPr>
                <w:b/>
                <w:bCs/>
                <w:color w:val="000000" w:themeColor="text1"/>
                <w:sz w:val="15"/>
                <w:szCs w:val="15"/>
              </w:rPr>
              <w:t>Isolated spots</w:t>
            </w:r>
          </w:p>
        </w:tc>
        <w:tc>
          <w:tcPr>
            <w:tcW w:w="1663" w:type="dxa"/>
            <w:tcMar>
              <w:top w:w="50" w:type="dxa"/>
              <w:bottom w:w="50" w:type="dxa"/>
            </w:tcMar>
            <w:vAlign w:val="center"/>
          </w:tcPr>
          <w:p w14:paraId="25F398F7" w14:textId="77777777" w:rsidR="007B6E28" w:rsidRPr="00E00285" w:rsidRDefault="00000000">
            <w:pPr>
              <w:rPr>
                <w:color w:val="000000" w:themeColor="text1"/>
              </w:rPr>
            </w:pPr>
            <w:r w:rsidRPr="00E00285">
              <w:rPr>
                <w:b/>
                <w:bCs/>
                <w:color w:val="000000" w:themeColor="text1"/>
                <w:sz w:val="15"/>
                <w:szCs w:val="15"/>
              </w:rPr>
              <w:t>Mean degree</w:t>
            </w:r>
          </w:p>
        </w:tc>
        <w:tc>
          <w:tcPr>
            <w:tcW w:w="1663" w:type="dxa"/>
            <w:tcMar>
              <w:top w:w="50" w:type="dxa"/>
              <w:bottom w:w="50" w:type="dxa"/>
            </w:tcMar>
            <w:vAlign w:val="center"/>
          </w:tcPr>
          <w:p w14:paraId="0D400A7C" w14:textId="77777777" w:rsidR="007B6E28" w:rsidRPr="00E00285" w:rsidRDefault="00000000">
            <w:pPr>
              <w:rPr>
                <w:color w:val="000000" w:themeColor="text1"/>
              </w:rPr>
            </w:pPr>
            <w:r w:rsidRPr="00E00285">
              <w:rPr>
                <w:b/>
                <w:bCs/>
                <w:color w:val="000000" w:themeColor="text1"/>
                <w:sz w:val="15"/>
                <w:szCs w:val="15"/>
              </w:rPr>
              <w:t>Mean neighbor-difference fraction</w:t>
            </w:r>
          </w:p>
        </w:tc>
        <w:tc>
          <w:tcPr>
            <w:tcW w:w="1663" w:type="dxa"/>
            <w:tcMar>
              <w:top w:w="50" w:type="dxa"/>
              <w:bottom w:w="50" w:type="dxa"/>
            </w:tcMar>
            <w:vAlign w:val="center"/>
          </w:tcPr>
          <w:p w14:paraId="6CDEE6D9" w14:textId="77777777" w:rsidR="007B6E28" w:rsidRPr="00E00285" w:rsidRDefault="00000000">
            <w:pPr>
              <w:rPr>
                <w:color w:val="000000" w:themeColor="text1"/>
              </w:rPr>
            </w:pPr>
            <w:sdt>
              <w:sdtPr>
                <w:rPr>
                  <w:color w:val="000000" w:themeColor="text1"/>
                </w:rPr>
                <w:tag w:val="goog_rdk_7"/>
                <w:id w:val="-1225902267"/>
              </w:sdtPr>
              <w:sdtContent>
                <w:r w:rsidRPr="00E00285">
                  <w:rPr>
                    <w:rFonts w:ascii="Arial Unicode MS" w:eastAsia="Arial Unicode MS" w:hAnsi="Arial Unicode MS" w:cs="Arial Unicode MS"/>
                    <w:b/>
                    <w:bCs/>
                    <w:color w:val="000000" w:themeColor="text1"/>
                    <w:sz w:val="15"/>
                    <w:szCs w:val="15"/>
                  </w:rPr>
                  <w:t>≥1 different-neighbor fraction</w:t>
                </w:r>
              </w:sdtContent>
            </w:sdt>
          </w:p>
        </w:tc>
        <w:tc>
          <w:tcPr>
            <w:tcW w:w="1663" w:type="dxa"/>
            <w:tcMar>
              <w:top w:w="50" w:type="dxa"/>
              <w:bottom w:w="50" w:type="dxa"/>
            </w:tcMar>
            <w:vAlign w:val="center"/>
          </w:tcPr>
          <w:p w14:paraId="3E4B0EB0" w14:textId="77777777" w:rsidR="007B6E28" w:rsidRPr="00E00285" w:rsidRDefault="00000000">
            <w:pPr>
              <w:rPr>
                <w:color w:val="000000" w:themeColor="text1"/>
              </w:rPr>
            </w:pPr>
            <w:sdt>
              <w:sdtPr>
                <w:rPr>
                  <w:color w:val="000000" w:themeColor="text1"/>
                </w:rPr>
                <w:tag w:val="goog_rdk_8"/>
                <w:id w:val="-308649330"/>
              </w:sdtPr>
              <w:sdtContent>
                <w:r w:rsidRPr="00E00285">
                  <w:rPr>
                    <w:rFonts w:ascii="Arial Unicode MS" w:eastAsia="Arial Unicode MS" w:hAnsi="Arial Unicode MS" w:cs="Arial Unicode MS"/>
                    <w:b/>
                    <w:bCs/>
                    <w:color w:val="000000" w:themeColor="text1"/>
                    <w:sz w:val="15"/>
                    <w:szCs w:val="15"/>
                  </w:rPr>
                  <w:t>≥50% different-neighbor fraction</w:t>
                </w:r>
              </w:sdtContent>
            </w:sdt>
          </w:p>
        </w:tc>
      </w:tr>
      <w:tr w:rsidR="007B6E28" w:rsidRPr="00E00285" w14:paraId="6354FC07" w14:textId="77777777">
        <w:trPr>
          <w:jc w:val="center"/>
        </w:trPr>
        <w:tc>
          <w:tcPr>
            <w:tcW w:w="1663" w:type="dxa"/>
            <w:tcMar>
              <w:top w:w="50" w:type="dxa"/>
              <w:bottom w:w="50" w:type="dxa"/>
            </w:tcMar>
            <w:vAlign w:val="center"/>
          </w:tcPr>
          <w:p w14:paraId="109A0628" w14:textId="77777777" w:rsidR="007B6E28" w:rsidRPr="00E00285" w:rsidRDefault="00000000">
            <w:pPr>
              <w:rPr>
                <w:color w:val="000000" w:themeColor="text1"/>
              </w:rPr>
            </w:pPr>
            <w:r w:rsidRPr="00E00285">
              <w:rPr>
                <w:color w:val="000000" w:themeColor="text1"/>
                <w:sz w:val="15"/>
                <w:szCs w:val="15"/>
              </w:rPr>
              <w:t>Native array adjacency</w:t>
            </w:r>
          </w:p>
        </w:tc>
        <w:tc>
          <w:tcPr>
            <w:tcW w:w="1663" w:type="dxa"/>
            <w:tcMar>
              <w:top w:w="50" w:type="dxa"/>
              <w:bottom w:w="50" w:type="dxa"/>
            </w:tcMar>
            <w:vAlign w:val="center"/>
          </w:tcPr>
          <w:p w14:paraId="7FEAE0E7" w14:textId="77777777" w:rsidR="007B6E28" w:rsidRPr="00E00285" w:rsidRDefault="00000000">
            <w:pPr>
              <w:rPr>
                <w:color w:val="000000" w:themeColor="text1"/>
              </w:rPr>
            </w:pPr>
            <w:r w:rsidRPr="00E00285">
              <w:rPr>
                <w:color w:val="000000" w:themeColor="text1"/>
                <w:sz w:val="15"/>
                <w:szCs w:val="15"/>
              </w:rPr>
              <w:t>0</w:t>
            </w:r>
          </w:p>
        </w:tc>
        <w:tc>
          <w:tcPr>
            <w:tcW w:w="1663" w:type="dxa"/>
            <w:tcMar>
              <w:top w:w="50" w:type="dxa"/>
              <w:bottom w:w="50" w:type="dxa"/>
            </w:tcMar>
            <w:vAlign w:val="center"/>
          </w:tcPr>
          <w:p w14:paraId="70C2FCD8" w14:textId="77777777" w:rsidR="007B6E28" w:rsidRPr="00E00285" w:rsidRDefault="00000000">
            <w:pPr>
              <w:rPr>
                <w:color w:val="000000" w:themeColor="text1"/>
              </w:rPr>
            </w:pPr>
            <w:r w:rsidRPr="00E00285">
              <w:rPr>
                <w:color w:val="000000" w:themeColor="text1"/>
                <w:sz w:val="15"/>
                <w:szCs w:val="15"/>
              </w:rPr>
              <w:t>5.6689</w:t>
            </w:r>
          </w:p>
        </w:tc>
        <w:tc>
          <w:tcPr>
            <w:tcW w:w="1663" w:type="dxa"/>
            <w:tcMar>
              <w:top w:w="50" w:type="dxa"/>
              <w:bottom w:w="50" w:type="dxa"/>
            </w:tcMar>
            <w:vAlign w:val="center"/>
          </w:tcPr>
          <w:p w14:paraId="036ADF49" w14:textId="77777777" w:rsidR="007B6E28" w:rsidRPr="00E00285" w:rsidRDefault="00000000">
            <w:pPr>
              <w:rPr>
                <w:color w:val="000000" w:themeColor="text1"/>
              </w:rPr>
            </w:pPr>
            <w:r w:rsidRPr="00E00285">
              <w:rPr>
                <w:color w:val="000000" w:themeColor="text1"/>
                <w:sz w:val="15"/>
                <w:szCs w:val="15"/>
              </w:rPr>
              <w:t>0.4613</w:t>
            </w:r>
          </w:p>
        </w:tc>
        <w:tc>
          <w:tcPr>
            <w:tcW w:w="1663" w:type="dxa"/>
            <w:tcMar>
              <w:top w:w="50" w:type="dxa"/>
              <w:bottom w:w="50" w:type="dxa"/>
            </w:tcMar>
            <w:vAlign w:val="center"/>
          </w:tcPr>
          <w:p w14:paraId="3604ADE4" w14:textId="77777777" w:rsidR="007B6E28" w:rsidRPr="00E00285" w:rsidRDefault="00000000">
            <w:pPr>
              <w:rPr>
                <w:color w:val="000000" w:themeColor="text1"/>
              </w:rPr>
            </w:pPr>
            <w:r w:rsidRPr="00E00285">
              <w:rPr>
                <w:color w:val="000000" w:themeColor="text1"/>
                <w:sz w:val="15"/>
                <w:szCs w:val="15"/>
              </w:rPr>
              <w:t>84.96%</w:t>
            </w:r>
          </w:p>
        </w:tc>
        <w:tc>
          <w:tcPr>
            <w:tcW w:w="1663" w:type="dxa"/>
            <w:tcMar>
              <w:top w:w="50" w:type="dxa"/>
              <w:bottom w:w="50" w:type="dxa"/>
            </w:tcMar>
            <w:vAlign w:val="center"/>
          </w:tcPr>
          <w:p w14:paraId="6C8FCA68" w14:textId="77777777" w:rsidR="007B6E28" w:rsidRPr="00E00285" w:rsidRDefault="00000000">
            <w:pPr>
              <w:rPr>
                <w:color w:val="000000" w:themeColor="text1"/>
              </w:rPr>
            </w:pPr>
            <w:r w:rsidRPr="00E00285">
              <w:rPr>
                <w:color w:val="000000" w:themeColor="text1"/>
                <w:sz w:val="15"/>
                <w:szCs w:val="15"/>
              </w:rPr>
              <w:t>53.50%</w:t>
            </w:r>
          </w:p>
        </w:tc>
      </w:tr>
      <w:tr w:rsidR="007B6E28" w:rsidRPr="00E00285" w14:paraId="3F6236BB" w14:textId="77777777">
        <w:trPr>
          <w:jc w:val="center"/>
        </w:trPr>
        <w:tc>
          <w:tcPr>
            <w:tcW w:w="1663" w:type="dxa"/>
            <w:tcMar>
              <w:top w:w="50" w:type="dxa"/>
              <w:bottom w:w="50" w:type="dxa"/>
            </w:tcMar>
            <w:vAlign w:val="center"/>
          </w:tcPr>
          <w:p w14:paraId="4E55894F" w14:textId="77777777" w:rsidR="007B6E28" w:rsidRPr="00E00285" w:rsidRDefault="00000000">
            <w:pPr>
              <w:rPr>
                <w:color w:val="000000" w:themeColor="text1"/>
              </w:rPr>
            </w:pPr>
            <w:r w:rsidRPr="00E00285">
              <w:rPr>
                <w:color w:val="000000" w:themeColor="text1"/>
                <w:sz w:val="15"/>
                <w:szCs w:val="15"/>
              </w:rPr>
              <w:t>Distance-limited graph</w:t>
            </w:r>
          </w:p>
        </w:tc>
        <w:tc>
          <w:tcPr>
            <w:tcW w:w="1663" w:type="dxa"/>
            <w:tcMar>
              <w:top w:w="50" w:type="dxa"/>
              <w:bottom w:w="50" w:type="dxa"/>
            </w:tcMar>
            <w:vAlign w:val="center"/>
          </w:tcPr>
          <w:p w14:paraId="428183B3" w14:textId="77777777" w:rsidR="007B6E28" w:rsidRPr="00E00285" w:rsidRDefault="00000000">
            <w:pPr>
              <w:rPr>
                <w:color w:val="000000" w:themeColor="text1"/>
              </w:rPr>
            </w:pPr>
            <w:r w:rsidRPr="00E00285">
              <w:rPr>
                <w:color w:val="000000" w:themeColor="text1"/>
                <w:sz w:val="15"/>
                <w:szCs w:val="15"/>
              </w:rPr>
              <w:t>0</w:t>
            </w:r>
          </w:p>
        </w:tc>
        <w:tc>
          <w:tcPr>
            <w:tcW w:w="1663" w:type="dxa"/>
            <w:tcMar>
              <w:top w:w="50" w:type="dxa"/>
              <w:bottom w:w="50" w:type="dxa"/>
            </w:tcMar>
            <w:vAlign w:val="center"/>
          </w:tcPr>
          <w:p w14:paraId="7DA6485C" w14:textId="77777777" w:rsidR="007B6E28" w:rsidRPr="00E00285" w:rsidRDefault="00000000">
            <w:pPr>
              <w:rPr>
                <w:color w:val="000000" w:themeColor="text1"/>
              </w:rPr>
            </w:pPr>
            <w:r w:rsidRPr="00E00285">
              <w:rPr>
                <w:color w:val="000000" w:themeColor="text1"/>
                <w:sz w:val="15"/>
                <w:szCs w:val="15"/>
              </w:rPr>
              <w:t>5.6689</w:t>
            </w:r>
          </w:p>
        </w:tc>
        <w:tc>
          <w:tcPr>
            <w:tcW w:w="1663" w:type="dxa"/>
            <w:tcMar>
              <w:top w:w="50" w:type="dxa"/>
              <w:bottom w:w="50" w:type="dxa"/>
            </w:tcMar>
            <w:vAlign w:val="center"/>
          </w:tcPr>
          <w:p w14:paraId="6F32E58F" w14:textId="77777777" w:rsidR="007B6E28" w:rsidRPr="00E00285" w:rsidRDefault="00000000">
            <w:pPr>
              <w:rPr>
                <w:color w:val="000000" w:themeColor="text1"/>
              </w:rPr>
            </w:pPr>
            <w:r w:rsidRPr="00E00285">
              <w:rPr>
                <w:color w:val="000000" w:themeColor="text1"/>
                <w:sz w:val="15"/>
                <w:szCs w:val="15"/>
              </w:rPr>
              <w:t>0.4613</w:t>
            </w:r>
          </w:p>
        </w:tc>
        <w:tc>
          <w:tcPr>
            <w:tcW w:w="1663" w:type="dxa"/>
            <w:tcMar>
              <w:top w:w="50" w:type="dxa"/>
              <w:bottom w:w="50" w:type="dxa"/>
            </w:tcMar>
            <w:vAlign w:val="center"/>
          </w:tcPr>
          <w:p w14:paraId="0E9D8DC6" w14:textId="77777777" w:rsidR="007B6E28" w:rsidRPr="00E00285" w:rsidRDefault="00000000">
            <w:pPr>
              <w:rPr>
                <w:color w:val="000000" w:themeColor="text1"/>
              </w:rPr>
            </w:pPr>
            <w:r w:rsidRPr="00E00285">
              <w:rPr>
                <w:color w:val="000000" w:themeColor="text1"/>
                <w:sz w:val="15"/>
                <w:szCs w:val="15"/>
              </w:rPr>
              <w:t>84.96%</w:t>
            </w:r>
          </w:p>
        </w:tc>
        <w:tc>
          <w:tcPr>
            <w:tcW w:w="1663" w:type="dxa"/>
            <w:tcMar>
              <w:top w:w="50" w:type="dxa"/>
              <w:bottom w:w="50" w:type="dxa"/>
            </w:tcMar>
            <w:vAlign w:val="center"/>
          </w:tcPr>
          <w:p w14:paraId="4D548AEB" w14:textId="77777777" w:rsidR="007B6E28" w:rsidRPr="00E00285" w:rsidRDefault="00000000">
            <w:pPr>
              <w:rPr>
                <w:color w:val="000000" w:themeColor="text1"/>
              </w:rPr>
            </w:pPr>
            <w:r w:rsidRPr="00E00285">
              <w:rPr>
                <w:color w:val="000000" w:themeColor="text1"/>
                <w:sz w:val="15"/>
                <w:szCs w:val="15"/>
              </w:rPr>
              <w:t>53.50%</w:t>
            </w:r>
          </w:p>
        </w:tc>
      </w:tr>
    </w:tbl>
    <w:p w14:paraId="35DA8A36" w14:textId="77777777" w:rsidR="007B6E28" w:rsidRPr="00E00285" w:rsidRDefault="00000000">
      <w:pPr>
        <w:rPr>
          <w:color w:val="000000" w:themeColor="text1"/>
        </w:rPr>
      </w:pPr>
      <w:sdt>
        <w:sdtPr>
          <w:rPr>
            <w:color w:val="000000" w:themeColor="text1"/>
          </w:rPr>
          <w:tag w:val="goog_rdk_9"/>
          <w:id w:val="-211311004"/>
        </w:sdtPr>
        <w:sdtContent>
          <w:r w:rsidRPr="00E00285">
            <w:rPr>
              <w:rFonts w:ascii="Arial Unicode MS" w:eastAsia="Arial Unicode MS" w:hAnsi="Arial Unicode MS" w:cs="Arial Unicode MS"/>
              <w:color w:val="000000" w:themeColor="text1"/>
            </w:rPr>
            <w:t>Note. The distance-limited graph retained links within 1.25× the median native-neighbor spacing (133.09 pixels), giving a cutoff of 166.37 pixels. It reproduced the native graph exactly: edge Jaccard = 1.00, Spearman correlation of spot-level neighbor-difference fractions = 1.00, and agreement for the ≥1-different-neighbor interface label = 100%.</w:t>
          </w:r>
        </w:sdtContent>
      </w:sdt>
    </w:p>
    <w:p w14:paraId="1BF51123" w14:textId="77777777" w:rsidR="007B6E28" w:rsidRPr="00E00285" w:rsidRDefault="00000000">
      <w:pPr>
        <w:rPr>
          <w:color w:val="000000" w:themeColor="text1"/>
        </w:rPr>
      </w:pPr>
      <w:r w:rsidRPr="00E00285">
        <w:rPr>
          <w:b/>
          <w:bCs/>
          <w:color w:val="000000" w:themeColor="text1"/>
        </w:rPr>
        <w:t>(C)</w:t>
      </w:r>
      <w:r w:rsidRPr="00E00285">
        <w:rPr>
          <w:color w:val="000000" w:themeColor="text1"/>
        </w:rPr>
        <w:t xml:space="preserve"> Sensitivity to Seurat clustering resolution using the native adjacency graph.</w:t>
      </w:r>
    </w:p>
    <w:tbl>
      <w:tblPr>
        <w:tblStyle w:val="ac"/>
        <w:tblW w:w="99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5"/>
        <w:gridCol w:w="1995"/>
        <w:gridCol w:w="1995"/>
        <w:gridCol w:w="1995"/>
        <w:gridCol w:w="1995"/>
      </w:tblGrid>
      <w:tr w:rsidR="007B6E28" w:rsidRPr="00E00285" w14:paraId="76D6B9E1" w14:textId="77777777">
        <w:trPr>
          <w:tblHeader/>
          <w:jc w:val="center"/>
        </w:trPr>
        <w:tc>
          <w:tcPr>
            <w:tcW w:w="1995" w:type="dxa"/>
            <w:tcMar>
              <w:top w:w="50" w:type="dxa"/>
              <w:bottom w:w="50" w:type="dxa"/>
            </w:tcMar>
            <w:vAlign w:val="center"/>
          </w:tcPr>
          <w:p w14:paraId="239F2530" w14:textId="77777777" w:rsidR="007B6E28" w:rsidRPr="00E00285" w:rsidRDefault="00000000">
            <w:pPr>
              <w:rPr>
                <w:color w:val="000000" w:themeColor="text1"/>
              </w:rPr>
            </w:pPr>
            <w:r w:rsidRPr="00E00285">
              <w:rPr>
                <w:b/>
                <w:bCs/>
                <w:color w:val="000000" w:themeColor="text1"/>
                <w:sz w:val="16"/>
                <w:szCs w:val="16"/>
              </w:rPr>
              <w:t>Resolution</w:t>
            </w:r>
          </w:p>
        </w:tc>
        <w:tc>
          <w:tcPr>
            <w:tcW w:w="1995" w:type="dxa"/>
            <w:tcMar>
              <w:top w:w="50" w:type="dxa"/>
              <w:bottom w:w="50" w:type="dxa"/>
            </w:tcMar>
            <w:vAlign w:val="center"/>
          </w:tcPr>
          <w:p w14:paraId="2B626221" w14:textId="77777777" w:rsidR="007B6E28" w:rsidRPr="00E00285" w:rsidRDefault="00000000">
            <w:pPr>
              <w:rPr>
                <w:color w:val="000000" w:themeColor="text1"/>
              </w:rPr>
            </w:pPr>
            <w:r w:rsidRPr="00E00285">
              <w:rPr>
                <w:b/>
                <w:bCs/>
                <w:color w:val="000000" w:themeColor="text1"/>
                <w:sz w:val="16"/>
                <w:szCs w:val="16"/>
              </w:rPr>
              <w:t>Number of clusters</w:t>
            </w:r>
          </w:p>
        </w:tc>
        <w:tc>
          <w:tcPr>
            <w:tcW w:w="1995" w:type="dxa"/>
            <w:tcMar>
              <w:top w:w="50" w:type="dxa"/>
              <w:bottom w:w="50" w:type="dxa"/>
            </w:tcMar>
            <w:vAlign w:val="center"/>
          </w:tcPr>
          <w:p w14:paraId="785B4E99" w14:textId="77777777" w:rsidR="007B6E28" w:rsidRPr="00E00285" w:rsidRDefault="00000000">
            <w:pPr>
              <w:rPr>
                <w:color w:val="000000" w:themeColor="text1"/>
              </w:rPr>
            </w:pPr>
            <w:r w:rsidRPr="00E00285">
              <w:rPr>
                <w:b/>
                <w:bCs/>
                <w:color w:val="000000" w:themeColor="text1"/>
                <w:sz w:val="16"/>
                <w:szCs w:val="16"/>
              </w:rPr>
              <w:t>Mean neighbor-difference fraction</w:t>
            </w:r>
          </w:p>
        </w:tc>
        <w:tc>
          <w:tcPr>
            <w:tcW w:w="1995" w:type="dxa"/>
            <w:tcMar>
              <w:top w:w="50" w:type="dxa"/>
              <w:bottom w:w="50" w:type="dxa"/>
            </w:tcMar>
            <w:vAlign w:val="center"/>
          </w:tcPr>
          <w:p w14:paraId="61E32FC7" w14:textId="77777777" w:rsidR="007B6E28" w:rsidRPr="00E00285" w:rsidRDefault="00000000">
            <w:pPr>
              <w:rPr>
                <w:color w:val="000000" w:themeColor="text1"/>
              </w:rPr>
            </w:pPr>
            <w:sdt>
              <w:sdtPr>
                <w:rPr>
                  <w:color w:val="000000" w:themeColor="text1"/>
                </w:rPr>
                <w:tag w:val="goog_rdk_10"/>
                <w:id w:val="-1646734909"/>
              </w:sdtPr>
              <w:sdtContent>
                <w:r w:rsidRPr="00E00285">
                  <w:rPr>
                    <w:rFonts w:ascii="Arial Unicode MS" w:eastAsia="Arial Unicode MS" w:hAnsi="Arial Unicode MS" w:cs="Arial Unicode MS"/>
                    <w:b/>
                    <w:bCs/>
                    <w:color w:val="000000" w:themeColor="text1"/>
                    <w:sz w:val="16"/>
                    <w:szCs w:val="16"/>
                  </w:rPr>
                  <w:t>≥1 different-neighbor fraction</w:t>
                </w:r>
              </w:sdtContent>
            </w:sdt>
          </w:p>
        </w:tc>
        <w:tc>
          <w:tcPr>
            <w:tcW w:w="1995" w:type="dxa"/>
            <w:tcMar>
              <w:top w:w="50" w:type="dxa"/>
              <w:bottom w:w="50" w:type="dxa"/>
            </w:tcMar>
            <w:vAlign w:val="center"/>
          </w:tcPr>
          <w:p w14:paraId="63ACCA38" w14:textId="77777777" w:rsidR="007B6E28" w:rsidRPr="00E00285" w:rsidRDefault="00000000">
            <w:pPr>
              <w:rPr>
                <w:color w:val="000000" w:themeColor="text1"/>
              </w:rPr>
            </w:pPr>
            <w:sdt>
              <w:sdtPr>
                <w:rPr>
                  <w:color w:val="000000" w:themeColor="text1"/>
                </w:rPr>
                <w:tag w:val="goog_rdk_11"/>
                <w:id w:val="242549160"/>
              </w:sdtPr>
              <w:sdtContent>
                <w:r w:rsidRPr="00E00285">
                  <w:rPr>
                    <w:rFonts w:ascii="Arial Unicode MS" w:eastAsia="Arial Unicode MS" w:hAnsi="Arial Unicode MS" w:cs="Arial Unicode MS"/>
                    <w:b/>
                    <w:bCs/>
                    <w:color w:val="000000" w:themeColor="text1"/>
                    <w:sz w:val="16"/>
                    <w:szCs w:val="16"/>
                  </w:rPr>
                  <w:t>≥50% different-neighbor fraction</w:t>
                </w:r>
              </w:sdtContent>
            </w:sdt>
          </w:p>
        </w:tc>
      </w:tr>
      <w:tr w:rsidR="007B6E28" w:rsidRPr="00E00285" w14:paraId="44CB090E" w14:textId="77777777">
        <w:trPr>
          <w:jc w:val="center"/>
        </w:trPr>
        <w:tc>
          <w:tcPr>
            <w:tcW w:w="1995" w:type="dxa"/>
            <w:tcMar>
              <w:top w:w="50" w:type="dxa"/>
              <w:bottom w:w="50" w:type="dxa"/>
            </w:tcMar>
            <w:vAlign w:val="center"/>
          </w:tcPr>
          <w:p w14:paraId="26A5F064" w14:textId="77777777" w:rsidR="007B6E28" w:rsidRPr="00E00285" w:rsidRDefault="00000000">
            <w:pPr>
              <w:rPr>
                <w:color w:val="000000" w:themeColor="text1"/>
              </w:rPr>
            </w:pPr>
            <w:r w:rsidRPr="00E00285">
              <w:rPr>
                <w:color w:val="000000" w:themeColor="text1"/>
                <w:sz w:val="16"/>
                <w:szCs w:val="16"/>
              </w:rPr>
              <w:t>0.30</w:t>
            </w:r>
          </w:p>
        </w:tc>
        <w:tc>
          <w:tcPr>
            <w:tcW w:w="1995" w:type="dxa"/>
            <w:tcMar>
              <w:top w:w="50" w:type="dxa"/>
              <w:bottom w:w="50" w:type="dxa"/>
            </w:tcMar>
            <w:vAlign w:val="center"/>
          </w:tcPr>
          <w:p w14:paraId="4703E559" w14:textId="77777777" w:rsidR="007B6E28" w:rsidRPr="00E00285" w:rsidRDefault="00000000">
            <w:pPr>
              <w:rPr>
                <w:color w:val="000000" w:themeColor="text1"/>
              </w:rPr>
            </w:pPr>
            <w:r w:rsidRPr="00E00285">
              <w:rPr>
                <w:color w:val="000000" w:themeColor="text1"/>
                <w:sz w:val="16"/>
                <w:szCs w:val="16"/>
              </w:rPr>
              <w:t>4</w:t>
            </w:r>
          </w:p>
        </w:tc>
        <w:tc>
          <w:tcPr>
            <w:tcW w:w="1995" w:type="dxa"/>
            <w:tcMar>
              <w:top w:w="50" w:type="dxa"/>
              <w:bottom w:w="50" w:type="dxa"/>
            </w:tcMar>
            <w:vAlign w:val="center"/>
          </w:tcPr>
          <w:p w14:paraId="7B8269EF" w14:textId="77777777" w:rsidR="007B6E28" w:rsidRPr="00E00285" w:rsidRDefault="00000000">
            <w:pPr>
              <w:rPr>
                <w:color w:val="000000" w:themeColor="text1"/>
              </w:rPr>
            </w:pPr>
            <w:r w:rsidRPr="00E00285">
              <w:rPr>
                <w:color w:val="000000" w:themeColor="text1"/>
                <w:sz w:val="16"/>
                <w:szCs w:val="16"/>
              </w:rPr>
              <w:t>0.4053</w:t>
            </w:r>
          </w:p>
        </w:tc>
        <w:tc>
          <w:tcPr>
            <w:tcW w:w="1995" w:type="dxa"/>
            <w:tcMar>
              <w:top w:w="50" w:type="dxa"/>
              <w:bottom w:w="50" w:type="dxa"/>
            </w:tcMar>
            <w:vAlign w:val="center"/>
          </w:tcPr>
          <w:p w14:paraId="5526F786" w14:textId="77777777" w:rsidR="007B6E28" w:rsidRPr="00E00285" w:rsidRDefault="00000000">
            <w:pPr>
              <w:rPr>
                <w:color w:val="000000" w:themeColor="text1"/>
              </w:rPr>
            </w:pPr>
            <w:r w:rsidRPr="00E00285">
              <w:rPr>
                <w:color w:val="000000" w:themeColor="text1"/>
                <w:sz w:val="16"/>
                <w:szCs w:val="16"/>
              </w:rPr>
              <w:t>82.12%</w:t>
            </w:r>
          </w:p>
        </w:tc>
        <w:tc>
          <w:tcPr>
            <w:tcW w:w="1995" w:type="dxa"/>
            <w:tcMar>
              <w:top w:w="50" w:type="dxa"/>
              <w:bottom w:w="50" w:type="dxa"/>
            </w:tcMar>
            <w:vAlign w:val="center"/>
          </w:tcPr>
          <w:p w14:paraId="52F2B9B4" w14:textId="77777777" w:rsidR="007B6E28" w:rsidRPr="00E00285" w:rsidRDefault="00000000">
            <w:pPr>
              <w:rPr>
                <w:color w:val="000000" w:themeColor="text1"/>
              </w:rPr>
            </w:pPr>
            <w:r w:rsidRPr="00E00285">
              <w:rPr>
                <w:color w:val="000000" w:themeColor="text1"/>
                <w:sz w:val="16"/>
                <w:szCs w:val="16"/>
              </w:rPr>
              <w:t>45.25%</w:t>
            </w:r>
          </w:p>
        </w:tc>
      </w:tr>
      <w:tr w:rsidR="007B6E28" w:rsidRPr="00E00285" w14:paraId="6EE7C785" w14:textId="77777777">
        <w:trPr>
          <w:jc w:val="center"/>
        </w:trPr>
        <w:tc>
          <w:tcPr>
            <w:tcW w:w="1995" w:type="dxa"/>
            <w:tcMar>
              <w:top w:w="50" w:type="dxa"/>
              <w:bottom w:w="50" w:type="dxa"/>
            </w:tcMar>
            <w:vAlign w:val="center"/>
          </w:tcPr>
          <w:p w14:paraId="3C272FAF" w14:textId="77777777" w:rsidR="007B6E28" w:rsidRPr="00E00285" w:rsidRDefault="00000000">
            <w:pPr>
              <w:rPr>
                <w:color w:val="000000" w:themeColor="text1"/>
              </w:rPr>
            </w:pPr>
            <w:r w:rsidRPr="00E00285">
              <w:rPr>
                <w:color w:val="000000" w:themeColor="text1"/>
                <w:sz w:val="16"/>
                <w:szCs w:val="16"/>
              </w:rPr>
              <w:t>0.45</w:t>
            </w:r>
          </w:p>
        </w:tc>
        <w:tc>
          <w:tcPr>
            <w:tcW w:w="1995" w:type="dxa"/>
            <w:tcMar>
              <w:top w:w="50" w:type="dxa"/>
              <w:bottom w:w="50" w:type="dxa"/>
            </w:tcMar>
            <w:vAlign w:val="center"/>
          </w:tcPr>
          <w:p w14:paraId="465D1EFF" w14:textId="77777777" w:rsidR="007B6E28" w:rsidRPr="00E00285" w:rsidRDefault="00000000">
            <w:pPr>
              <w:rPr>
                <w:color w:val="000000" w:themeColor="text1"/>
              </w:rPr>
            </w:pPr>
            <w:r w:rsidRPr="00E00285">
              <w:rPr>
                <w:color w:val="000000" w:themeColor="text1"/>
                <w:sz w:val="16"/>
                <w:szCs w:val="16"/>
              </w:rPr>
              <w:t>5</w:t>
            </w:r>
          </w:p>
        </w:tc>
        <w:tc>
          <w:tcPr>
            <w:tcW w:w="1995" w:type="dxa"/>
            <w:tcMar>
              <w:top w:w="50" w:type="dxa"/>
              <w:bottom w:w="50" w:type="dxa"/>
            </w:tcMar>
            <w:vAlign w:val="center"/>
          </w:tcPr>
          <w:p w14:paraId="7D7AEEFB" w14:textId="77777777" w:rsidR="007B6E28" w:rsidRPr="00E00285" w:rsidRDefault="00000000">
            <w:pPr>
              <w:rPr>
                <w:color w:val="000000" w:themeColor="text1"/>
              </w:rPr>
            </w:pPr>
            <w:r w:rsidRPr="00E00285">
              <w:rPr>
                <w:color w:val="000000" w:themeColor="text1"/>
                <w:sz w:val="16"/>
                <w:szCs w:val="16"/>
              </w:rPr>
              <w:t>0.4613</w:t>
            </w:r>
          </w:p>
        </w:tc>
        <w:tc>
          <w:tcPr>
            <w:tcW w:w="1995" w:type="dxa"/>
            <w:tcMar>
              <w:top w:w="50" w:type="dxa"/>
              <w:bottom w:w="50" w:type="dxa"/>
            </w:tcMar>
            <w:vAlign w:val="center"/>
          </w:tcPr>
          <w:p w14:paraId="702F04EC" w14:textId="77777777" w:rsidR="007B6E28" w:rsidRPr="00E00285" w:rsidRDefault="00000000">
            <w:pPr>
              <w:rPr>
                <w:color w:val="000000" w:themeColor="text1"/>
              </w:rPr>
            </w:pPr>
            <w:r w:rsidRPr="00E00285">
              <w:rPr>
                <w:color w:val="000000" w:themeColor="text1"/>
                <w:sz w:val="16"/>
                <w:szCs w:val="16"/>
              </w:rPr>
              <w:t>84.96%</w:t>
            </w:r>
          </w:p>
        </w:tc>
        <w:tc>
          <w:tcPr>
            <w:tcW w:w="1995" w:type="dxa"/>
            <w:tcMar>
              <w:top w:w="50" w:type="dxa"/>
              <w:bottom w:w="50" w:type="dxa"/>
            </w:tcMar>
            <w:vAlign w:val="center"/>
          </w:tcPr>
          <w:p w14:paraId="56DCC7BF" w14:textId="77777777" w:rsidR="007B6E28" w:rsidRPr="00E00285" w:rsidRDefault="00000000">
            <w:pPr>
              <w:rPr>
                <w:color w:val="000000" w:themeColor="text1"/>
              </w:rPr>
            </w:pPr>
            <w:r w:rsidRPr="00E00285">
              <w:rPr>
                <w:color w:val="000000" w:themeColor="text1"/>
                <w:sz w:val="16"/>
                <w:szCs w:val="16"/>
              </w:rPr>
              <w:t>53.50%</w:t>
            </w:r>
          </w:p>
        </w:tc>
      </w:tr>
      <w:tr w:rsidR="007B6E28" w:rsidRPr="00E00285" w14:paraId="324B7FD1" w14:textId="77777777">
        <w:trPr>
          <w:jc w:val="center"/>
        </w:trPr>
        <w:tc>
          <w:tcPr>
            <w:tcW w:w="1995" w:type="dxa"/>
            <w:tcMar>
              <w:top w:w="50" w:type="dxa"/>
              <w:bottom w:w="50" w:type="dxa"/>
            </w:tcMar>
            <w:vAlign w:val="center"/>
          </w:tcPr>
          <w:p w14:paraId="4CDE310D" w14:textId="77777777" w:rsidR="007B6E28" w:rsidRPr="00E00285" w:rsidRDefault="00000000">
            <w:pPr>
              <w:rPr>
                <w:color w:val="000000" w:themeColor="text1"/>
              </w:rPr>
            </w:pPr>
            <w:r w:rsidRPr="00E00285">
              <w:rPr>
                <w:color w:val="000000" w:themeColor="text1"/>
                <w:sz w:val="16"/>
                <w:szCs w:val="16"/>
              </w:rPr>
              <w:t>0.60</w:t>
            </w:r>
          </w:p>
        </w:tc>
        <w:tc>
          <w:tcPr>
            <w:tcW w:w="1995" w:type="dxa"/>
            <w:tcMar>
              <w:top w:w="50" w:type="dxa"/>
              <w:bottom w:w="50" w:type="dxa"/>
            </w:tcMar>
            <w:vAlign w:val="center"/>
          </w:tcPr>
          <w:p w14:paraId="030CA3C2" w14:textId="77777777" w:rsidR="007B6E28" w:rsidRPr="00E00285" w:rsidRDefault="00000000">
            <w:pPr>
              <w:rPr>
                <w:color w:val="000000" w:themeColor="text1"/>
              </w:rPr>
            </w:pPr>
            <w:r w:rsidRPr="00E00285">
              <w:rPr>
                <w:color w:val="000000" w:themeColor="text1"/>
                <w:sz w:val="16"/>
                <w:szCs w:val="16"/>
              </w:rPr>
              <w:t>7</w:t>
            </w:r>
          </w:p>
        </w:tc>
        <w:tc>
          <w:tcPr>
            <w:tcW w:w="1995" w:type="dxa"/>
            <w:tcMar>
              <w:top w:w="50" w:type="dxa"/>
              <w:bottom w:w="50" w:type="dxa"/>
            </w:tcMar>
            <w:vAlign w:val="center"/>
          </w:tcPr>
          <w:p w14:paraId="16F2E966" w14:textId="77777777" w:rsidR="007B6E28" w:rsidRPr="00E00285" w:rsidRDefault="00000000">
            <w:pPr>
              <w:rPr>
                <w:color w:val="000000" w:themeColor="text1"/>
              </w:rPr>
            </w:pPr>
            <w:r w:rsidRPr="00E00285">
              <w:rPr>
                <w:color w:val="000000" w:themeColor="text1"/>
                <w:sz w:val="16"/>
                <w:szCs w:val="16"/>
              </w:rPr>
              <w:t>0.5302</w:t>
            </w:r>
          </w:p>
        </w:tc>
        <w:tc>
          <w:tcPr>
            <w:tcW w:w="1995" w:type="dxa"/>
            <w:tcMar>
              <w:top w:w="50" w:type="dxa"/>
              <w:bottom w:w="50" w:type="dxa"/>
            </w:tcMar>
            <w:vAlign w:val="center"/>
          </w:tcPr>
          <w:p w14:paraId="7FF0B011" w14:textId="77777777" w:rsidR="007B6E28" w:rsidRPr="00E00285" w:rsidRDefault="00000000">
            <w:pPr>
              <w:rPr>
                <w:color w:val="000000" w:themeColor="text1"/>
              </w:rPr>
            </w:pPr>
            <w:r w:rsidRPr="00E00285">
              <w:rPr>
                <w:color w:val="000000" w:themeColor="text1"/>
                <w:sz w:val="16"/>
                <w:szCs w:val="16"/>
              </w:rPr>
              <w:t>91.42%</w:t>
            </w:r>
          </w:p>
        </w:tc>
        <w:tc>
          <w:tcPr>
            <w:tcW w:w="1995" w:type="dxa"/>
            <w:tcMar>
              <w:top w:w="50" w:type="dxa"/>
              <w:bottom w:w="50" w:type="dxa"/>
            </w:tcMar>
            <w:vAlign w:val="center"/>
          </w:tcPr>
          <w:p w14:paraId="4F9F6DFE" w14:textId="77777777" w:rsidR="007B6E28" w:rsidRPr="00E00285" w:rsidRDefault="00000000">
            <w:pPr>
              <w:rPr>
                <w:color w:val="000000" w:themeColor="text1"/>
              </w:rPr>
            </w:pPr>
            <w:r w:rsidRPr="00E00285">
              <w:rPr>
                <w:color w:val="000000" w:themeColor="text1"/>
                <w:sz w:val="16"/>
                <w:szCs w:val="16"/>
              </w:rPr>
              <w:t>63.46%</w:t>
            </w:r>
          </w:p>
        </w:tc>
      </w:tr>
    </w:tbl>
    <w:p w14:paraId="157346E6" w14:textId="77777777" w:rsidR="007B6E28" w:rsidRPr="00E00285" w:rsidRDefault="00000000">
      <w:pPr>
        <w:rPr>
          <w:color w:val="000000" w:themeColor="text1"/>
        </w:rPr>
      </w:pPr>
      <w:sdt>
        <w:sdtPr>
          <w:rPr>
            <w:color w:val="000000" w:themeColor="text1"/>
          </w:rPr>
          <w:tag w:val="goog_rdk_12"/>
          <w:id w:val="458441950"/>
        </w:sdtPr>
        <w:sdtContent>
          <w:r w:rsidRPr="00E00285">
            <w:rPr>
              <w:rFonts w:ascii="Arial Unicode MS" w:eastAsia="Arial Unicode MS" w:hAnsi="Arial Unicode MS" w:cs="Arial Unicode MS"/>
              <w:color w:val="000000" w:themeColor="text1"/>
            </w:rPr>
            <w:t>At the primary resolution of 0.45, the 1,516 retained spots had a mean native degree of 5.669 and a mean neighbor-difference fraction of 0.4613. The descriptive ≥1-different-neighbor interface fraction was 84.96%, whereas the stricter ≥50% definition classified 53.50% of spots as interface locations. Cluster 4 showed the greatest local mixing (mean neighbor-difference fraction 0.7320; 87.50% under the ≥50% definition). Graph-construction sensitivity was negligible in this dataset because the native and distance-limited graphs were identical, but local-mixing estimates increased as clustering resolution increased, demonstrating the expected dependence on cluster granularity.</w:t>
          </w:r>
        </w:sdtContent>
      </w:sdt>
    </w:p>
    <w:p w14:paraId="0273B475" w14:textId="77777777" w:rsidR="007B6E28" w:rsidRPr="00E00285" w:rsidRDefault="00000000">
      <w:pPr>
        <w:rPr>
          <w:color w:val="000000" w:themeColor="text1"/>
        </w:rPr>
      </w:pPr>
      <w:r w:rsidRPr="00E00285">
        <w:rPr>
          <w:color w:val="000000" w:themeColor="text1"/>
        </w:rPr>
        <w:br w:type="page"/>
      </w:r>
    </w:p>
    <w:p w14:paraId="2BDEAA3F" w14:textId="77777777" w:rsidR="007B6E28" w:rsidRPr="00E00285" w:rsidRDefault="00000000">
      <w:pPr>
        <w:jc w:val="center"/>
        <w:rPr>
          <w:color w:val="000000" w:themeColor="text1"/>
        </w:rPr>
      </w:pPr>
      <w:r w:rsidRPr="00E00285">
        <w:rPr>
          <w:noProof/>
          <w:color w:val="000000" w:themeColor="text1"/>
        </w:rPr>
        <w:lastRenderedPageBreak/>
        <w:drawing>
          <wp:inline distT="0" distB="0" distL="114300" distR="114300" wp14:anchorId="54348AF8" wp14:editId="7EC43A4F">
            <wp:extent cx="5806440" cy="5080635"/>
            <wp:effectExtent l="0" t="0" r="0" b="0"/>
            <wp:docPr id="4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806440" cy="5080635"/>
                    </a:xfrm>
                    <a:prstGeom prst="rect">
                      <a:avLst/>
                    </a:prstGeom>
                    <a:ln/>
                  </pic:spPr>
                </pic:pic>
              </a:graphicData>
            </a:graphic>
          </wp:inline>
        </w:drawing>
      </w:r>
    </w:p>
    <w:p w14:paraId="18360025" w14:textId="77777777" w:rsidR="007B6E28" w:rsidRPr="00E00285" w:rsidRDefault="00000000">
      <w:pPr>
        <w:pBdr>
          <w:top w:val="nil"/>
          <w:left w:val="nil"/>
          <w:bottom w:val="nil"/>
          <w:right w:val="nil"/>
          <w:between w:val="nil"/>
        </w:pBdr>
        <w:spacing w:before="60" w:after="120" w:line="240" w:lineRule="auto"/>
        <w:rPr>
          <w:color w:val="000000" w:themeColor="text1"/>
          <w:sz w:val="18"/>
          <w:szCs w:val="18"/>
        </w:rPr>
      </w:pPr>
      <w:r w:rsidRPr="00E00285">
        <w:rPr>
          <w:b/>
          <w:bCs/>
          <w:color w:val="000000" w:themeColor="text1"/>
          <w:sz w:val="18"/>
          <w:szCs w:val="18"/>
        </w:rPr>
        <w:t>Supplementary Figure S14.</w:t>
      </w:r>
      <w:r w:rsidRPr="00E00285">
        <w:rPr>
          <w:color w:val="000000" w:themeColor="text1"/>
          <w:sz w:val="18"/>
          <w:szCs w:val="18"/>
        </w:rPr>
        <w:t xml:space="preserve"> Local cluster coherence based on native </w:t>
      </w:r>
      <w:proofErr w:type="spellStart"/>
      <w:r w:rsidRPr="00E00285">
        <w:rPr>
          <w:color w:val="000000" w:themeColor="text1"/>
          <w:sz w:val="18"/>
          <w:szCs w:val="18"/>
        </w:rPr>
        <w:t>Visium</w:t>
      </w:r>
      <w:proofErr w:type="spellEnd"/>
      <w:r w:rsidRPr="00E00285">
        <w:rPr>
          <w:color w:val="000000" w:themeColor="text1"/>
          <w:sz w:val="18"/>
          <w:szCs w:val="18"/>
        </w:rPr>
        <w:t xml:space="preserve"> array adjacency in the lacrimal gland section. Cluster identity is shown by point color, and point opacity encodes the neighbor-difference fraction. Each spot was connected only to retained spots occupying immediate native array positions; missing or filtered positions were not replaced by farther spots.</w:t>
      </w:r>
    </w:p>
    <w:p w14:paraId="6AB039F8" w14:textId="77777777" w:rsidR="007B6E28" w:rsidRPr="00E00285" w:rsidRDefault="00000000">
      <w:pPr>
        <w:pBdr>
          <w:top w:val="nil"/>
          <w:left w:val="nil"/>
          <w:bottom w:val="nil"/>
          <w:right w:val="nil"/>
          <w:between w:val="nil"/>
        </w:pBdr>
        <w:spacing w:before="80" w:after="140" w:line="252" w:lineRule="auto"/>
        <w:ind w:left="259" w:right="144"/>
        <w:rPr>
          <w:color w:val="000000" w:themeColor="text1"/>
        </w:rPr>
      </w:pPr>
      <w:r w:rsidRPr="00E00285">
        <w:rPr>
          <w:b/>
          <w:bCs/>
          <w:color w:val="000000" w:themeColor="text1"/>
        </w:rPr>
        <w:t>Biological Interpretation.</w:t>
      </w:r>
      <w:r w:rsidRPr="00E00285">
        <w:rPr>
          <w:color w:val="000000" w:themeColor="text1"/>
        </w:rPr>
        <w:t xml:space="preserve"> The continuous map shows broad regions of local agreement together with mixed interfaces between transcriptional domains. The plasma-cell/humoral-complement domain (cluster 4) had the highest local mixing, but interface calls are interpreted descriptively because they depend on the chosen clustering resolution.</w:t>
      </w:r>
    </w:p>
    <w:p w14:paraId="05ACD795" w14:textId="77777777" w:rsidR="007B6E28" w:rsidRPr="00E00285" w:rsidRDefault="00000000">
      <w:pPr>
        <w:rPr>
          <w:color w:val="000000" w:themeColor="text1"/>
        </w:rPr>
      </w:pPr>
      <w:r w:rsidRPr="00E00285">
        <w:rPr>
          <w:color w:val="000000" w:themeColor="text1"/>
        </w:rPr>
        <w:br w:type="page"/>
      </w:r>
    </w:p>
    <w:p w14:paraId="52D7259A" w14:textId="77777777" w:rsidR="007B6E28" w:rsidRPr="00E00285" w:rsidRDefault="00000000">
      <w:pPr>
        <w:jc w:val="center"/>
        <w:rPr>
          <w:color w:val="000000" w:themeColor="text1"/>
        </w:rPr>
      </w:pPr>
      <w:r w:rsidRPr="00E00285">
        <w:rPr>
          <w:noProof/>
          <w:color w:val="000000" w:themeColor="text1"/>
        </w:rPr>
        <w:lastRenderedPageBreak/>
        <w:drawing>
          <wp:inline distT="0" distB="0" distL="114300" distR="114300" wp14:anchorId="48FDF052" wp14:editId="50F94AF0">
            <wp:extent cx="5897880" cy="2680855"/>
            <wp:effectExtent l="0" t="0" r="0" b="0"/>
            <wp:docPr id="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897880" cy="2680855"/>
                    </a:xfrm>
                    <a:prstGeom prst="rect">
                      <a:avLst/>
                    </a:prstGeom>
                    <a:ln/>
                  </pic:spPr>
                </pic:pic>
              </a:graphicData>
            </a:graphic>
          </wp:inline>
        </w:drawing>
      </w:r>
    </w:p>
    <w:p w14:paraId="22CA60CF" w14:textId="77777777" w:rsidR="007B6E28" w:rsidRPr="00E00285" w:rsidRDefault="00000000">
      <w:pPr>
        <w:pBdr>
          <w:top w:val="nil"/>
          <w:left w:val="nil"/>
          <w:bottom w:val="nil"/>
          <w:right w:val="nil"/>
          <w:between w:val="nil"/>
        </w:pBdr>
        <w:spacing w:before="60" w:after="120" w:line="240" w:lineRule="auto"/>
        <w:rPr>
          <w:color w:val="000000" w:themeColor="text1"/>
          <w:sz w:val="18"/>
          <w:szCs w:val="18"/>
        </w:rPr>
      </w:pPr>
      <w:r w:rsidRPr="00E00285">
        <w:rPr>
          <w:b/>
          <w:bCs/>
          <w:color w:val="000000" w:themeColor="text1"/>
          <w:sz w:val="18"/>
          <w:szCs w:val="18"/>
        </w:rPr>
        <w:t>Supplementary Figure S15.</w:t>
      </w:r>
      <w:r w:rsidRPr="00E00285">
        <w:rPr>
          <w:color w:val="000000" w:themeColor="text1"/>
          <w:sz w:val="18"/>
          <w:szCs w:val="18"/>
        </w:rPr>
        <w:t xml:space="preserve"> Sensitivity of native-adjacency local-coherence measures to Seurat clustering resolution. The analysis was repeated at resolutions 0.30, 0.45, and 0.60, yielding 4, 5, and 7 clusters, respectively. The left panel shows the mean neighbor-difference fraction; the right panel shows the fraction of spots with at least one differently labeled native neighbor.</w:t>
      </w:r>
    </w:p>
    <w:p w14:paraId="48F0B333" w14:textId="77777777" w:rsidR="007B6E28" w:rsidRPr="00E00285" w:rsidRDefault="00000000">
      <w:pPr>
        <w:pBdr>
          <w:top w:val="nil"/>
          <w:left w:val="nil"/>
          <w:bottom w:val="nil"/>
          <w:right w:val="nil"/>
          <w:between w:val="nil"/>
        </w:pBdr>
        <w:spacing w:before="80" w:after="140" w:line="252" w:lineRule="auto"/>
        <w:ind w:left="259" w:right="144"/>
        <w:rPr>
          <w:color w:val="000000" w:themeColor="text1"/>
        </w:rPr>
      </w:pPr>
      <w:r w:rsidRPr="00E00285">
        <w:rPr>
          <w:b/>
          <w:bCs/>
          <w:color w:val="000000" w:themeColor="text1"/>
        </w:rPr>
        <w:t>Biological Interpretation.</w:t>
      </w:r>
      <w:sdt>
        <w:sdtPr>
          <w:rPr>
            <w:color w:val="000000" w:themeColor="text1"/>
          </w:rPr>
          <w:tag w:val="goog_rdk_13"/>
          <w:id w:val="-843948868"/>
        </w:sdtPr>
        <w:sdtContent>
          <w:r w:rsidRPr="00E00285">
            <w:rPr>
              <w:rFonts w:ascii="Arial Unicode MS" w:eastAsia="Arial Unicode MS" w:hAnsi="Arial Unicode MS" w:cs="Arial Unicode MS"/>
              <w:color w:val="000000" w:themeColor="text1"/>
            </w:rPr>
            <w:t xml:space="preserve"> Both local-mixing summaries increased with cluster resolution, from 0.4053 to 0.5302 for the mean neighbor-difference fraction and from 82.12% to 91.42% for the ≥1-different-neighbor interface fraction. This sensitivity confirms that boundary abundance is partly determined by cluster granularity; therefore, the continuous neighbor-difference fraction and the multi-resolution results should be considered together.</w:t>
          </w:r>
        </w:sdtContent>
      </w:sdt>
    </w:p>
    <w:p w14:paraId="551788BD"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17. Two-dimensional spatial-gradient modeling</w:t>
      </w:r>
    </w:p>
    <w:p w14:paraId="02E5930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Generalized additive models were fitted for selected genes and module scores using tissue x and y coordinates as smooth predictors. Deviance explained summarizes how much variation in each feature was associated with broad spatial position. It does not establish a directional biological gradient or causal relationship.</w:t>
      </w:r>
    </w:p>
    <w:p w14:paraId="3C4546C2" w14:textId="77777777" w:rsidR="007B6E28" w:rsidRPr="00E00285" w:rsidRDefault="00000000">
      <w:pPr>
        <w:keepNext/>
        <w:pBdr>
          <w:top w:val="nil"/>
          <w:left w:val="nil"/>
          <w:bottom w:val="nil"/>
          <w:right w:val="nil"/>
          <w:between w:val="nil"/>
        </w:pBdr>
        <w:spacing w:before="140" w:after="60" w:line="276"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Table S13. </w:t>
      </w:r>
      <w:r w:rsidRPr="00E00285">
        <w:rPr>
          <w:rFonts w:ascii="Times New Roman" w:eastAsia="Times New Roman" w:hAnsi="Times New Roman" w:cs="Times New Roman"/>
          <w:color w:val="000000" w:themeColor="text1"/>
          <w:sz w:val="24"/>
          <w:szCs w:val="24"/>
        </w:rPr>
        <w:t>Spatial organization of selected lacrimal gland genes and module scores measured by two-dimensional GAMs.</w:t>
      </w:r>
    </w:p>
    <w:tbl>
      <w:tblPr>
        <w:tblStyle w:val="ad"/>
        <w:tblW w:w="99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5"/>
        <w:gridCol w:w="3325"/>
        <w:gridCol w:w="3325"/>
      </w:tblGrid>
      <w:tr w:rsidR="007B6E28" w:rsidRPr="00E00285" w14:paraId="2A6831D0" w14:textId="77777777">
        <w:tc>
          <w:tcPr>
            <w:tcW w:w="3325" w:type="dxa"/>
          </w:tcPr>
          <w:p w14:paraId="48B85F9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Feature</w:t>
            </w:r>
          </w:p>
        </w:tc>
        <w:tc>
          <w:tcPr>
            <w:tcW w:w="3325" w:type="dxa"/>
          </w:tcPr>
          <w:p w14:paraId="6436F50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Deviance explained</w:t>
            </w:r>
          </w:p>
        </w:tc>
        <w:tc>
          <w:tcPr>
            <w:tcW w:w="3325" w:type="dxa"/>
          </w:tcPr>
          <w:p w14:paraId="2B63B01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Adjusted R²</w:t>
            </w:r>
          </w:p>
        </w:tc>
      </w:tr>
      <w:tr w:rsidR="007B6E28" w:rsidRPr="00E00285" w14:paraId="769D2CF4" w14:textId="77777777">
        <w:tc>
          <w:tcPr>
            <w:tcW w:w="3325" w:type="dxa"/>
          </w:tcPr>
          <w:p w14:paraId="7A4BB3E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Cd74</w:t>
            </w:r>
          </w:p>
        </w:tc>
        <w:tc>
          <w:tcPr>
            <w:tcW w:w="3325" w:type="dxa"/>
          </w:tcPr>
          <w:p w14:paraId="45419FB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49.73%</w:t>
            </w:r>
          </w:p>
        </w:tc>
        <w:tc>
          <w:tcPr>
            <w:tcW w:w="3325" w:type="dxa"/>
          </w:tcPr>
          <w:p w14:paraId="0199715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0.4747</w:t>
            </w:r>
          </w:p>
        </w:tc>
      </w:tr>
      <w:tr w:rsidR="007B6E28" w:rsidRPr="00E00285" w14:paraId="31B2AD1D" w14:textId="77777777">
        <w:tc>
          <w:tcPr>
            <w:tcW w:w="3325" w:type="dxa"/>
          </w:tcPr>
          <w:p w14:paraId="06D2888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antigen_presentation_score1</w:t>
            </w:r>
          </w:p>
        </w:tc>
        <w:tc>
          <w:tcPr>
            <w:tcW w:w="3325" w:type="dxa"/>
          </w:tcPr>
          <w:p w14:paraId="55CB5F4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47.42%</w:t>
            </w:r>
          </w:p>
        </w:tc>
        <w:tc>
          <w:tcPr>
            <w:tcW w:w="3325" w:type="dxa"/>
          </w:tcPr>
          <w:p w14:paraId="761228C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0.4508</w:t>
            </w:r>
          </w:p>
        </w:tc>
      </w:tr>
      <w:tr w:rsidR="007B6E28" w:rsidRPr="00E00285" w14:paraId="6DFBDDCD" w14:textId="77777777">
        <w:tc>
          <w:tcPr>
            <w:tcW w:w="3325" w:type="dxa"/>
          </w:tcPr>
          <w:p w14:paraId="2EA7F725"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Scgb2b17</w:t>
            </w:r>
          </w:p>
        </w:tc>
        <w:tc>
          <w:tcPr>
            <w:tcW w:w="3325" w:type="dxa"/>
          </w:tcPr>
          <w:p w14:paraId="7CC1167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39.56%</w:t>
            </w:r>
          </w:p>
        </w:tc>
        <w:tc>
          <w:tcPr>
            <w:tcW w:w="3325" w:type="dxa"/>
          </w:tcPr>
          <w:p w14:paraId="1687ACC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0.3724</w:t>
            </w:r>
          </w:p>
        </w:tc>
      </w:tr>
      <w:tr w:rsidR="007B6E28" w:rsidRPr="00E00285" w14:paraId="51E3E610" w14:textId="77777777">
        <w:tc>
          <w:tcPr>
            <w:tcW w:w="3325" w:type="dxa"/>
          </w:tcPr>
          <w:p w14:paraId="7278F25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H2-Eb1</w:t>
            </w:r>
          </w:p>
        </w:tc>
        <w:tc>
          <w:tcPr>
            <w:tcW w:w="3325" w:type="dxa"/>
          </w:tcPr>
          <w:p w14:paraId="24F4D62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39.49%</w:t>
            </w:r>
          </w:p>
        </w:tc>
        <w:tc>
          <w:tcPr>
            <w:tcW w:w="3325" w:type="dxa"/>
          </w:tcPr>
          <w:p w14:paraId="5FC98AE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0.3697</w:t>
            </w:r>
          </w:p>
        </w:tc>
      </w:tr>
      <w:tr w:rsidR="007B6E28" w:rsidRPr="00E00285" w14:paraId="43E3FD94" w14:textId="77777777">
        <w:tc>
          <w:tcPr>
            <w:tcW w:w="3325" w:type="dxa"/>
          </w:tcPr>
          <w:p w14:paraId="2EFDDB9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H2-Aa</w:t>
            </w:r>
          </w:p>
        </w:tc>
        <w:tc>
          <w:tcPr>
            <w:tcW w:w="3325" w:type="dxa"/>
          </w:tcPr>
          <w:p w14:paraId="5BDDF94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33.76%</w:t>
            </w:r>
          </w:p>
        </w:tc>
        <w:tc>
          <w:tcPr>
            <w:tcW w:w="3325" w:type="dxa"/>
          </w:tcPr>
          <w:p w14:paraId="6DB13FA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0.3112</w:t>
            </w:r>
          </w:p>
        </w:tc>
      </w:tr>
      <w:tr w:rsidR="007B6E28" w:rsidRPr="00E00285" w14:paraId="29B4D936" w14:textId="77777777">
        <w:tc>
          <w:tcPr>
            <w:tcW w:w="3325" w:type="dxa"/>
          </w:tcPr>
          <w:p w14:paraId="1C83DFD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b_cell_plasma_cell_score1</w:t>
            </w:r>
          </w:p>
        </w:tc>
        <w:tc>
          <w:tcPr>
            <w:tcW w:w="3325" w:type="dxa"/>
          </w:tcPr>
          <w:p w14:paraId="0A2E58F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30.30%</w:t>
            </w:r>
          </w:p>
        </w:tc>
        <w:tc>
          <w:tcPr>
            <w:tcW w:w="3325" w:type="dxa"/>
          </w:tcPr>
          <w:p w14:paraId="2F173E1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0.2767</w:t>
            </w:r>
          </w:p>
        </w:tc>
      </w:tr>
      <w:tr w:rsidR="007B6E28" w:rsidRPr="00E00285" w14:paraId="5ACB7058" w14:textId="77777777">
        <w:tc>
          <w:tcPr>
            <w:tcW w:w="3325" w:type="dxa"/>
          </w:tcPr>
          <w:p w14:paraId="19FDA797"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Jchain</w:t>
            </w:r>
            <w:proofErr w:type="spellEnd"/>
          </w:p>
        </w:tc>
        <w:tc>
          <w:tcPr>
            <w:tcW w:w="3325" w:type="dxa"/>
          </w:tcPr>
          <w:p w14:paraId="3312FD7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29.57%</w:t>
            </w:r>
          </w:p>
        </w:tc>
        <w:tc>
          <w:tcPr>
            <w:tcW w:w="3325" w:type="dxa"/>
          </w:tcPr>
          <w:p w14:paraId="7A9254C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0.2705</w:t>
            </w:r>
          </w:p>
        </w:tc>
      </w:tr>
      <w:tr w:rsidR="007B6E28" w:rsidRPr="00E00285" w14:paraId="764543AF" w14:textId="77777777">
        <w:tc>
          <w:tcPr>
            <w:tcW w:w="3325" w:type="dxa"/>
          </w:tcPr>
          <w:p w14:paraId="49A1CB31"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Cd79a</w:t>
            </w:r>
          </w:p>
        </w:tc>
        <w:tc>
          <w:tcPr>
            <w:tcW w:w="3325" w:type="dxa"/>
          </w:tcPr>
          <w:p w14:paraId="5EFCEDD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25.02%</w:t>
            </w:r>
          </w:p>
        </w:tc>
        <w:tc>
          <w:tcPr>
            <w:tcW w:w="3325" w:type="dxa"/>
          </w:tcPr>
          <w:p w14:paraId="283E3A0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0.2213</w:t>
            </w:r>
          </w:p>
        </w:tc>
      </w:tr>
      <w:tr w:rsidR="007B6E28" w:rsidRPr="00E00285" w14:paraId="4F866C70" w14:textId="77777777">
        <w:tc>
          <w:tcPr>
            <w:tcW w:w="3325" w:type="dxa"/>
          </w:tcPr>
          <w:p w14:paraId="5A42774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interferon_chemokine_score1</w:t>
            </w:r>
          </w:p>
        </w:tc>
        <w:tc>
          <w:tcPr>
            <w:tcW w:w="3325" w:type="dxa"/>
          </w:tcPr>
          <w:p w14:paraId="42E7A00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24.16%</w:t>
            </w:r>
          </w:p>
        </w:tc>
        <w:tc>
          <w:tcPr>
            <w:tcW w:w="3325" w:type="dxa"/>
          </w:tcPr>
          <w:p w14:paraId="4AF2612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0.2122</w:t>
            </w:r>
          </w:p>
        </w:tc>
      </w:tr>
      <w:tr w:rsidR="007B6E28" w:rsidRPr="00E00285" w14:paraId="58D96CE6" w14:textId="77777777">
        <w:tc>
          <w:tcPr>
            <w:tcW w:w="3325" w:type="dxa"/>
          </w:tcPr>
          <w:p w14:paraId="72FAD8E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myeloid_stromal_score1</w:t>
            </w:r>
          </w:p>
        </w:tc>
        <w:tc>
          <w:tcPr>
            <w:tcW w:w="3325" w:type="dxa"/>
          </w:tcPr>
          <w:p w14:paraId="1C601C6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21.54%</w:t>
            </w:r>
          </w:p>
        </w:tc>
        <w:tc>
          <w:tcPr>
            <w:tcW w:w="3325" w:type="dxa"/>
          </w:tcPr>
          <w:p w14:paraId="2E2EEA2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0.1945</w:t>
            </w:r>
          </w:p>
        </w:tc>
      </w:tr>
      <w:tr w:rsidR="007B6E28" w:rsidRPr="00E00285" w14:paraId="607EB127" w14:textId="77777777">
        <w:tc>
          <w:tcPr>
            <w:tcW w:w="3325" w:type="dxa"/>
          </w:tcPr>
          <w:p w14:paraId="28339D21"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Ltf</w:t>
            </w:r>
            <w:proofErr w:type="spellEnd"/>
          </w:p>
        </w:tc>
        <w:tc>
          <w:tcPr>
            <w:tcW w:w="3325" w:type="dxa"/>
          </w:tcPr>
          <w:p w14:paraId="5F1FD23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19.97%</w:t>
            </w:r>
          </w:p>
        </w:tc>
        <w:tc>
          <w:tcPr>
            <w:tcW w:w="3325" w:type="dxa"/>
          </w:tcPr>
          <w:p w14:paraId="62CFFF3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0.1770</w:t>
            </w:r>
          </w:p>
        </w:tc>
      </w:tr>
      <w:tr w:rsidR="007B6E28" w:rsidRPr="00E00285" w14:paraId="0128CB8C" w14:textId="77777777">
        <w:tc>
          <w:tcPr>
            <w:tcW w:w="3325" w:type="dxa"/>
          </w:tcPr>
          <w:p w14:paraId="775F0CA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Stat1</w:t>
            </w:r>
          </w:p>
        </w:tc>
        <w:tc>
          <w:tcPr>
            <w:tcW w:w="3325" w:type="dxa"/>
          </w:tcPr>
          <w:p w14:paraId="1474E9D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19.38%</w:t>
            </w:r>
          </w:p>
        </w:tc>
        <w:tc>
          <w:tcPr>
            <w:tcW w:w="3325" w:type="dxa"/>
          </w:tcPr>
          <w:p w14:paraId="643C878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0.1659</w:t>
            </w:r>
          </w:p>
        </w:tc>
      </w:tr>
      <w:tr w:rsidR="007B6E28" w:rsidRPr="00E00285" w14:paraId="274AE2D6" w14:textId="77777777">
        <w:tc>
          <w:tcPr>
            <w:tcW w:w="3325" w:type="dxa"/>
          </w:tcPr>
          <w:p w14:paraId="15156A7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epithelial_secretory_score1</w:t>
            </w:r>
          </w:p>
        </w:tc>
        <w:tc>
          <w:tcPr>
            <w:tcW w:w="3325" w:type="dxa"/>
          </w:tcPr>
          <w:p w14:paraId="71A312D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19.21%</w:t>
            </w:r>
          </w:p>
        </w:tc>
        <w:tc>
          <w:tcPr>
            <w:tcW w:w="3325" w:type="dxa"/>
          </w:tcPr>
          <w:p w14:paraId="1816370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0.1673</w:t>
            </w:r>
          </w:p>
        </w:tc>
      </w:tr>
      <w:tr w:rsidR="007B6E28" w:rsidRPr="00E00285" w14:paraId="71614571" w14:textId="77777777">
        <w:tc>
          <w:tcPr>
            <w:tcW w:w="3325" w:type="dxa"/>
          </w:tcPr>
          <w:p w14:paraId="7EED01E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t_cell_score1</w:t>
            </w:r>
          </w:p>
        </w:tc>
        <w:tc>
          <w:tcPr>
            <w:tcW w:w="3325" w:type="dxa"/>
          </w:tcPr>
          <w:p w14:paraId="656F1D2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18.51%</w:t>
            </w:r>
          </w:p>
        </w:tc>
        <w:tc>
          <w:tcPr>
            <w:tcW w:w="3325" w:type="dxa"/>
          </w:tcPr>
          <w:p w14:paraId="72BDAB4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0.1577</w:t>
            </w:r>
          </w:p>
        </w:tc>
      </w:tr>
      <w:tr w:rsidR="007B6E28" w:rsidRPr="00E00285" w14:paraId="68473131" w14:textId="77777777">
        <w:tc>
          <w:tcPr>
            <w:tcW w:w="3325" w:type="dxa"/>
          </w:tcPr>
          <w:p w14:paraId="3BB20127"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Gsn</w:t>
            </w:r>
            <w:proofErr w:type="spellEnd"/>
          </w:p>
        </w:tc>
        <w:tc>
          <w:tcPr>
            <w:tcW w:w="3325" w:type="dxa"/>
          </w:tcPr>
          <w:p w14:paraId="36E30DC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14.68%</w:t>
            </w:r>
          </w:p>
        </w:tc>
        <w:tc>
          <w:tcPr>
            <w:tcW w:w="3325" w:type="dxa"/>
          </w:tcPr>
          <w:p w14:paraId="3F95937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0.1344</w:t>
            </w:r>
          </w:p>
        </w:tc>
      </w:tr>
      <w:tr w:rsidR="007B6E28" w:rsidRPr="00E00285" w14:paraId="36EF1D1F" w14:textId="77777777">
        <w:tc>
          <w:tcPr>
            <w:tcW w:w="3325" w:type="dxa"/>
          </w:tcPr>
          <w:p w14:paraId="0E371366"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Isg15</w:t>
            </w:r>
          </w:p>
        </w:tc>
        <w:tc>
          <w:tcPr>
            <w:tcW w:w="3325" w:type="dxa"/>
          </w:tcPr>
          <w:p w14:paraId="71EFE76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13.75%</w:t>
            </w:r>
          </w:p>
        </w:tc>
        <w:tc>
          <w:tcPr>
            <w:tcW w:w="3325" w:type="dxa"/>
          </w:tcPr>
          <w:p w14:paraId="1B8E235B"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0.1163</w:t>
            </w:r>
          </w:p>
        </w:tc>
      </w:tr>
      <w:tr w:rsidR="007B6E28" w:rsidRPr="00E00285" w14:paraId="583F774C" w14:textId="77777777">
        <w:tc>
          <w:tcPr>
            <w:tcW w:w="3325" w:type="dxa"/>
          </w:tcPr>
          <w:p w14:paraId="0E3CF78C" w14:textId="77777777" w:rsidR="007B6E28" w:rsidRPr="00E00285" w:rsidRDefault="00000000">
            <w:pPr>
              <w:rPr>
                <w:rFonts w:ascii="Times New Roman" w:eastAsia="Times New Roman" w:hAnsi="Times New Roman" w:cs="Times New Roman"/>
                <w:color w:val="000000" w:themeColor="text1"/>
                <w:sz w:val="24"/>
                <w:szCs w:val="24"/>
              </w:rPr>
            </w:pPr>
            <w:proofErr w:type="spellStart"/>
            <w:r w:rsidRPr="00E00285">
              <w:rPr>
                <w:rFonts w:ascii="Times New Roman" w:eastAsia="Times New Roman" w:hAnsi="Times New Roman" w:cs="Times New Roman"/>
                <w:color w:val="000000" w:themeColor="text1"/>
                <w:sz w:val="24"/>
                <w:szCs w:val="24"/>
              </w:rPr>
              <w:t>Ldha</w:t>
            </w:r>
            <w:proofErr w:type="spellEnd"/>
          </w:p>
        </w:tc>
        <w:tc>
          <w:tcPr>
            <w:tcW w:w="3325" w:type="dxa"/>
          </w:tcPr>
          <w:p w14:paraId="53F15BB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9.38%</w:t>
            </w:r>
          </w:p>
        </w:tc>
        <w:tc>
          <w:tcPr>
            <w:tcW w:w="3325" w:type="dxa"/>
          </w:tcPr>
          <w:p w14:paraId="6D57B17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0.0749</w:t>
            </w:r>
          </w:p>
        </w:tc>
      </w:tr>
      <w:tr w:rsidR="007B6E28" w:rsidRPr="00E00285" w14:paraId="4835E5CF" w14:textId="77777777">
        <w:tc>
          <w:tcPr>
            <w:tcW w:w="3325" w:type="dxa"/>
          </w:tcPr>
          <w:p w14:paraId="15D07574"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lastRenderedPageBreak/>
              <w:t>Cxcl9</w:t>
            </w:r>
          </w:p>
        </w:tc>
        <w:tc>
          <w:tcPr>
            <w:tcW w:w="3325" w:type="dxa"/>
          </w:tcPr>
          <w:p w14:paraId="7936AA9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6.62%</w:t>
            </w:r>
          </w:p>
        </w:tc>
        <w:tc>
          <w:tcPr>
            <w:tcW w:w="3325" w:type="dxa"/>
          </w:tcPr>
          <w:p w14:paraId="413C7A8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0.0517</w:t>
            </w:r>
          </w:p>
        </w:tc>
      </w:tr>
      <w:tr w:rsidR="007B6E28" w:rsidRPr="00E00285" w14:paraId="69E35E48" w14:textId="77777777">
        <w:tc>
          <w:tcPr>
            <w:tcW w:w="3325" w:type="dxa"/>
          </w:tcPr>
          <w:p w14:paraId="56BE22B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oxidative_stress_score1</w:t>
            </w:r>
          </w:p>
        </w:tc>
        <w:tc>
          <w:tcPr>
            <w:tcW w:w="3325" w:type="dxa"/>
          </w:tcPr>
          <w:p w14:paraId="5745E11A"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6.24%</w:t>
            </w:r>
          </w:p>
        </w:tc>
        <w:tc>
          <w:tcPr>
            <w:tcW w:w="3325" w:type="dxa"/>
          </w:tcPr>
          <w:p w14:paraId="2ED9858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0.0519</w:t>
            </w:r>
          </w:p>
        </w:tc>
      </w:tr>
      <w:tr w:rsidR="007B6E28" w:rsidRPr="00E00285" w14:paraId="3FB9C614" w14:textId="77777777">
        <w:tc>
          <w:tcPr>
            <w:tcW w:w="3325" w:type="dxa"/>
          </w:tcPr>
          <w:p w14:paraId="52A4E7B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metabolism_core_score1</w:t>
            </w:r>
          </w:p>
        </w:tc>
        <w:tc>
          <w:tcPr>
            <w:tcW w:w="3325" w:type="dxa"/>
          </w:tcPr>
          <w:p w14:paraId="1B5B39F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3.01%</w:t>
            </w:r>
          </w:p>
        </w:tc>
        <w:tc>
          <w:tcPr>
            <w:tcW w:w="3325" w:type="dxa"/>
          </w:tcPr>
          <w:p w14:paraId="15CB9FA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0.0222</w:t>
            </w:r>
          </w:p>
        </w:tc>
      </w:tr>
      <w:tr w:rsidR="007B6E28" w:rsidRPr="00E00285" w14:paraId="39999ACC" w14:textId="77777777">
        <w:tc>
          <w:tcPr>
            <w:tcW w:w="3325" w:type="dxa"/>
          </w:tcPr>
          <w:p w14:paraId="54F0CE5F"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Cxcl10</w:t>
            </w:r>
          </w:p>
        </w:tc>
        <w:tc>
          <w:tcPr>
            <w:tcW w:w="3325" w:type="dxa"/>
          </w:tcPr>
          <w:p w14:paraId="3529FBF0"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0.83%</w:t>
            </w:r>
          </w:p>
        </w:tc>
        <w:tc>
          <w:tcPr>
            <w:tcW w:w="3325" w:type="dxa"/>
          </w:tcPr>
          <w:p w14:paraId="26B2EF7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0.0050</w:t>
            </w:r>
          </w:p>
        </w:tc>
      </w:tr>
      <w:tr w:rsidR="007B6E28" w:rsidRPr="00E00285" w14:paraId="70925D4F" w14:textId="77777777">
        <w:tc>
          <w:tcPr>
            <w:tcW w:w="3325" w:type="dxa"/>
          </w:tcPr>
          <w:p w14:paraId="54D4538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Sod2</w:t>
            </w:r>
          </w:p>
        </w:tc>
        <w:tc>
          <w:tcPr>
            <w:tcW w:w="3325" w:type="dxa"/>
          </w:tcPr>
          <w:p w14:paraId="709576EC"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0.67%</w:t>
            </w:r>
          </w:p>
        </w:tc>
        <w:tc>
          <w:tcPr>
            <w:tcW w:w="3325" w:type="dxa"/>
          </w:tcPr>
          <w:p w14:paraId="310038DE"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0.0054</w:t>
            </w:r>
          </w:p>
        </w:tc>
      </w:tr>
      <w:tr w:rsidR="007B6E28" w:rsidRPr="00E00285" w14:paraId="65257DB2" w14:textId="77777777">
        <w:tc>
          <w:tcPr>
            <w:tcW w:w="3325" w:type="dxa"/>
          </w:tcPr>
          <w:p w14:paraId="3A129689"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lipid_metabolism_score1</w:t>
            </w:r>
          </w:p>
        </w:tc>
        <w:tc>
          <w:tcPr>
            <w:tcW w:w="3325" w:type="dxa"/>
          </w:tcPr>
          <w:p w14:paraId="7625E2E7"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0.53%</w:t>
            </w:r>
          </w:p>
        </w:tc>
        <w:tc>
          <w:tcPr>
            <w:tcW w:w="3325" w:type="dxa"/>
          </w:tcPr>
          <w:p w14:paraId="267EAFA8"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0.0040</w:t>
            </w:r>
          </w:p>
        </w:tc>
      </w:tr>
    </w:tbl>
    <w:p w14:paraId="6A54024F" w14:textId="77777777" w:rsidR="007B6E28" w:rsidRPr="00E00285" w:rsidRDefault="00000000">
      <w:pPr>
        <w:keepLines/>
        <w:spacing w:after="0"/>
        <w:jc w:val="center"/>
        <w:rPr>
          <w:color w:val="000000" w:themeColor="text1"/>
        </w:rPr>
      </w:pPr>
      <w:r w:rsidRPr="00E00285">
        <w:rPr>
          <w:noProof/>
          <w:color w:val="000000" w:themeColor="text1"/>
        </w:rPr>
        <w:drawing>
          <wp:inline distT="0" distB="0" distL="0" distR="0" wp14:anchorId="06BCA82A" wp14:editId="0E8C17F8">
            <wp:extent cx="6217920" cy="3542620"/>
            <wp:effectExtent l="0" t="0" r="0" b="0"/>
            <wp:docPr id="5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6217920" cy="3542620"/>
                    </a:xfrm>
                    <a:prstGeom prst="rect">
                      <a:avLst/>
                    </a:prstGeom>
                    <a:ln/>
                  </pic:spPr>
                </pic:pic>
              </a:graphicData>
            </a:graphic>
          </wp:inline>
        </w:drawing>
      </w:r>
    </w:p>
    <w:p w14:paraId="33E97913" w14:textId="77777777" w:rsidR="007B6E28" w:rsidRPr="00E00285" w:rsidRDefault="00000000">
      <w:pPr>
        <w:keepLines/>
        <w:pageBreakBefore/>
        <w:spacing w:after="0"/>
        <w:jc w:val="center"/>
        <w:rPr>
          <w:color w:val="000000" w:themeColor="text1"/>
        </w:rPr>
      </w:pPr>
      <w:r w:rsidRPr="00E00285">
        <w:rPr>
          <w:noProof/>
          <w:color w:val="000000" w:themeColor="text1"/>
        </w:rPr>
        <w:lastRenderedPageBreak/>
        <w:drawing>
          <wp:inline distT="0" distB="0" distL="0" distR="0" wp14:anchorId="2F804E3A" wp14:editId="6845C555">
            <wp:extent cx="6217920" cy="3500384"/>
            <wp:effectExtent l="0" t="0" r="0" b="0"/>
            <wp:docPr id="5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6217920" cy="3500384"/>
                    </a:xfrm>
                    <a:prstGeom prst="rect">
                      <a:avLst/>
                    </a:prstGeom>
                    <a:ln/>
                  </pic:spPr>
                </pic:pic>
              </a:graphicData>
            </a:graphic>
          </wp:inline>
        </w:drawing>
      </w:r>
    </w:p>
    <w:p w14:paraId="1ED6A8B8" w14:textId="77777777" w:rsidR="007B6E28" w:rsidRPr="00E00285" w:rsidRDefault="00000000">
      <w:pPr>
        <w:keepNext/>
        <w:keepLines/>
        <w:pBdr>
          <w:top w:val="nil"/>
          <w:left w:val="nil"/>
          <w:bottom w:val="nil"/>
          <w:right w:val="nil"/>
          <w:between w:val="nil"/>
        </w:pBdr>
        <w:spacing w:before="60" w:after="120" w:line="240" w:lineRule="auto"/>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Supplementary Figure S16. </w:t>
      </w:r>
      <w:r w:rsidRPr="00E00285">
        <w:rPr>
          <w:rFonts w:ascii="Times New Roman" w:eastAsia="Times New Roman" w:hAnsi="Times New Roman" w:cs="Times New Roman"/>
          <w:color w:val="000000" w:themeColor="text1"/>
          <w:sz w:val="24"/>
          <w:szCs w:val="24"/>
        </w:rPr>
        <w:t xml:space="preserve">Observed and fitted spatial patterns for selected lacrimal gland genes and module scores. (A) Cd74. (B) Antigen-presentation score. (C) Scgb2b17. (D) H2-Eb1. (E) </w:t>
      </w:r>
      <w:proofErr w:type="spellStart"/>
      <w:r w:rsidRPr="00E00285">
        <w:rPr>
          <w:rFonts w:ascii="Times New Roman" w:eastAsia="Times New Roman" w:hAnsi="Times New Roman" w:cs="Times New Roman"/>
          <w:color w:val="000000" w:themeColor="text1"/>
          <w:sz w:val="24"/>
          <w:szCs w:val="24"/>
        </w:rPr>
        <w:t>Jchain</w:t>
      </w:r>
      <w:proofErr w:type="spellEnd"/>
      <w:r w:rsidRPr="00E00285">
        <w:rPr>
          <w:rFonts w:ascii="Times New Roman" w:eastAsia="Times New Roman" w:hAnsi="Times New Roman" w:cs="Times New Roman"/>
          <w:color w:val="000000" w:themeColor="text1"/>
          <w:sz w:val="24"/>
          <w:szCs w:val="24"/>
        </w:rPr>
        <w:t>. (F) B-cell/plasma-cell score. (G) Cd79a. (H) Epithelial-secretory score.</w:t>
      </w:r>
    </w:p>
    <w:p w14:paraId="2C135404"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Biological Interpretation. </w:t>
      </w:r>
      <w:r w:rsidRPr="00E00285">
        <w:rPr>
          <w:rFonts w:ascii="Times New Roman" w:eastAsia="Times New Roman" w:hAnsi="Times New Roman" w:cs="Times New Roman"/>
          <w:color w:val="000000" w:themeColor="text1"/>
          <w:sz w:val="24"/>
          <w:szCs w:val="24"/>
        </w:rPr>
        <w:t xml:space="preserve">Antigen-presentation features showed the strongest broad spatial organization, followed by </w:t>
      </w:r>
      <w:proofErr w:type="spellStart"/>
      <w:r w:rsidRPr="00E00285">
        <w:rPr>
          <w:rFonts w:ascii="Times New Roman" w:eastAsia="Times New Roman" w:hAnsi="Times New Roman" w:cs="Times New Roman"/>
          <w:color w:val="000000" w:themeColor="text1"/>
          <w:sz w:val="24"/>
          <w:szCs w:val="24"/>
        </w:rPr>
        <w:t>secretoglobin</w:t>
      </w:r>
      <w:proofErr w:type="spellEnd"/>
      <w:r w:rsidRPr="00E00285">
        <w:rPr>
          <w:rFonts w:ascii="Times New Roman" w:eastAsia="Times New Roman" w:hAnsi="Times New Roman" w:cs="Times New Roman"/>
          <w:color w:val="000000" w:themeColor="text1"/>
          <w:sz w:val="24"/>
          <w:szCs w:val="24"/>
        </w:rPr>
        <w:t xml:space="preserve"> and humoral features. Cd74 explained 49.73% of deviance, the antigen-presentation score explained 47.42%, Scgb2b17 explained 39.56%, and H2-Eb1 explained 39.49%. In contrast, core metabolism, oxidative stress, and lipid metabolism were explained only 3.01%, 6.24%, and 0.53%, respectively. The dominant gland-wide axis is therefore immune-secretory rather than broadly metabolic.</w:t>
      </w:r>
    </w:p>
    <w:p w14:paraId="7C8AE7A1" w14:textId="77777777" w:rsidR="007B6E28" w:rsidRPr="00E00285" w:rsidRDefault="00000000">
      <w:pPr>
        <w:pStyle w:val="Heading2"/>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19. Lacrimal gland case-study conclusion and limitations</w:t>
      </w:r>
    </w:p>
    <w:p w14:paraId="77E504F2"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The final analysis supports a spatial mosaic of three related epithelial-secretory states, an antigen-presentation and lymphoid-activation state, and a plasma-cell/humoral-complement state. Marker genes, GO enrichment, module scores, spatially variable genes, neighborhood mixing, spatial GAMs, and latent-topic analysis converge on the same core organization.</w:t>
      </w:r>
    </w:p>
    <w:p w14:paraId="27FBA2B0" w14:textId="77777777" w:rsidR="007B6E28" w:rsidRPr="00E00285" w:rsidRDefault="00000000">
      <w:pPr>
        <w:numPr>
          <w:ilvl w:val="0"/>
          <w:numId w:val="1"/>
        </w:numPr>
        <w:pBdr>
          <w:top w:val="nil"/>
          <w:left w:val="nil"/>
          <w:bottom w:val="nil"/>
          <w:right w:val="nil"/>
          <w:between w:val="nil"/>
        </w:pBdr>
        <w:spacing w:after="0"/>
        <w:rPr>
          <w:color w:val="000000" w:themeColor="text1"/>
          <w:sz w:val="24"/>
          <w:szCs w:val="24"/>
        </w:rPr>
      </w:pPr>
      <w:r w:rsidRPr="00E00285">
        <w:rPr>
          <w:rFonts w:ascii="Times New Roman" w:eastAsia="Times New Roman" w:hAnsi="Times New Roman" w:cs="Times New Roman"/>
          <w:color w:val="000000" w:themeColor="text1"/>
          <w:sz w:val="24"/>
          <w:szCs w:val="24"/>
        </w:rPr>
        <w:t>The dataset contains one inflamed section, so the results are exploratory and cannot establish a condition-level effect.</w:t>
      </w:r>
    </w:p>
    <w:p w14:paraId="7B9D0DA1" w14:textId="77777777" w:rsidR="007B6E28" w:rsidRPr="00E00285" w:rsidRDefault="00000000">
      <w:pPr>
        <w:numPr>
          <w:ilvl w:val="0"/>
          <w:numId w:val="1"/>
        </w:numPr>
        <w:pBdr>
          <w:top w:val="nil"/>
          <w:left w:val="nil"/>
          <w:bottom w:val="nil"/>
          <w:right w:val="nil"/>
          <w:between w:val="nil"/>
        </w:pBdr>
        <w:spacing w:after="0"/>
        <w:rPr>
          <w:color w:val="000000" w:themeColor="text1"/>
          <w:sz w:val="24"/>
          <w:szCs w:val="24"/>
        </w:rPr>
      </w:pPr>
      <w:r w:rsidRPr="00E00285">
        <w:rPr>
          <w:rFonts w:ascii="Times New Roman" w:eastAsia="Times New Roman" w:hAnsi="Times New Roman" w:cs="Times New Roman"/>
          <w:color w:val="000000" w:themeColor="text1"/>
          <w:sz w:val="24"/>
          <w:szCs w:val="24"/>
        </w:rPr>
        <w:t xml:space="preserve">A </w:t>
      </w:r>
      <w:proofErr w:type="spellStart"/>
      <w:r w:rsidRPr="00E00285">
        <w:rPr>
          <w:rFonts w:ascii="Times New Roman" w:eastAsia="Times New Roman" w:hAnsi="Times New Roman" w:cs="Times New Roman"/>
          <w:color w:val="000000" w:themeColor="text1"/>
          <w:sz w:val="24"/>
          <w:szCs w:val="24"/>
        </w:rPr>
        <w:t>Visium</w:t>
      </w:r>
      <w:proofErr w:type="spellEnd"/>
      <w:r w:rsidRPr="00E00285">
        <w:rPr>
          <w:rFonts w:ascii="Times New Roman" w:eastAsia="Times New Roman" w:hAnsi="Times New Roman" w:cs="Times New Roman"/>
          <w:color w:val="000000" w:themeColor="text1"/>
          <w:sz w:val="24"/>
          <w:szCs w:val="24"/>
        </w:rPr>
        <w:t xml:space="preserve"> spot can contain multiple neighboring cells. Cluster labels and </w:t>
      </w:r>
      <w:proofErr w:type="spellStart"/>
      <w:r w:rsidRPr="00E00285">
        <w:rPr>
          <w:rFonts w:ascii="Times New Roman" w:eastAsia="Times New Roman" w:hAnsi="Times New Roman" w:cs="Times New Roman"/>
          <w:color w:val="000000" w:themeColor="text1"/>
          <w:sz w:val="24"/>
          <w:szCs w:val="24"/>
        </w:rPr>
        <w:t>STdeconvolve</w:t>
      </w:r>
      <w:proofErr w:type="spellEnd"/>
      <w:r w:rsidRPr="00E00285">
        <w:rPr>
          <w:rFonts w:ascii="Times New Roman" w:eastAsia="Times New Roman" w:hAnsi="Times New Roman" w:cs="Times New Roman"/>
          <w:color w:val="000000" w:themeColor="text1"/>
          <w:sz w:val="24"/>
          <w:szCs w:val="24"/>
        </w:rPr>
        <w:t xml:space="preserve"> topics therefore describe mixed transcriptional territories rather than pure cell types.</w:t>
      </w:r>
    </w:p>
    <w:p w14:paraId="5320D592" w14:textId="77777777" w:rsidR="007B6E28" w:rsidRPr="00E00285" w:rsidRDefault="00000000">
      <w:pPr>
        <w:numPr>
          <w:ilvl w:val="0"/>
          <w:numId w:val="1"/>
        </w:numPr>
        <w:pBdr>
          <w:top w:val="nil"/>
          <w:left w:val="nil"/>
          <w:bottom w:val="nil"/>
          <w:right w:val="nil"/>
          <w:between w:val="nil"/>
        </w:pBdr>
        <w:spacing w:after="0"/>
        <w:rPr>
          <w:color w:val="000000" w:themeColor="text1"/>
          <w:sz w:val="24"/>
          <w:szCs w:val="24"/>
        </w:rPr>
      </w:pPr>
      <w:r w:rsidRPr="00E00285">
        <w:rPr>
          <w:color w:val="000000" w:themeColor="text1"/>
        </w:rPr>
        <w:t>Neighborhood statistics remain dependent on clustering resolution. In this section, graph-construction sensitivity was minimal because native-array and 1.25× distance-limited adjacency produced identical edges and local-mixing values.</w:t>
      </w:r>
    </w:p>
    <w:p w14:paraId="2DAE1416" w14:textId="77777777" w:rsidR="007B6E28" w:rsidRPr="00E00285" w:rsidRDefault="00000000">
      <w:pPr>
        <w:numPr>
          <w:ilvl w:val="0"/>
          <w:numId w:val="1"/>
        </w:numPr>
        <w:pBdr>
          <w:top w:val="nil"/>
          <w:left w:val="nil"/>
          <w:bottom w:val="nil"/>
          <w:right w:val="nil"/>
          <w:between w:val="nil"/>
        </w:pBdr>
        <w:spacing w:after="0"/>
        <w:rPr>
          <w:color w:val="000000" w:themeColor="text1"/>
          <w:sz w:val="24"/>
          <w:szCs w:val="24"/>
        </w:rPr>
      </w:pPr>
      <w:r w:rsidRPr="00E00285">
        <w:rPr>
          <w:rFonts w:ascii="Times New Roman" w:eastAsia="Times New Roman" w:hAnsi="Times New Roman" w:cs="Times New Roman"/>
          <w:color w:val="000000" w:themeColor="text1"/>
          <w:sz w:val="24"/>
          <w:szCs w:val="24"/>
        </w:rPr>
        <w:t>GAM deviance explains quantifies broad spatial structure but does not identify causal signaling relationships.</w:t>
      </w:r>
    </w:p>
    <w:p w14:paraId="0A4565DD" w14:textId="77777777" w:rsidR="007B6E28" w:rsidRPr="00E00285" w:rsidRDefault="00000000">
      <w:pPr>
        <w:numPr>
          <w:ilvl w:val="0"/>
          <w:numId w:val="1"/>
        </w:numPr>
        <w:pBdr>
          <w:top w:val="nil"/>
          <w:left w:val="nil"/>
          <w:bottom w:val="nil"/>
          <w:right w:val="nil"/>
          <w:between w:val="nil"/>
        </w:pBdr>
        <w:spacing w:after="0"/>
        <w:rPr>
          <w:color w:val="000000" w:themeColor="text1"/>
          <w:sz w:val="24"/>
          <w:szCs w:val="24"/>
        </w:rPr>
      </w:pPr>
      <w:r w:rsidRPr="00E00285">
        <w:rPr>
          <w:rFonts w:ascii="Times New Roman" w:eastAsia="Times New Roman" w:hAnsi="Times New Roman" w:cs="Times New Roman"/>
          <w:color w:val="000000" w:themeColor="text1"/>
          <w:sz w:val="24"/>
          <w:szCs w:val="24"/>
        </w:rPr>
        <w:t>Curated module panels are intentionally limited and do not cover most spatially variable genes.</w:t>
      </w:r>
    </w:p>
    <w:p w14:paraId="236188E8" w14:textId="77777777" w:rsidR="007B6E28" w:rsidRPr="00E00285" w:rsidRDefault="00000000">
      <w:pPr>
        <w:numPr>
          <w:ilvl w:val="0"/>
          <w:numId w:val="1"/>
        </w:numPr>
        <w:pBdr>
          <w:top w:val="nil"/>
          <w:left w:val="nil"/>
          <w:bottom w:val="nil"/>
          <w:right w:val="nil"/>
          <w:between w:val="nil"/>
        </w:pBdr>
        <w:spacing w:after="60"/>
        <w:rPr>
          <w:color w:val="000000" w:themeColor="text1"/>
          <w:sz w:val="24"/>
          <w:szCs w:val="24"/>
        </w:rPr>
      </w:pPr>
      <w:r w:rsidRPr="00E00285">
        <w:rPr>
          <w:rFonts w:ascii="Times New Roman" w:eastAsia="Times New Roman" w:hAnsi="Times New Roman" w:cs="Times New Roman"/>
          <w:color w:val="000000" w:themeColor="text1"/>
          <w:sz w:val="24"/>
          <w:szCs w:val="24"/>
        </w:rPr>
        <w:t>Functional enrichment was interpreted only when it was concordant with current marker and spatial output.</w:t>
      </w:r>
    </w:p>
    <w:p w14:paraId="6FCDF9E8" w14:textId="77777777" w:rsidR="007B6E28" w:rsidRPr="00E00285" w:rsidRDefault="00000000">
      <w:pPr>
        <w:pStyle w:val="Heading1"/>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Integrated interpretation across the two case studies</w:t>
      </w:r>
    </w:p>
    <w:p w14:paraId="4BF91A03"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Together, these analyses illustrate how a common computational framework can answer different biological questions in distinct tissue systems. In the Arabidopsis seedling, the dominant signal is </w:t>
      </w:r>
      <w:r w:rsidRPr="00E00285">
        <w:rPr>
          <w:rFonts w:ascii="Times New Roman" w:eastAsia="Times New Roman" w:hAnsi="Times New Roman" w:cs="Times New Roman"/>
          <w:color w:val="000000" w:themeColor="text1"/>
          <w:sz w:val="24"/>
          <w:szCs w:val="24"/>
        </w:rPr>
        <w:lastRenderedPageBreak/>
        <w:t>anatomical compartmentalization across a whole-organism developmental axis. The analysis resolves photosynthetic, germination, root, hypocotyl, meristematic, and SAM domains and connects them to expected metabolic and developmental pathways. In the inflamed lacrimal gland, the dominant signal is local intermixing. Secretory epithelial, antigen-presentation, lymphoid, plasma-cell, and complement programs form a highly connected mosaic.</w:t>
      </w:r>
    </w:p>
    <w:p w14:paraId="2E67D21D" w14:textId="77777777" w:rsidR="007B6E28" w:rsidRPr="00E00285" w:rsidRDefault="00000000">
      <w:pPr>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The case studies also demonstrate why multiple spatial analyses are necessary. UMAP and clustering identify discrete states; spatial feature plots verify their tissue localization; Moran’s I detect label-independent spatial genes; pathway analysis summarizes coordinated biology; neighborhood statistics quantify local mixing; GAMs test continuous spatial organization; and reference-free topic modeling evaluates whether the same programs recur without fixed cluster boundaries.</w:t>
      </w:r>
    </w:p>
    <w:p w14:paraId="5FF46106" w14:textId="77777777" w:rsidR="007B6E28" w:rsidRPr="00E00285" w:rsidRDefault="00000000">
      <w:pPr>
        <w:pBdr>
          <w:top w:val="nil"/>
          <w:left w:val="single" w:sz="18" w:space="7" w:color="7F7F7F"/>
          <w:bottom w:val="nil"/>
          <w:right w:val="nil"/>
          <w:between w:val="nil"/>
        </w:pBdr>
        <w:shd w:val="clear" w:color="auto" w:fill="EDEDED"/>
        <w:spacing w:before="80" w:after="140" w:line="252" w:lineRule="auto"/>
        <w:ind w:left="259" w:right="144"/>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b/>
          <w:bCs/>
          <w:color w:val="000000" w:themeColor="text1"/>
          <w:sz w:val="24"/>
          <w:szCs w:val="24"/>
        </w:rPr>
        <w:t xml:space="preserve">General conclusion. </w:t>
      </w:r>
      <w:r w:rsidRPr="00E00285">
        <w:rPr>
          <w:rFonts w:ascii="Times New Roman" w:eastAsia="Times New Roman" w:hAnsi="Times New Roman" w:cs="Times New Roman"/>
          <w:color w:val="000000" w:themeColor="text1"/>
          <w:sz w:val="24"/>
          <w:szCs w:val="24"/>
        </w:rPr>
        <w:t>Spatial transcriptomics is most informative when categorical domains, continuous spatial structure, local neighborhood relationships, and pathway-level biology are interpreted together. No single plot or statistical test is sufficient on its own.</w:t>
      </w:r>
    </w:p>
    <w:p w14:paraId="3D3B0FC0" w14:textId="77777777" w:rsidR="007B6E28" w:rsidRPr="00E00285" w:rsidRDefault="00000000">
      <w:pPr>
        <w:pStyle w:val="Heading1"/>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References</w:t>
      </w:r>
    </w:p>
    <w:p w14:paraId="1DD81A29"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10x Genomics. (2025, October 13). </w:t>
      </w:r>
      <w:proofErr w:type="spellStart"/>
      <w:r w:rsidRPr="00E00285">
        <w:rPr>
          <w:rFonts w:ascii="Times New Roman" w:eastAsia="Times New Roman" w:hAnsi="Times New Roman" w:cs="Times New Roman"/>
          <w:i/>
          <w:iCs/>
          <w:color w:val="000000" w:themeColor="text1"/>
          <w:sz w:val="24"/>
          <w:szCs w:val="24"/>
        </w:rPr>
        <w:t>Visium</w:t>
      </w:r>
      <w:proofErr w:type="spellEnd"/>
      <w:r w:rsidRPr="00E00285">
        <w:rPr>
          <w:rFonts w:ascii="Times New Roman" w:eastAsia="Times New Roman" w:hAnsi="Times New Roman" w:cs="Times New Roman"/>
          <w:i/>
          <w:iCs/>
          <w:color w:val="000000" w:themeColor="text1"/>
          <w:sz w:val="24"/>
          <w:szCs w:val="24"/>
        </w:rPr>
        <w:t xml:space="preserve"> HD 3′ gene expression library, Arabidopsis thaliana (fresh frozen)</w:t>
      </w:r>
      <w:r w:rsidRPr="00E00285">
        <w:rPr>
          <w:rFonts w:ascii="Times New Roman" w:eastAsia="Times New Roman" w:hAnsi="Times New Roman" w:cs="Times New Roman"/>
          <w:color w:val="000000" w:themeColor="text1"/>
          <w:sz w:val="24"/>
          <w:szCs w:val="24"/>
        </w:rPr>
        <w:t xml:space="preserve"> [Data set].</w:t>
      </w:r>
    </w:p>
    <w:p w14:paraId="06704F78" w14:textId="77777777" w:rsidR="007B6E28" w:rsidRPr="00E00285" w:rsidRDefault="00000000">
      <w:pPr>
        <w:rPr>
          <w:color w:val="000000" w:themeColor="text1"/>
        </w:rPr>
      </w:pPr>
      <w:r w:rsidRPr="00E00285">
        <w:rPr>
          <w:color w:val="000000" w:themeColor="text1"/>
        </w:rPr>
        <w:t>10x Genomics. (2026). Space Ranger spatial outputs [Software documentation]. 10x Genomics Support. Accessed September 11, 2026.</w:t>
      </w:r>
    </w:p>
    <w:p w14:paraId="1DA56764"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Conrady, C. D., Joos, Z. P., &amp; Patel, B. C. K. (2016). Review: The lacrimal gland and its role in dry eye. </w:t>
      </w:r>
      <w:r w:rsidRPr="00E00285">
        <w:rPr>
          <w:rFonts w:ascii="Times New Roman" w:eastAsia="Times New Roman" w:hAnsi="Times New Roman" w:cs="Times New Roman"/>
          <w:i/>
          <w:iCs/>
          <w:color w:val="000000" w:themeColor="text1"/>
          <w:sz w:val="24"/>
          <w:szCs w:val="24"/>
        </w:rPr>
        <w:t>Journal of Ophthalmology, 2016</w:t>
      </w:r>
      <w:r w:rsidRPr="00E00285">
        <w:rPr>
          <w:rFonts w:ascii="Times New Roman" w:eastAsia="Times New Roman" w:hAnsi="Times New Roman" w:cs="Times New Roman"/>
          <w:color w:val="000000" w:themeColor="text1"/>
          <w:sz w:val="24"/>
          <w:szCs w:val="24"/>
        </w:rPr>
        <w:t>, Article 7542929. doi:10.1155/2016/7542929</w:t>
      </w:r>
    </w:p>
    <w:p w14:paraId="6D7C3507"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Craig, J. P., Nichols, K. K., </w:t>
      </w:r>
      <w:proofErr w:type="spellStart"/>
      <w:r w:rsidRPr="00E00285">
        <w:rPr>
          <w:rFonts w:ascii="Times New Roman" w:eastAsia="Times New Roman" w:hAnsi="Times New Roman" w:cs="Times New Roman"/>
          <w:color w:val="000000" w:themeColor="text1"/>
          <w:sz w:val="24"/>
          <w:szCs w:val="24"/>
        </w:rPr>
        <w:t>Akpek</w:t>
      </w:r>
      <w:proofErr w:type="spellEnd"/>
      <w:r w:rsidRPr="00E00285">
        <w:rPr>
          <w:rFonts w:ascii="Times New Roman" w:eastAsia="Times New Roman" w:hAnsi="Times New Roman" w:cs="Times New Roman"/>
          <w:color w:val="000000" w:themeColor="text1"/>
          <w:sz w:val="24"/>
          <w:szCs w:val="24"/>
        </w:rPr>
        <w:t xml:space="preserve">, E. K., Caffery, B., Dua, H. S., Joo, C.-K., Liu, Z., Nelson, J. D., Nichols, J. J., Tsubota, K., &amp; Stapleton, F. (2017). TFOS DEWS II definition and classification report. </w:t>
      </w:r>
      <w:r w:rsidRPr="00E00285">
        <w:rPr>
          <w:rFonts w:ascii="Times New Roman" w:eastAsia="Times New Roman" w:hAnsi="Times New Roman" w:cs="Times New Roman"/>
          <w:i/>
          <w:iCs/>
          <w:color w:val="000000" w:themeColor="text1"/>
          <w:sz w:val="24"/>
          <w:szCs w:val="24"/>
        </w:rPr>
        <w:t>The Ocular Surface, 15</w:t>
      </w:r>
      <w:r w:rsidRPr="00E00285">
        <w:rPr>
          <w:rFonts w:ascii="Times New Roman" w:eastAsia="Times New Roman" w:hAnsi="Times New Roman" w:cs="Times New Roman"/>
          <w:color w:val="000000" w:themeColor="text1"/>
          <w:sz w:val="24"/>
          <w:szCs w:val="24"/>
        </w:rPr>
        <w:t>(3), 276–283. doi:10.1016/j.jtos.2017.05.008</w:t>
      </w:r>
    </w:p>
    <w:p w14:paraId="510B353E"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Hafemeister, C., &amp; Satija, R. (2019). Normalization and variance stabilization of single-cell RNA-seq data using regularized negative binomial regression. </w:t>
      </w:r>
      <w:r w:rsidRPr="00E00285">
        <w:rPr>
          <w:rFonts w:ascii="Times New Roman" w:eastAsia="Times New Roman" w:hAnsi="Times New Roman" w:cs="Times New Roman"/>
          <w:i/>
          <w:iCs/>
          <w:color w:val="000000" w:themeColor="text1"/>
          <w:sz w:val="24"/>
          <w:szCs w:val="24"/>
        </w:rPr>
        <w:t>Genome Biology, 20</w:t>
      </w:r>
      <w:r w:rsidRPr="00E00285">
        <w:rPr>
          <w:rFonts w:ascii="Times New Roman" w:eastAsia="Times New Roman" w:hAnsi="Times New Roman" w:cs="Times New Roman"/>
          <w:color w:val="000000" w:themeColor="text1"/>
          <w:sz w:val="24"/>
          <w:szCs w:val="24"/>
        </w:rPr>
        <w:t>, Article 296. doi:10.1186/s13059-019-1874-1</w:t>
      </w:r>
    </w:p>
    <w:p w14:paraId="36067459"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Klepikova, A. V., Kasianov, A. S., Gerasimov, E. S., </w:t>
      </w:r>
      <w:proofErr w:type="spellStart"/>
      <w:r w:rsidRPr="00E00285">
        <w:rPr>
          <w:rFonts w:ascii="Times New Roman" w:eastAsia="Times New Roman" w:hAnsi="Times New Roman" w:cs="Times New Roman"/>
          <w:color w:val="000000" w:themeColor="text1"/>
          <w:sz w:val="24"/>
          <w:szCs w:val="24"/>
        </w:rPr>
        <w:t>Logacheva</w:t>
      </w:r>
      <w:proofErr w:type="spellEnd"/>
      <w:r w:rsidRPr="00E00285">
        <w:rPr>
          <w:rFonts w:ascii="Times New Roman" w:eastAsia="Times New Roman" w:hAnsi="Times New Roman" w:cs="Times New Roman"/>
          <w:color w:val="000000" w:themeColor="text1"/>
          <w:sz w:val="24"/>
          <w:szCs w:val="24"/>
        </w:rPr>
        <w:t xml:space="preserve">, M. D., &amp; </w:t>
      </w:r>
      <w:proofErr w:type="spellStart"/>
      <w:r w:rsidRPr="00E00285">
        <w:rPr>
          <w:rFonts w:ascii="Times New Roman" w:eastAsia="Times New Roman" w:hAnsi="Times New Roman" w:cs="Times New Roman"/>
          <w:color w:val="000000" w:themeColor="text1"/>
          <w:sz w:val="24"/>
          <w:szCs w:val="24"/>
        </w:rPr>
        <w:t>Penin</w:t>
      </w:r>
      <w:proofErr w:type="spellEnd"/>
      <w:r w:rsidRPr="00E00285">
        <w:rPr>
          <w:rFonts w:ascii="Times New Roman" w:eastAsia="Times New Roman" w:hAnsi="Times New Roman" w:cs="Times New Roman"/>
          <w:color w:val="000000" w:themeColor="text1"/>
          <w:sz w:val="24"/>
          <w:szCs w:val="24"/>
        </w:rPr>
        <w:t xml:space="preserve">, A. A. (2016). A high resolution map of the </w:t>
      </w:r>
      <w:r w:rsidRPr="00E00285">
        <w:rPr>
          <w:rFonts w:ascii="Times New Roman" w:eastAsia="Times New Roman" w:hAnsi="Times New Roman" w:cs="Times New Roman"/>
          <w:i/>
          <w:iCs/>
          <w:color w:val="000000" w:themeColor="text1"/>
          <w:sz w:val="24"/>
          <w:szCs w:val="24"/>
        </w:rPr>
        <w:t>Arabidopsis thaliana</w:t>
      </w:r>
      <w:r w:rsidRPr="00E00285">
        <w:rPr>
          <w:rFonts w:ascii="Times New Roman" w:eastAsia="Times New Roman" w:hAnsi="Times New Roman" w:cs="Times New Roman"/>
          <w:color w:val="000000" w:themeColor="text1"/>
          <w:sz w:val="24"/>
          <w:szCs w:val="24"/>
        </w:rPr>
        <w:t xml:space="preserve"> developmental transcriptome based on RNA-seq profiling. </w:t>
      </w:r>
      <w:r w:rsidRPr="00E00285">
        <w:rPr>
          <w:rFonts w:ascii="Times New Roman" w:eastAsia="Times New Roman" w:hAnsi="Times New Roman" w:cs="Times New Roman"/>
          <w:i/>
          <w:iCs/>
          <w:color w:val="000000" w:themeColor="text1"/>
          <w:sz w:val="24"/>
          <w:szCs w:val="24"/>
        </w:rPr>
        <w:t>The Plant Journal, 88</w:t>
      </w:r>
      <w:r w:rsidRPr="00E00285">
        <w:rPr>
          <w:rFonts w:ascii="Times New Roman" w:eastAsia="Times New Roman" w:hAnsi="Times New Roman" w:cs="Times New Roman"/>
          <w:color w:val="000000" w:themeColor="text1"/>
          <w:sz w:val="24"/>
          <w:szCs w:val="24"/>
        </w:rPr>
        <w:t>(6), 1058–1070. doi:10.1111/tpj.13312</w:t>
      </w:r>
    </w:p>
    <w:p w14:paraId="30AA5898"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Miller, B. F., Huang, F., Atta, L., Sahoo, A., &amp; Fan, J. (2022). Reference-free cell type deconvolution of multi-cellular pixel-resolution spatially resolved transcriptomics data. </w:t>
      </w:r>
      <w:r w:rsidRPr="00E00285">
        <w:rPr>
          <w:rFonts w:ascii="Times New Roman" w:eastAsia="Times New Roman" w:hAnsi="Times New Roman" w:cs="Times New Roman"/>
          <w:i/>
          <w:iCs/>
          <w:color w:val="000000" w:themeColor="text1"/>
          <w:sz w:val="24"/>
          <w:szCs w:val="24"/>
        </w:rPr>
        <w:t>Nature Communications, 13</w:t>
      </w:r>
      <w:r w:rsidRPr="00E00285">
        <w:rPr>
          <w:rFonts w:ascii="Times New Roman" w:eastAsia="Times New Roman" w:hAnsi="Times New Roman" w:cs="Times New Roman"/>
          <w:color w:val="000000" w:themeColor="text1"/>
          <w:sz w:val="24"/>
          <w:szCs w:val="24"/>
        </w:rPr>
        <w:t>, Article 2339. doi:10.1038/s41467-022-30033-z</w:t>
      </w:r>
    </w:p>
    <w:p w14:paraId="12158607"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Moran, P. A. P. (1950). Notes on continuous stochastic phenomena. </w:t>
      </w:r>
      <w:proofErr w:type="spellStart"/>
      <w:r w:rsidRPr="00E00285">
        <w:rPr>
          <w:rFonts w:ascii="Times New Roman" w:eastAsia="Times New Roman" w:hAnsi="Times New Roman" w:cs="Times New Roman"/>
          <w:i/>
          <w:iCs/>
          <w:color w:val="000000" w:themeColor="text1"/>
          <w:sz w:val="24"/>
          <w:szCs w:val="24"/>
        </w:rPr>
        <w:t>Biometrika</w:t>
      </w:r>
      <w:proofErr w:type="spellEnd"/>
      <w:r w:rsidRPr="00E00285">
        <w:rPr>
          <w:rFonts w:ascii="Times New Roman" w:eastAsia="Times New Roman" w:hAnsi="Times New Roman" w:cs="Times New Roman"/>
          <w:i/>
          <w:iCs/>
          <w:color w:val="000000" w:themeColor="text1"/>
          <w:sz w:val="24"/>
          <w:szCs w:val="24"/>
        </w:rPr>
        <w:t>, 37</w:t>
      </w:r>
      <w:r w:rsidRPr="00E00285">
        <w:rPr>
          <w:rFonts w:ascii="Times New Roman" w:eastAsia="Times New Roman" w:hAnsi="Times New Roman" w:cs="Times New Roman"/>
          <w:color w:val="000000" w:themeColor="text1"/>
          <w:sz w:val="24"/>
          <w:szCs w:val="24"/>
        </w:rPr>
        <w:t>(1–2), 17–23. doi:10.1093/</w:t>
      </w:r>
      <w:proofErr w:type="spellStart"/>
      <w:r w:rsidRPr="00E00285">
        <w:rPr>
          <w:rFonts w:ascii="Times New Roman" w:eastAsia="Times New Roman" w:hAnsi="Times New Roman" w:cs="Times New Roman"/>
          <w:color w:val="000000" w:themeColor="text1"/>
          <w:sz w:val="24"/>
          <w:szCs w:val="24"/>
        </w:rPr>
        <w:t>biomet</w:t>
      </w:r>
      <w:proofErr w:type="spellEnd"/>
      <w:r w:rsidRPr="00E00285">
        <w:rPr>
          <w:rFonts w:ascii="Times New Roman" w:eastAsia="Times New Roman" w:hAnsi="Times New Roman" w:cs="Times New Roman"/>
          <w:color w:val="000000" w:themeColor="text1"/>
          <w:sz w:val="24"/>
          <w:szCs w:val="24"/>
        </w:rPr>
        <w:t>/37.1-2.17</w:t>
      </w:r>
    </w:p>
    <w:p w14:paraId="5EC386F8"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Ospina, O.E., Soupir, A.C., Manjarres-Betancur, R. et al. Differential gene expression analysis of spatial transcriptomic experiments using spatial mixed models. Sci Rep 14, 10967 (2024). https://doi.org/10.1038/s41598-024-61758-0</w:t>
      </w:r>
    </w:p>
    <w:p w14:paraId="0E1DBC6D"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Satija Lab. (2026, May 27). </w:t>
      </w:r>
      <w:r w:rsidRPr="00E00285">
        <w:rPr>
          <w:rFonts w:ascii="Times New Roman" w:eastAsia="Times New Roman" w:hAnsi="Times New Roman" w:cs="Times New Roman"/>
          <w:i/>
          <w:iCs/>
          <w:color w:val="000000" w:themeColor="text1"/>
          <w:sz w:val="24"/>
          <w:szCs w:val="24"/>
        </w:rPr>
        <w:t xml:space="preserve">Analysis, visualization, and integration of </w:t>
      </w:r>
      <w:proofErr w:type="spellStart"/>
      <w:r w:rsidRPr="00E00285">
        <w:rPr>
          <w:rFonts w:ascii="Times New Roman" w:eastAsia="Times New Roman" w:hAnsi="Times New Roman" w:cs="Times New Roman"/>
          <w:i/>
          <w:iCs/>
          <w:color w:val="000000" w:themeColor="text1"/>
          <w:sz w:val="24"/>
          <w:szCs w:val="24"/>
        </w:rPr>
        <w:t>Visium</w:t>
      </w:r>
      <w:proofErr w:type="spellEnd"/>
      <w:r w:rsidRPr="00E00285">
        <w:rPr>
          <w:rFonts w:ascii="Times New Roman" w:eastAsia="Times New Roman" w:hAnsi="Times New Roman" w:cs="Times New Roman"/>
          <w:i/>
          <w:iCs/>
          <w:color w:val="000000" w:themeColor="text1"/>
          <w:sz w:val="24"/>
          <w:szCs w:val="24"/>
        </w:rPr>
        <w:t xml:space="preserve"> HD spatial datasets with Seurat</w:t>
      </w:r>
      <w:r w:rsidRPr="00E00285">
        <w:rPr>
          <w:rFonts w:ascii="Times New Roman" w:eastAsia="Times New Roman" w:hAnsi="Times New Roman" w:cs="Times New Roman"/>
          <w:color w:val="000000" w:themeColor="text1"/>
          <w:sz w:val="24"/>
          <w:szCs w:val="24"/>
        </w:rPr>
        <w:t xml:space="preserve"> [Documentation]. Seurat.</w:t>
      </w:r>
    </w:p>
    <w:p w14:paraId="25D25D64"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Stuart, T., Butler, A., Hoffman, P., Hafemeister, C., Papalexi, E., Mauck, W. M., III, Hao, Y., Stoeckius, M., Smibert, P., &amp; Satija, R. (2019). Comprehensive integration of single-cell data. </w:t>
      </w:r>
      <w:r w:rsidRPr="00E00285">
        <w:rPr>
          <w:rFonts w:ascii="Times New Roman" w:eastAsia="Times New Roman" w:hAnsi="Times New Roman" w:cs="Times New Roman"/>
          <w:i/>
          <w:iCs/>
          <w:color w:val="000000" w:themeColor="text1"/>
          <w:sz w:val="24"/>
          <w:szCs w:val="24"/>
        </w:rPr>
        <w:t>Cell, 177</w:t>
      </w:r>
      <w:r w:rsidRPr="00E00285">
        <w:rPr>
          <w:rFonts w:ascii="Times New Roman" w:eastAsia="Times New Roman" w:hAnsi="Times New Roman" w:cs="Times New Roman"/>
          <w:color w:val="000000" w:themeColor="text1"/>
          <w:sz w:val="24"/>
          <w:szCs w:val="24"/>
        </w:rPr>
        <w:t>(7), 1888–1902.e21. doi:10.1016/j.cell.2019.05.031</w:t>
      </w:r>
    </w:p>
    <w:p w14:paraId="12559D39"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Subramanian, A., Tamayo, P., Mootha, V. K., Mukherjee, S., Ebert, B. L., Gillette, M. A., Paulovich, A., Pomeroy, S. L., Golub, T. R., Lander, E. S., &amp; Mesirov, J. P. (2005). Gene set enrichment analysis: A knowledge-based approach for interpreting genome-wide expression profiles. </w:t>
      </w:r>
      <w:r w:rsidRPr="00E00285">
        <w:rPr>
          <w:rFonts w:ascii="Times New Roman" w:eastAsia="Times New Roman" w:hAnsi="Times New Roman" w:cs="Times New Roman"/>
          <w:i/>
          <w:iCs/>
          <w:color w:val="000000" w:themeColor="text1"/>
          <w:sz w:val="24"/>
          <w:szCs w:val="24"/>
        </w:rPr>
        <w:lastRenderedPageBreak/>
        <w:t>Proceedings of the National Academy of Sciences of the United States of America, 102</w:t>
      </w:r>
      <w:r w:rsidRPr="00E00285">
        <w:rPr>
          <w:rFonts w:ascii="Times New Roman" w:eastAsia="Times New Roman" w:hAnsi="Times New Roman" w:cs="Times New Roman"/>
          <w:color w:val="000000" w:themeColor="text1"/>
          <w:sz w:val="24"/>
          <w:szCs w:val="24"/>
        </w:rPr>
        <w:t>(43), 15545–15550. doi:10.1073/pnas.0506580102</w:t>
      </w:r>
    </w:p>
    <w:p w14:paraId="797D49A7"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Squair, J.W., Gautier, M., Kathe, C. et al. Confronting false discoveries in single-cell differential expression. Nat Commun 12, 5692 (2021). https://doi.org/10.1038/s41467-021-25960-2</w:t>
      </w:r>
    </w:p>
    <w:p w14:paraId="567F837A"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The Arabidopsis Information Resource. (n.d.). </w:t>
      </w:r>
      <w:r w:rsidRPr="00E00285">
        <w:rPr>
          <w:rFonts w:ascii="Times New Roman" w:eastAsia="Times New Roman" w:hAnsi="Times New Roman" w:cs="Times New Roman"/>
          <w:i/>
          <w:iCs/>
          <w:color w:val="000000" w:themeColor="text1"/>
          <w:sz w:val="24"/>
          <w:szCs w:val="24"/>
        </w:rPr>
        <w:t>TAIR: The Arabidopsis Information Resource</w:t>
      </w:r>
      <w:r w:rsidRPr="00E00285">
        <w:rPr>
          <w:rFonts w:ascii="Times New Roman" w:eastAsia="Times New Roman" w:hAnsi="Times New Roman" w:cs="Times New Roman"/>
          <w:color w:val="000000" w:themeColor="text1"/>
          <w:sz w:val="24"/>
          <w:szCs w:val="24"/>
        </w:rPr>
        <w:t xml:space="preserve"> [Database]. Retrieved July 12, 2026.</w:t>
      </w:r>
    </w:p>
    <w:p w14:paraId="74E3CA3D"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Wood, S. N. (2017). </w:t>
      </w:r>
      <w:r w:rsidRPr="00E00285">
        <w:rPr>
          <w:rFonts w:ascii="Times New Roman" w:eastAsia="Times New Roman" w:hAnsi="Times New Roman" w:cs="Times New Roman"/>
          <w:i/>
          <w:iCs/>
          <w:color w:val="000000" w:themeColor="text1"/>
          <w:sz w:val="24"/>
          <w:szCs w:val="24"/>
        </w:rPr>
        <w:t>Generalized additive models: An introduction with R</w:t>
      </w:r>
      <w:r w:rsidRPr="00E00285">
        <w:rPr>
          <w:rFonts w:ascii="Times New Roman" w:eastAsia="Times New Roman" w:hAnsi="Times New Roman" w:cs="Times New Roman"/>
          <w:color w:val="000000" w:themeColor="text1"/>
          <w:sz w:val="24"/>
          <w:szCs w:val="24"/>
        </w:rPr>
        <w:t xml:space="preserve"> (2nd ed.). Chapman &amp; Hall/CRC. doi:10.1201/9781315370279</w:t>
      </w:r>
    </w:p>
    <w:p w14:paraId="61D28E14"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Wu, T., Hu, E., Xu, S., Chen, M., Guo, P., Dai, Z., Feng, T., Zhou, L., Tang, W., Zhan, L., Fu, X., Liu, S., Bo, X., &amp; Yu, G. (2021). </w:t>
      </w:r>
      <w:proofErr w:type="spellStart"/>
      <w:r w:rsidRPr="00E00285">
        <w:rPr>
          <w:rFonts w:ascii="Times New Roman" w:eastAsia="Times New Roman" w:hAnsi="Times New Roman" w:cs="Times New Roman"/>
          <w:color w:val="000000" w:themeColor="text1"/>
          <w:sz w:val="24"/>
          <w:szCs w:val="24"/>
        </w:rPr>
        <w:t>clusterProfiler</w:t>
      </w:r>
      <w:proofErr w:type="spellEnd"/>
      <w:r w:rsidRPr="00E00285">
        <w:rPr>
          <w:rFonts w:ascii="Times New Roman" w:eastAsia="Times New Roman" w:hAnsi="Times New Roman" w:cs="Times New Roman"/>
          <w:color w:val="000000" w:themeColor="text1"/>
          <w:sz w:val="24"/>
          <w:szCs w:val="24"/>
        </w:rPr>
        <w:t xml:space="preserve"> 4.0: A universal enrichment tool for interpreting omics data. </w:t>
      </w:r>
      <w:r w:rsidRPr="00E00285">
        <w:rPr>
          <w:rFonts w:ascii="Times New Roman" w:eastAsia="Times New Roman" w:hAnsi="Times New Roman" w:cs="Times New Roman"/>
          <w:i/>
          <w:iCs/>
          <w:color w:val="000000" w:themeColor="text1"/>
          <w:sz w:val="24"/>
          <w:szCs w:val="24"/>
        </w:rPr>
        <w:t>The Innovation, 2</w:t>
      </w:r>
      <w:r w:rsidRPr="00E00285">
        <w:rPr>
          <w:rFonts w:ascii="Times New Roman" w:eastAsia="Times New Roman" w:hAnsi="Times New Roman" w:cs="Times New Roman"/>
          <w:color w:val="000000" w:themeColor="text1"/>
          <w:sz w:val="24"/>
          <w:szCs w:val="24"/>
        </w:rPr>
        <w:t>(3), Article 100141. doi:10.1016/j.xinn.2021.100141</w:t>
      </w:r>
    </w:p>
    <w:p w14:paraId="65A18249" w14:textId="77777777" w:rsidR="007B6E28" w:rsidRPr="00E00285" w:rsidRDefault="00000000">
      <w:pPr>
        <w:spacing w:after="60"/>
        <w:ind w:left="360" w:hanging="360"/>
        <w:rPr>
          <w:rFonts w:ascii="Times New Roman" w:eastAsia="Times New Roman" w:hAnsi="Times New Roman" w:cs="Times New Roman"/>
          <w:color w:val="000000" w:themeColor="text1"/>
          <w:sz w:val="24"/>
          <w:szCs w:val="24"/>
        </w:rPr>
      </w:pPr>
      <w:r w:rsidRPr="00E00285">
        <w:rPr>
          <w:rFonts w:ascii="Times New Roman" w:eastAsia="Times New Roman" w:hAnsi="Times New Roman" w:cs="Times New Roman"/>
          <w:color w:val="000000" w:themeColor="text1"/>
          <w:sz w:val="24"/>
          <w:szCs w:val="24"/>
        </w:rPr>
        <w:t xml:space="preserve">Yu, G., Wang, L.-G., Han, Y., &amp; He, Q.-Y. (2012). </w:t>
      </w:r>
      <w:proofErr w:type="spellStart"/>
      <w:r w:rsidRPr="00E00285">
        <w:rPr>
          <w:rFonts w:ascii="Times New Roman" w:eastAsia="Times New Roman" w:hAnsi="Times New Roman" w:cs="Times New Roman"/>
          <w:color w:val="000000" w:themeColor="text1"/>
          <w:sz w:val="24"/>
          <w:szCs w:val="24"/>
        </w:rPr>
        <w:t>clusterProfiler</w:t>
      </w:r>
      <w:proofErr w:type="spellEnd"/>
      <w:r w:rsidRPr="00E00285">
        <w:rPr>
          <w:rFonts w:ascii="Times New Roman" w:eastAsia="Times New Roman" w:hAnsi="Times New Roman" w:cs="Times New Roman"/>
          <w:color w:val="000000" w:themeColor="text1"/>
          <w:sz w:val="24"/>
          <w:szCs w:val="24"/>
        </w:rPr>
        <w:t xml:space="preserve">: An R package for comparing biological themes among gene clusters. </w:t>
      </w:r>
      <w:r w:rsidRPr="00E00285">
        <w:rPr>
          <w:rFonts w:ascii="Times New Roman" w:eastAsia="Times New Roman" w:hAnsi="Times New Roman" w:cs="Times New Roman"/>
          <w:i/>
          <w:iCs/>
          <w:color w:val="000000" w:themeColor="text1"/>
          <w:sz w:val="24"/>
          <w:szCs w:val="24"/>
        </w:rPr>
        <w:t>OMICS: A Journal of Integrative Biology, 16</w:t>
      </w:r>
      <w:r w:rsidRPr="00E00285">
        <w:rPr>
          <w:rFonts w:ascii="Times New Roman" w:eastAsia="Times New Roman" w:hAnsi="Times New Roman" w:cs="Times New Roman"/>
          <w:color w:val="000000" w:themeColor="text1"/>
          <w:sz w:val="24"/>
          <w:szCs w:val="24"/>
        </w:rPr>
        <w:t xml:space="preserve">(5), 284–287. doi:10.1089/omi.2011.0118 </w:t>
      </w:r>
    </w:p>
    <w:p w14:paraId="00100F61" w14:textId="77777777" w:rsidR="007B6E28" w:rsidRPr="00E00285" w:rsidRDefault="007B6E28">
      <w:pPr>
        <w:spacing w:after="60"/>
        <w:ind w:left="360" w:hanging="360"/>
        <w:rPr>
          <w:rFonts w:ascii="Times New Roman" w:eastAsia="Times New Roman" w:hAnsi="Times New Roman" w:cs="Times New Roman"/>
          <w:color w:val="000000" w:themeColor="text1"/>
          <w:sz w:val="24"/>
          <w:szCs w:val="24"/>
        </w:rPr>
      </w:pPr>
    </w:p>
    <w:sectPr w:rsidR="007B6E28" w:rsidRPr="00E00285">
      <w:headerReference w:type="default" r:id="rId34"/>
      <w:footerReference w:type="default" r:id="rId35"/>
      <w:pgSz w:w="11906" w:h="16838"/>
      <w:pgMar w:top="893" w:right="965" w:bottom="893" w:left="965" w:header="360" w:footer="40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2644A" w14:textId="77777777" w:rsidR="009638C7" w:rsidRDefault="009638C7">
      <w:pPr>
        <w:spacing w:after="0" w:line="240" w:lineRule="auto"/>
      </w:pPr>
      <w:r>
        <w:separator/>
      </w:r>
    </w:p>
  </w:endnote>
  <w:endnote w:type="continuationSeparator" w:id="0">
    <w:p w14:paraId="6F6ED74D" w14:textId="77777777" w:rsidR="009638C7" w:rsidRDefault="00963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57EFCAB-589E-4356-B3A2-4D6A0297D76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C404E51-BA8C-4DDF-88B3-D5A007BE1D0A}"/>
    <w:embedBold r:id="rId3" w:fontKey="{68D5BAF9-4F13-4467-88EC-7665CAF185D6}"/>
    <w:embedItalic r:id="rId4" w:fontKey="{F99A3392-1FE4-4555-8DDD-7B2623C9DACA}"/>
    <w:embedBoldItalic r:id="rId5" w:fontKey="{2014D538-DAEE-438A-91BE-38F4BCF3197D}"/>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roman"/>
    <w:notTrueType/>
    <w:pitch w:val="default"/>
    <w:embedRegular r:id="rId6" w:fontKey="{4B8F9432-1B42-4527-A7E2-67436A0D9041}"/>
  </w:font>
  <w:font w:name="Gungsuh">
    <w:charset w:val="81"/>
    <w:family w:val="roman"/>
    <w:pitch w:val="variable"/>
    <w:sig w:usb0="B00002AF" w:usb1="69D77CFB" w:usb2="00000030" w:usb3="00000000" w:csb0="0008009F" w:csb1="00000000"/>
    <w:embedRegular r:id="rId7" w:subsetted="1" w:fontKey="{D419FCE9-0289-46DE-B21C-9641ADB111A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8" w:subsetted="1" w:fontKey="{C2740914-E0B1-4068-8C1A-0532122E1252}"/>
    <w:embedBold r:id="rId9" w:subsetted="1" w:fontKey="{54CCDBB7-23E2-4D8E-85F8-CA86B1945136}"/>
  </w:font>
  <w:font w:name="Cambria">
    <w:panose1 w:val="02040503050406030204"/>
    <w:charset w:val="00"/>
    <w:family w:val="roman"/>
    <w:pitch w:val="variable"/>
    <w:sig w:usb0="E00006FF" w:usb1="420024FF" w:usb2="02000000" w:usb3="00000000" w:csb0="0000019F" w:csb1="00000000"/>
    <w:embedRegular r:id="rId10" w:fontKey="{84DAAD04-5826-4B63-A912-50292A7890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E52F" w14:textId="77777777" w:rsidR="007B6E28"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82B26">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718DD" w14:textId="77777777" w:rsidR="009638C7" w:rsidRDefault="009638C7">
      <w:pPr>
        <w:spacing w:after="0" w:line="240" w:lineRule="auto"/>
      </w:pPr>
      <w:r>
        <w:separator/>
      </w:r>
    </w:p>
  </w:footnote>
  <w:footnote w:type="continuationSeparator" w:id="0">
    <w:p w14:paraId="151A4705" w14:textId="77777777" w:rsidR="009638C7" w:rsidRDefault="009638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C325" w14:textId="77777777" w:rsidR="007B6E28" w:rsidRDefault="007B6E28">
    <w:pPr>
      <w:pBdr>
        <w:top w:val="nil"/>
        <w:left w:val="nil"/>
        <w:bottom w:val="nil"/>
        <w:right w:val="nil"/>
        <w:between w:val="nil"/>
      </w:pBdr>
      <w:tabs>
        <w:tab w:val="center" w:pos="4680"/>
        <w:tab w:val="right" w:pos="9360"/>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1B5F"/>
    <w:multiLevelType w:val="multilevel"/>
    <w:tmpl w:val="6472E4D2"/>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6721173"/>
    <w:multiLevelType w:val="multilevel"/>
    <w:tmpl w:val="467C6DBA"/>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88306840">
    <w:abstractNumId w:val="1"/>
  </w:num>
  <w:num w:numId="2" w16cid:durableId="2031838572">
    <w:abstractNumId w:val="0"/>
  </w:num>
  <w:num w:numId="3" w16cid:durableId="8105614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83706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32563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53633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E28"/>
    <w:rsid w:val="00596EFE"/>
    <w:rsid w:val="007B6E28"/>
    <w:rsid w:val="009638C7"/>
    <w:rsid w:val="00B21DF4"/>
    <w:rsid w:val="00E00285"/>
    <w:rsid w:val="00E82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6CC6"/>
  <w15:docId w15:val="{9B250F3E-DB74-4B0C-A334-26BDE6A76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120"/>
      <w:outlineLvl w:val="0"/>
    </w:pPr>
    <w:rPr>
      <w:rFonts w:ascii="Calibri" w:eastAsia="Calibri" w:hAnsi="Calibri" w:cs="Calibri"/>
      <w:b/>
      <w:bCs/>
      <w:color w:val="3F3F3F"/>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Calibri" w:eastAsia="Calibri" w:hAnsi="Calibri" w:cs="Calibri"/>
      <w:b/>
      <w:bCs/>
      <w:color w:val="3F3F3F"/>
      <w:sz w:val="26"/>
      <w:szCs w:val="26"/>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Calibri" w:eastAsia="Calibri" w:hAnsi="Calibri" w:cs="Calibri"/>
      <w:b/>
      <w:bCs/>
      <w:color w:val="3F3F3F"/>
      <w:sz w:val="23"/>
      <w:szCs w:val="23"/>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pBdr>
        <w:bottom w:val="single" w:sz="8" w:space="4" w:color="4F81BD"/>
      </w:pBdr>
      <w:spacing w:after="240" w:line="240" w:lineRule="auto"/>
    </w:pPr>
    <w:rPr>
      <w:rFonts w:ascii="Calibri" w:eastAsia="Calibri" w:hAnsi="Calibri" w:cs="Calibri"/>
      <w:b/>
      <w:bCs/>
      <w:color w:val="3F3F3F"/>
      <w:sz w:val="40"/>
      <w:szCs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60" w:after="120" w:line="240" w:lineRule="auto"/>
    </w:pPr>
    <w:rPr>
      <w:sz w:val="18"/>
    </w:rPr>
  </w:style>
  <w:style w:type="paragraph" w:customStyle="1" w:styleId="TableCaptionCustom">
    <w:name w:val="Table Caption Custom"/>
    <w:pPr>
      <w:keepNext/>
      <w:spacing w:before="140" w:after="60"/>
    </w:pPr>
    <w:rPr>
      <w:sz w:val="18"/>
    </w:rPr>
  </w:style>
  <w:style w:type="paragraph" w:customStyle="1" w:styleId="CodeBlockCustom">
    <w:name w:val="Code Block Custom"/>
    <w:pPr>
      <w:keepLines/>
      <w:spacing w:before="60" w:line="240" w:lineRule="auto"/>
      <w:ind w:left="216" w:right="72"/>
    </w:pPr>
    <w:rPr>
      <w:rFonts w:ascii="Consolas" w:eastAsia="Consolas" w:hAnsi="Consolas"/>
      <w:sz w:val="16"/>
    </w:rPr>
  </w:style>
  <w:style w:type="paragraph" w:customStyle="1" w:styleId="KeyPoint">
    <w:name w:val="Key Point"/>
    <w:pPr>
      <w:spacing w:before="80" w:after="140" w:line="252" w:lineRule="auto"/>
      <w:ind w:left="259" w:right="144"/>
    </w:pPr>
  </w:style>
  <w:style w:type="paragraph" w:styleId="Subtitle">
    <w:name w:val="Subtitle"/>
    <w:basedOn w:val="Normal"/>
    <w:next w:val="Normal"/>
    <w:link w:val="SubtitleChar"/>
    <w:uiPriority w:val="11"/>
    <w:qFormat/>
    <w:pPr>
      <w:keepNext/>
      <w:spacing w:after="200"/>
    </w:pPr>
    <w:rPr>
      <w:rFonts w:ascii="Calibri" w:eastAsia="Calibri" w:hAnsi="Calibri" w:cs="Calibri"/>
      <w:i/>
      <w:iCs/>
      <w:color w:val="7F7F7F"/>
      <w:sz w:val="22"/>
      <w:szCs w:val="22"/>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AOOoYndCZtUlG/le+BEgbyMJg==">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32</Pages>
  <Words>6940</Words>
  <Characters>39564</Characters>
  <Application>Microsoft Office Word</Application>
  <DocSecurity>0</DocSecurity>
  <Lines>329</Lines>
  <Paragraphs>92</Paragraphs>
  <ScaleCrop>false</ScaleCrop>
  <Company/>
  <LinksUpToDate>false</LinksUpToDate>
  <CharactersWithSpaces>46412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Saroj Nepal</cp:lastModifiedBy>
  <cp:revision>4</cp:revision>
  <dcterms:created xsi:type="dcterms:W3CDTF">2013-12-23T23:15:00Z</dcterms:created>
  <dcterms:modified xsi:type="dcterms:W3CDTF">2026-09-14T16:45:00Z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3f92c35f-a18c-4af6-a7ef-bcaab2010537</vt:lpwstr>
  </property>
</Properties>
</file>