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REQUEST FOR PROPOSAL (RFP No. 2026-IAM-0471)</w:t>
      </w:r>
    </w:p>
    <w:p>
      <w:r>
        <w:t>Statewide Identity and Access Management and Cybersecurity Services</w:t>
      </w:r>
    </w:p>
    <w:p>
      <w:r>
        <w:t>Issued by: Maryland Department of Digital Services</w:t>
      </w:r>
    </w:p>
    <w:p/>
    <w:p>
      <w:pPr>
        <w:pStyle w:val="Heading1"/>
      </w:pPr>
      <w:r>
        <w:t>1. INTRODUCTION</w:t>
      </w:r>
    </w:p>
    <w:p>
      <w:r>
        <w:t>The Maryland Department of Digital Services ("the Department") invites qualified vendors to submit</w:t>
      </w:r>
    </w:p>
    <w:p>
      <w:r>
        <w:t>proposals to design, implement and maintain an enterprise Identity and Access Management (IAM)</w:t>
      </w:r>
    </w:p>
    <w:p>
      <w:r>
        <w:t>and cybersecurity solution. The selected contractor shall provide a complete managed service over</w:t>
      </w:r>
    </w:p>
    <w:p>
      <w:r>
        <w:t>a three-year term with two optional one-year renewals.</w:t>
      </w:r>
    </w:p>
    <w:p/>
    <w:p>
      <w:pPr>
        <w:pStyle w:val="Heading1"/>
      </w:pPr>
      <w:r>
        <w:t>2. SCOPE OF WORK AND DELIVERABLES</w:t>
      </w:r>
    </w:p>
    <w:p>
      <w:r>
        <w:t>The contractor shall provide the following deliverables:</w:t>
      </w:r>
    </w:p>
    <w:p>
      <w:r>
        <w:t>- The vendor shall deliver a centralized Identity and Access Management platform with single sign-on (SSO).</w:t>
      </w:r>
    </w:p>
    <w:p>
      <w:r>
        <w:t>- The contractor shall implement multi-factor authentication (MFA) across all state agencies.</w:t>
      </w:r>
    </w:p>
    <w:p>
      <w:r>
        <w:t>- The vendor shall provide encryption of data at rest and in transit using industry standard algorithms.</w:t>
      </w:r>
    </w:p>
    <w:p>
      <w:r>
        <w:t>- The contractor shall develop and deliver a detailed project implementation plan within 30 days of award.</w:t>
      </w:r>
    </w:p>
    <w:p>
      <w:r>
        <w:t>- The vendor shall furnish monthly security monitoring and incident response reports.</w:t>
      </w:r>
    </w:p>
    <w:p>
      <w:r>
        <w:t>- The contractor shall conduct quarterly penetration testing and vulnerability assessments.</w:t>
      </w:r>
    </w:p>
    <w:p>
      <w:r>
        <w:t>- The vendor shall provide integration with existing HR and directory systems via API.</w:t>
      </w:r>
    </w:p>
    <w:p>
      <w:r>
        <w:t>- The contractor shall deliver a role-based access control (RBAC) policy framework.</w:t>
      </w:r>
    </w:p>
    <w:p>
      <w:r>
        <w:t>- The vendor shall implement automated user provisioning and de-provisioning workflows.</w:t>
      </w:r>
    </w:p>
    <w:p>
      <w:r>
        <w:t>- The contractor shall maintain 99.9% system uptime and provide 24x7 support.</w:t>
      </w:r>
    </w:p>
    <w:p>
      <w:r>
        <w:t>- The vendor shall deliver a disaster recovery and business continuity plan.</w:t>
      </w:r>
    </w:p>
    <w:p>
      <w:r>
        <w:t>- The contractor shall provide knowledge-transfer training to Department staff.</w:t>
      </w:r>
    </w:p>
    <w:p/>
    <w:p>
      <w:pPr>
        <w:pStyle w:val="Heading1"/>
      </w:pPr>
      <w:r>
        <w:t>3. TECHNICAL REQUIREMENTS</w:t>
      </w:r>
    </w:p>
    <w:p>
      <w:r>
        <w:t>The technical requirements include compliance with NIST 800-53 and ISO 27001 standards. The system</w:t>
      </w:r>
    </w:p>
    <w:p>
      <w:r>
        <w:t>specification must support role-based access control. The solution shall be SOC 2 Type II certified.</w:t>
      </w:r>
    </w:p>
    <w:p>
      <w:r>
        <w:t>Integration with the state single sign-on (SSO) gateway is required. The platform must support</w:t>
      </w:r>
    </w:p>
    <w:p>
      <w:r>
        <w:t>SAML 2.0 and OpenID Connect for federation, and provide a documented REST API for interoperability.</w:t>
      </w:r>
    </w:p>
    <w:p/>
    <w:p>
      <w:pPr>
        <w:pStyle w:val="Heading1"/>
      </w:pPr>
      <w:r>
        <w:t>4. EVALUATION CRITERIA</w:t>
      </w:r>
    </w:p>
    <w:p>
      <w:r>
        <w:t>Proposals will be evaluated and scored on the following weighted criteria:</w:t>
      </w:r>
    </w:p>
    <w:p>
      <w:r>
        <w:t>- Technical approach and solution design: 30 points</w:t>
      </w:r>
    </w:p>
    <w:p>
      <w:r>
        <w:t>- Relevant experience and past performance: 20 points</w:t>
      </w:r>
    </w:p>
    <w:p>
      <w:r>
        <w:t>- Cost and price proposal: 20 percent</w:t>
      </w:r>
    </w:p>
    <w:p>
      <w:r>
        <w:t>- Key personnel qualifications: 10 points</w:t>
      </w:r>
    </w:p>
    <w:p>
      <w:r>
        <w:t>- Security and compliance posture: 10 points</w:t>
      </w:r>
    </w:p>
    <w:p>
      <w:r>
        <w:t>- Implementation schedule and methodology: 5 points</w:t>
      </w:r>
    </w:p>
    <w:p>
      <w:r>
        <w:t>- Small business / MBE participation: 5 points</w:t>
      </w:r>
    </w:p>
    <w:p>
      <w:r>
        <w:t>The contract will be awarded to the proposal offering the best overall value to the State.</w:t>
      </w:r>
    </w:p>
    <w:p/>
    <w:p>
      <w:pPr>
        <w:pStyle w:val="Heading1"/>
      </w:pPr>
      <w:r>
        <w:t>5. FINANCIAL AND PAYMENT TERMS</w:t>
      </w:r>
    </w:p>
    <w:p>
      <w:r>
        <w:t>Payment terms are NET30 from receipt of a valid invoice. Payment will be made against project</w:t>
      </w:r>
    </w:p>
    <w:p>
      <w:r>
        <w:t>milestones. A retainage of 5 percent applies until final acceptance. The estimated contract value</w:t>
      </w:r>
    </w:p>
    <w:p>
      <w:r>
        <w:t>is $4,200,000 over three years. Vendors must submit audited financial statements for the prior two</w:t>
      </w:r>
    </w:p>
    <w:p>
      <w:r>
        <w:t>years as proof of financial stability. A bid bond of 5 percent of the bid amount is required, and a</w:t>
      </w:r>
    </w:p>
    <w:p>
      <w:r>
        <w:t>performance bond will be required from the awarded vendor.</w:t>
      </w:r>
    </w:p>
    <w:p/>
    <w:p>
      <w:pPr>
        <w:pStyle w:val="Heading1"/>
      </w:pPr>
      <w:r>
        <w:t>6. INSURANCE REQUIREMENTS</w:t>
      </w:r>
    </w:p>
    <w:p>
      <w:r>
        <w:t>The selected contractor shall maintain general liability insurance coverage of $5 million per</w:t>
      </w:r>
    </w:p>
    <w:p>
      <w:r>
        <w:t>occurrence, professional liability (indemnity) insurance of $2 million, and cyber liability</w:t>
      </w:r>
    </w:p>
    <w:p>
      <w:r>
        <w:t>insurance of $3 million. Proof of workers compensation insurance is also required.</w:t>
      </w:r>
    </w:p>
    <w:p/>
    <w:p>
      <w:pPr>
        <w:pStyle w:val="Heading1"/>
      </w:pPr>
      <w:r>
        <w:t>7. LEGAL AND COMPLIANCE REQUIREMENTS</w:t>
      </w:r>
    </w:p>
    <w:p>
      <w:r>
        <w:t>The vendor must comply with all applicable laws and regulations, including state and federal data</w:t>
      </w:r>
    </w:p>
    <w:p>
      <w:r>
        <w:t>protection laws and the Maryland Personal Information Protection Act. The contractor shall be</w:t>
      </w:r>
    </w:p>
    <w:p>
      <w:r>
        <w:t>registered to do business in the State of Maryland (state registration). The vendor must use the</w:t>
      </w:r>
    </w:p>
    <w:p>
      <w:r>
        <w:t>E-Verify system for all personnel. Eligibility criteria include a minimum of five years of relevant</w:t>
      </w:r>
    </w:p>
    <w:p>
      <w:r>
        <w:t>experience and at least three comparable public-sector references. The terms and conditions include</w:t>
      </w:r>
    </w:p>
    <w:p>
      <w:r>
        <w:t>termination for convenience, liability limits, indemnification, intellectual property ownership, and</w:t>
      </w:r>
    </w:p>
    <w:p>
      <w:r>
        <w:t>dispute resolution by arbitration.</w:t>
      </w:r>
    </w:p>
    <w:p/>
    <w:p>
      <w:pPr>
        <w:pStyle w:val="Heading1"/>
      </w:pPr>
      <w:r>
        <w:t>8. SUBMISSION REQUIREMENTS AND REQUIRED FORMS</w:t>
      </w:r>
    </w:p>
    <w:p>
      <w:r>
        <w:t>Proposals are due no later than 3:00 PM EST on August 15, 2026 (submission deadline). A mandatory</w:t>
      </w:r>
    </w:p>
    <w:p>
      <w:r>
        <w:t>pre-proposal conference will be held on July 20, 2026. Proposals must be submitted in PDF format,</w:t>
      </w:r>
    </w:p>
    <w:p>
      <w:r>
        <w:t>not to exceed 50 pages, font size 11 or larger, with one original and one electronic copy.</w:t>
      </w:r>
    </w:p>
    <w:p>
      <w:r>
        <w:t>The following forms and certifications must be completed and signed by an authorized signatory:</w:t>
      </w:r>
    </w:p>
    <w:p>
      <w:r>
        <w:t>- Vendor Information Form (Tax ID, owner name, percentage of ownership)</w:t>
      </w:r>
    </w:p>
    <w:p>
      <w:r>
        <w:t>- Minority Business Enterprise (MBE) certification, specify type</w:t>
      </w:r>
    </w:p>
    <w:p>
      <w:r>
        <w:t>- Workers Compensation Insurance certificate</w:t>
      </w:r>
    </w:p>
    <w:p>
      <w:r>
        <w:t>- Non-collusion affidavit and conflict of interest declaration</w:t>
      </w:r>
    </w:p>
    <w:p>
      <w:r>
        <w:t>- Business with Iran certification</w:t>
      </w:r>
    </w:p>
    <w:p>
      <w:r>
        <w:t>- Bid bond in the amount of 5 percent of the bid</w:t>
      </w:r>
    </w:p>
    <w:p>
      <w:r>
        <w:t>All vendors must complete vendor registration on the Maryland eMarketplace supplier portal prior to award.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