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3.8582677165355" w:top="1133.8582677165355" w:left="1133.8582677165355" w:right="1133.8582677165355" w:header="0" w:footer="720"/>
          <w:pgNumType w:start="1"/>
        </w:sectPr>
      </w:pPr>
      <w:bookmarkStart w:colFirst="0" w:colLast="0" w:name="_lglbj1mlxkn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Summary-draft</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Summary and Group Description for RDA Group Creation Form</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GROUP NAME</w:t>
      </w:r>
    </w:p>
    <w:p w:rsidR="00000000" w:rsidDel="00000000" w:rsidP="00000000" w:rsidRDefault="00000000" w:rsidRPr="00000000" w14:paraId="00000005">
      <w:pPr>
        <w:spacing w:after="240" w:before="240" w:lineRule="auto"/>
        <w:rPr/>
      </w:pPr>
      <w:r w:rsidDel="00000000" w:rsidR="00000000" w:rsidRPr="00000000">
        <w:rPr>
          <w:rtl w:val="0"/>
        </w:rPr>
        <w:t xml:space="preserve">Documenting Generative AI Interactions in Research Interest Group</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SUMMARY</w:t>
      </w:r>
      <w:r w:rsidDel="00000000" w:rsidR="00000000" w:rsidRPr="00000000">
        <w:rPr>
          <w:rtl w:val="0"/>
        </w:rPr>
        <w:t xml:space="preserve"> (250-400 words)</w:t>
      </w:r>
    </w:p>
    <w:p w:rsidR="00000000" w:rsidDel="00000000" w:rsidP="00000000" w:rsidRDefault="00000000" w:rsidRPr="00000000" w14:paraId="00000008">
      <w:pPr>
        <w:spacing w:after="240" w:before="240" w:lineRule="auto"/>
        <w:rPr/>
      </w:pPr>
      <w:r w:rsidDel="00000000" w:rsidR="00000000" w:rsidRPr="00000000">
        <w:rPr>
          <w:rtl w:val="0"/>
        </w:rPr>
        <w:t xml:space="preserve">More and more, researchers integrate generative artificial intelligence (AI) tools—large language models, image generation systems, code generation platforms—into their research workflows. Many journals and institutions now require disclosure of AI use in research, but disclosure alone provides insufficient information to enable effective peer review, reproducibility efforts, or methodological evaluation. A reviewer, looking at a disclosure statement, will not be able to effectively judge the researchers' use and choices around use of AI.</w:t>
      </w:r>
    </w:p>
    <w:p w:rsidR="00000000" w:rsidDel="00000000" w:rsidP="00000000" w:rsidRDefault="00000000" w:rsidRPr="00000000" w14:paraId="00000009">
      <w:pPr>
        <w:spacing w:after="240" w:before="240" w:lineRule="auto"/>
        <w:rPr/>
      </w:pPr>
      <w:r w:rsidDel="00000000" w:rsidR="00000000" w:rsidRPr="00000000">
        <w:rPr>
          <w:rtl w:val="0"/>
        </w:rPr>
        <w:t xml:space="preserve">This Interest Group addresses the need for documentation frameworks and standards that treat AI interactions as integral components of research methodology, comparable to how we document research software, protocols, and data management practices. Current documentation and disclosure practices vary dramatically across disciplines, publishers, and institutions, with no established standards for capturing the prompts, processes, and provenance of AI-assisted research. The risks of this are twofold: On the one hand, insufficient documentation threatens research integrity and reproducibility. On the other, excessive documentation requirements may impose unreasonable burdens on researchers without meaningfully increasing research transparency.</w:t>
      </w:r>
    </w:p>
    <w:p w:rsidR="00000000" w:rsidDel="00000000" w:rsidP="00000000" w:rsidRDefault="00000000" w:rsidRPr="00000000" w14:paraId="0000000A">
      <w:pPr>
        <w:spacing w:after="240" w:before="240" w:lineRule="auto"/>
        <w:rPr/>
      </w:pPr>
      <w:r w:rsidDel="00000000" w:rsidR="00000000" w:rsidRPr="00000000">
        <w:rPr>
          <w:rtl w:val="0"/>
        </w:rPr>
        <w:t xml:space="preserve">This Interest Group will bring together experts to advance the documentation and disclosure of AI use in research. Our proposed activities include: </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rtl w:val="0"/>
        </w:rPr>
        <w:t xml:space="preserve">Conducting a comprehensive landscape scan of existing standards and initiatives; </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rtl w:val="0"/>
        </w:rPr>
        <w:t xml:space="preserve">Developing and refining the "Three Ps" framework (Prompt, Process, Provenance) for documenting AI interactions (plus publishing tools as a proof of concept implementing this framework); </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Engaging stakeholders across disciplines, roles, and geographic regions to build consensus; </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Proposing valuable outputs that a potential Working Group might produce, including metadata schemas, minimum information guidelines, and implementation frameworks; and </w:t>
      </w:r>
    </w:p>
    <w:p w:rsidR="00000000" w:rsidDel="00000000" w:rsidP="00000000" w:rsidRDefault="00000000" w:rsidRPr="00000000" w14:paraId="0000000F">
      <w:pPr>
        <w:numPr>
          <w:ilvl w:val="0"/>
          <w:numId w:val="5"/>
        </w:numPr>
        <w:spacing w:after="240" w:before="0" w:beforeAutospacing="0" w:lineRule="auto"/>
        <w:ind w:left="720" w:hanging="360"/>
      </w:pPr>
      <w:r w:rsidDel="00000000" w:rsidR="00000000" w:rsidRPr="00000000">
        <w:rPr>
          <w:rtl w:val="0"/>
        </w:rPr>
        <w:t xml:space="preserve">Producing Statements of Work for a potential Working Group, ready for community review and RDA approval.</w:t>
      </w:r>
    </w:p>
    <w:p w:rsidR="00000000" w:rsidDel="00000000" w:rsidP="00000000" w:rsidRDefault="00000000" w:rsidRPr="00000000" w14:paraId="00000010">
      <w:pPr>
        <w:spacing w:after="240" w:before="240" w:lineRule="auto"/>
        <w:rPr/>
      </w:pPr>
      <w:r w:rsidDel="00000000" w:rsidR="00000000" w:rsidRPr="00000000">
        <w:rPr>
          <w:rtl w:val="0"/>
        </w:rPr>
        <w:t xml:space="preserve">We distinguish ourselves from related RDA groups by focusing specifically on practical documentation standards for researcher interactions with AI tools, rather than on governance, ethics, or technical infrastructure. Our work will extend existing standards (FAIR principles, RO-Crate, software citation frameworks) rather than creating competing alternatives, positioning our outputs as coordination mechanisms that complement ongoing efforts by publishers, standards bodies, and research institutions.</w:t>
      </w:r>
    </w:p>
    <w:p w:rsidR="00000000" w:rsidDel="00000000" w:rsidP="00000000" w:rsidRDefault="00000000" w:rsidRPr="00000000" w14:paraId="00000011">
      <w:pPr>
        <w:spacing w:after="240" w:before="240" w:lineRule="auto"/>
        <w:rPr/>
      </w:pPr>
      <w:r w:rsidDel="00000000" w:rsidR="00000000" w:rsidRPr="00000000">
        <w:rPr>
          <w:rtl w:val="0"/>
        </w:rPr>
        <w:t xml:space="preserve">This Interest Group emerged from a Birds of a Feather session at RDA P25 (Brisbane, October 2025) with diverse participation from publishers, research infrastructure providers, universities, and standards organizations across five continents. We aim to launch at least one Working Group by RDA P28, with outputs that will support research integrity, facilitate peer review, and provide practical guidance for researchers navigating AI-assisted research.</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GROUP DESCRIPTION</w:t>
      </w:r>
      <w:r w:rsidDel="00000000" w:rsidR="00000000" w:rsidRPr="00000000">
        <w:rPr>
          <w:rtl w:val="0"/>
        </w:rPr>
        <w:t xml:space="preserve"> (500-800 words)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Purpose and Context</w:t>
      </w:r>
    </w:p>
    <w:p w:rsidR="00000000" w:rsidDel="00000000" w:rsidP="00000000" w:rsidRDefault="00000000" w:rsidRPr="00000000" w14:paraId="00000015">
      <w:pPr>
        <w:spacing w:after="240" w:before="240" w:lineRule="auto"/>
        <w:rPr/>
      </w:pPr>
      <w:r w:rsidDel="00000000" w:rsidR="00000000" w:rsidRPr="00000000">
        <w:rPr>
          <w:rtl w:val="0"/>
        </w:rPr>
        <w:t xml:space="preserve">The Documenting Generative AI Interactions in Research Interest Group addresses an urgent gap in research infrastructure: the lack of standardised approaches for documenting researcher interactions with generative artificial intelligence tools. As AI becomes integral to research across disciplines—from humanities scholars using LLMs for textual analysis to computational biologists using code generation tools—the research community confronts fundamental questions about transparency, reproducibility, and methodological rigor that existing frameworks do not adequately address.</w:t>
      </w:r>
    </w:p>
    <w:p w:rsidR="00000000" w:rsidDel="00000000" w:rsidP="00000000" w:rsidRDefault="00000000" w:rsidRPr="00000000" w14:paraId="00000016">
      <w:pPr>
        <w:spacing w:after="240" w:before="240" w:lineRule="auto"/>
        <w:rPr/>
      </w:pPr>
      <w:r w:rsidDel="00000000" w:rsidR="00000000" w:rsidRPr="00000000">
        <w:rPr>
          <w:rtl w:val="0"/>
        </w:rPr>
        <w:t xml:space="preserve">Current approaches to AI use in research center primarily on disclosure: researchers acknowledge that they used AI tools, typically through brief statements in acknowledgments or methods sections. However, disclosure alone provides insufficient information for peer review, reproducibility efforts, or ethical evaluation. A reviewer reading "ChatGPT was used for data analysis" cannot assess whether the use was appropriate, what role AI played in the research process (from ideation, to methodology, analysis, documentation, composition, and archiving), or whether the researcher exercised adequate judgment in interpreting and using the AI's outputs. This documentation gap affects researchers, reviewers, publishers, and institutions alike, with inconsistent requirements creating confusion and undermining trust in research outputs.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Core Problem and Approach</w:t>
      </w:r>
    </w:p>
    <w:p w:rsidR="00000000" w:rsidDel="00000000" w:rsidP="00000000" w:rsidRDefault="00000000" w:rsidRPr="00000000" w14:paraId="00000018">
      <w:pPr>
        <w:spacing w:after="240" w:before="240" w:lineRule="auto"/>
        <w:rPr/>
      </w:pPr>
      <w:r w:rsidDel="00000000" w:rsidR="00000000" w:rsidRPr="00000000">
        <w:rPr>
          <w:rtl w:val="0"/>
        </w:rPr>
        <w:t xml:space="preserve">We distinguish between disclosure (acknowledging AI use) and documentation (capturing methodological details sufficient for peer evaluation and reproducibility). </w:t>
      </w:r>
      <w:r w:rsidDel="00000000" w:rsidR="00000000" w:rsidRPr="00000000">
        <w:rPr>
          <w:rtl w:val="0"/>
        </w:rPr>
        <w:t xml:space="preserve">Our central thesis is that AI interactions constitute research methodology and warrant documentation standards comparable to those for research software, laboratory protocols, and data management practices. </w:t>
      </w:r>
      <w:r w:rsidDel="00000000" w:rsidR="00000000" w:rsidRPr="00000000">
        <w:rPr>
          <w:rtl w:val="0"/>
        </w:rPr>
        <w:t xml:space="preserve">Just as we expect researchers to document which software packages they used, with which parameters and for which purposes, we should expect comparable documentation for AI interactions—yet no standards for this currently exist.</w:t>
      </w:r>
    </w:p>
    <w:p w:rsidR="00000000" w:rsidDel="00000000" w:rsidP="00000000" w:rsidRDefault="00000000" w:rsidRPr="00000000" w14:paraId="00000019">
      <w:pPr>
        <w:spacing w:after="240" w:before="240" w:lineRule="auto"/>
        <w:rPr/>
      </w:pPr>
      <w:r w:rsidDel="00000000" w:rsidR="00000000" w:rsidRPr="00000000">
        <w:rPr>
          <w:rtl w:val="0"/>
        </w:rPr>
        <w:t xml:space="preserve">Our approach builds on the "Three Ps" framework that emerged from community discussion: </w:t>
      </w:r>
      <w:r w:rsidDel="00000000" w:rsidR="00000000" w:rsidRPr="00000000">
        <w:rPr>
          <w:b w:val="1"/>
          <w:bCs w:val="1"/>
          <w:rtl w:val="0"/>
        </w:rPr>
        <w:t xml:space="preserve">Prompt</w:t>
      </w:r>
      <w:r w:rsidDel="00000000" w:rsidR="00000000" w:rsidRPr="00000000">
        <w:rPr>
          <w:rtl w:val="0"/>
        </w:rPr>
        <w:t xml:space="preserve"> (what input was given to the tool), </w:t>
      </w:r>
      <w:r w:rsidDel="00000000" w:rsidR="00000000" w:rsidRPr="00000000">
        <w:rPr>
          <w:b w:val="1"/>
          <w:bCs w:val="1"/>
          <w:rtl w:val="0"/>
        </w:rPr>
        <w:t xml:space="preserve">Process</w:t>
      </w:r>
      <w:r w:rsidDel="00000000" w:rsidR="00000000" w:rsidRPr="00000000">
        <w:rPr>
          <w:rtl w:val="0"/>
        </w:rPr>
        <w:t xml:space="preserve"> (how the tool was used), and </w:t>
      </w:r>
      <w:r w:rsidDel="00000000" w:rsidR="00000000" w:rsidRPr="00000000">
        <w:rPr>
          <w:b w:val="1"/>
          <w:bCs w:val="1"/>
          <w:rtl w:val="0"/>
        </w:rPr>
        <w:t xml:space="preserve">Provenance</w:t>
      </w:r>
      <w:r w:rsidDel="00000000" w:rsidR="00000000" w:rsidRPr="00000000">
        <w:rPr>
          <w:rtl w:val="0"/>
        </w:rPr>
        <w:t xml:space="preserve"> (tracking the interaction's role in research). This framework provides high-level guidance while remaining adaptable across disciplines and AI modalities. We will extend and refine this framework through systematic testing against diverse use cases, from text generation to image synthesis to code development.</w:t>
      </w:r>
    </w:p>
    <w:p w:rsidR="00000000" w:rsidDel="00000000" w:rsidP="00000000" w:rsidRDefault="00000000" w:rsidRPr="00000000" w14:paraId="0000001A">
      <w:pPr>
        <w:spacing w:after="240" w:before="240" w:lineRule="auto"/>
        <w:rPr>
          <w:i w:val="1"/>
          <w:iCs w:val="1"/>
        </w:rPr>
      </w:pPr>
      <w:commentRangeStart w:id="0"/>
      <w:r w:rsidDel="00000000" w:rsidR="00000000" w:rsidRPr="00000000">
        <w:rPr>
          <w:i w:val="1"/>
          <w:iCs w:val="1"/>
          <w:rtl w:val="0"/>
        </w:rPr>
        <w:t xml:space="preserve">Prior Work</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This Interest Group builds on prior work at Macquarie University on AI research policy (</w:t>
      </w:r>
      <w:hyperlink r:id="rId7">
        <w:r w:rsidDel="00000000" w:rsidR="00000000" w:rsidRPr="00000000">
          <w:rPr>
            <w:color w:val="1155cc"/>
            <w:u w:val="single"/>
            <w:rtl w:val="0"/>
          </w:rPr>
          <w:t xml:space="preserve">Macquarie University Guidance Note</w:t>
        </w:r>
      </w:hyperlink>
      <w:r w:rsidDel="00000000" w:rsidR="00000000" w:rsidRPr="00000000">
        <w:rPr>
          <w:rtl w:val="0"/>
        </w:rPr>
        <w:t xml:space="preserve">, </w:t>
      </w:r>
      <w:hyperlink r:id="rId8">
        <w:r w:rsidDel="00000000" w:rsidR="00000000" w:rsidRPr="00000000">
          <w:rPr>
            <w:color w:val="1155cc"/>
            <w:u w:val="single"/>
            <w:rtl w:val="0"/>
          </w:rPr>
          <w:t xml:space="preserve">Framework Paper</w:t>
        </w:r>
      </w:hyperlink>
      <w:r w:rsidDel="00000000" w:rsidR="00000000" w:rsidRPr="00000000">
        <w:rPr>
          <w:rtl w:val="0"/>
        </w:rPr>
        <w:t xml:space="preserve">), and on </w:t>
      </w:r>
      <w:hyperlink r:id="rId9">
        <w:r w:rsidDel="00000000" w:rsidR="00000000" w:rsidRPr="00000000">
          <w:rPr>
            <w:color w:val="1155cc"/>
            <w:u w:val="single"/>
            <w:rtl w:val="0"/>
          </w:rPr>
          <w:t xml:space="preserve">preregistration and open data in the humanities</w:t>
        </w:r>
      </w:hyperlink>
      <w:r w:rsidDel="00000000" w:rsidR="00000000" w:rsidRPr="00000000">
        <w:rPr>
          <w:rtl w:val="0"/>
        </w:rPr>
        <w:t xml:space="preserve">. More broadly, the documentation and reproduction of research process has been a persistent challenge in scholarship. Laboratory studies (</w:t>
      </w:r>
      <w:hyperlink r:id="rId10">
        <w:r w:rsidDel="00000000" w:rsidR="00000000" w:rsidRPr="00000000">
          <w:rPr>
            <w:color w:val="1155cc"/>
            <w:u w:val="single"/>
            <w:rtl w:val="0"/>
          </w:rPr>
          <w:t xml:space="preserve">Latour and Woolgar 1986</w:t>
        </w:r>
      </w:hyperlink>
      <w:r w:rsidDel="00000000" w:rsidR="00000000" w:rsidRPr="00000000">
        <w:rPr>
          <w:rtl w:val="0"/>
        </w:rPr>
        <w:t xml:space="preserve">; </w:t>
      </w:r>
      <w:hyperlink r:id="rId11">
        <w:r w:rsidDel="00000000" w:rsidR="00000000" w:rsidRPr="00000000">
          <w:rPr>
            <w:color w:val="1155cc"/>
            <w:u w:val="single"/>
            <w:rtl w:val="0"/>
          </w:rPr>
          <w:t xml:space="preserve">Galison 1997</w:t>
        </w:r>
      </w:hyperlink>
      <w:r w:rsidDel="00000000" w:rsidR="00000000" w:rsidRPr="00000000">
        <w:rPr>
          <w:rtl w:val="0"/>
        </w:rPr>
        <w:t xml:space="preserve">) demonstrated that the tacit practices of knowledge production are rarely captured in published outputs, while the preregistration movement (</w:t>
      </w:r>
      <w:hyperlink r:id="rId12">
        <w:r w:rsidDel="00000000" w:rsidR="00000000" w:rsidRPr="00000000">
          <w:rPr>
            <w:color w:val="1155cc"/>
            <w:u w:val="single"/>
            <w:rtl w:val="0"/>
          </w:rPr>
          <w:t xml:space="preserve">Nosek </w:t>
        </w:r>
      </w:hyperlink>
      <w:hyperlink r:id="rId13">
        <w:r w:rsidDel="00000000" w:rsidR="00000000" w:rsidRPr="00000000">
          <w:rPr>
            <w:i w:val="1"/>
            <w:iCs w:val="1"/>
            <w:color w:val="1155cc"/>
            <w:u w:val="single"/>
            <w:rtl w:val="0"/>
          </w:rPr>
          <w:t xml:space="preserve">et. al.</w:t>
        </w:r>
      </w:hyperlink>
      <w:hyperlink r:id="rId14">
        <w:r w:rsidDel="00000000" w:rsidR="00000000" w:rsidRPr="00000000">
          <w:rPr>
            <w:color w:val="1155cc"/>
            <w:u w:val="single"/>
            <w:rtl w:val="0"/>
          </w:rPr>
          <w:t xml:space="preserve">, 2018</w:t>
        </w:r>
      </w:hyperlink>
      <w:r w:rsidDel="00000000" w:rsidR="00000000" w:rsidRPr="00000000">
        <w:rPr>
          <w:rtl w:val="0"/>
        </w:rPr>
        <w:t xml:space="preserve">) established that methodological transparency requires structured documentation commitments. Our work extends these insights to AI-assisted research, where transcripts of prompts and interactions can serve as records of praxis; where we capture not only what was done, but how and why.</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Activities and Outputs</w:t>
      </w:r>
    </w:p>
    <w:p w:rsidR="00000000" w:rsidDel="00000000" w:rsidP="00000000" w:rsidRDefault="00000000" w:rsidRPr="00000000" w14:paraId="0000001D">
      <w:pPr>
        <w:spacing w:after="240" w:before="240" w:lineRule="auto"/>
        <w:rPr/>
      </w:pPr>
      <w:r w:rsidDel="00000000" w:rsidR="00000000" w:rsidRPr="00000000">
        <w:rPr>
          <w:rtl w:val="0"/>
        </w:rPr>
        <w:t xml:space="preserve">The Interest Group will pursue four primary activities over 12 months: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Landscape Analysis.</w:t>
      </w:r>
      <w:r w:rsidDel="00000000" w:rsidR="00000000" w:rsidRPr="00000000">
        <w:rPr>
          <w:rtl w:val="0"/>
        </w:rPr>
        <w:t xml:space="preserve"> We will systematically inventory existing and emerging standards, guidelines, and initiatives related to AI documentation, including publisher policies, technical standards, and ethical frameworks. This analysis will identify gaps, overlaps, and opportunities for coordination, ensuring our work complements rather than duplicates existing efforts.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Framework Development.</w:t>
      </w:r>
      <w:r w:rsidDel="00000000" w:rsidR="00000000" w:rsidRPr="00000000">
        <w:rPr>
          <w:rtl w:val="0"/>
        </w:rPr>
        <w:t xml:space="preserve"> We will extend the "Three Ps" framework through iterative testing across different AI modalities (text, image, code, audio/video generation) and research disciplines. This work will determine which core principles apply broadly and where disciplinary or modal variations are necessary.</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Stakeholder Engagement.</w:t>
      </w:r>
      <w:r w:rsidDel="00000000" w:rsidR="00000000" w:rsidRPr="00000000">
        <w:rPr>
          <w:rtl w:val="0"/>
        </w:rPr>
        <w:t xml:space="preserve"> We will conduct structured consultations with related RDA groups, publishers, research infrastructure providers, and standards bodies to understand requirements, constraints, and opportunities for coordination. These consultations will inform our prioritization of outputs and ensure our work addresses genuine community needs.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Working Group Specification.</w:t>
      </w:r>
      <w:r w:rsidDel="00000000" w:rsidR="00000000" w:rsidRPr="00000000">
        <w:rPr>
          <w:rtl w:val="0"/>
        </w:rPr>
        <w:t xml:space="preserve"> We will evaluate and prioritise potential Working Group outputs through community input, producing detailed Statements of Work that specify deliverables, timelines, participation requirements, and coordination mechanisms. Candidate outputs include metadata schemas, minimum information guidelines, research grimoires frameworks (for sharing tested prompts and workflows), publisher recommendations, and ethics guidelines.</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Distinctiveness and Positioning</w:t>
      </w:r>
    </w:p>
    <w:p w:rsidR="00000000" w:rsidDel="00000000" w:rsidP="00000000" w:rsidRDefault="00000000" w:rsidRPr="00000000" w14:paraId="00000023">
      <w:pPr>
        <w:spacing w:after="240" w:before="240" w:lineRule="auto"/>
        <w:rPr/>
      </w:pPr>
      <w:r w:rsidDel="00000000" w:rsidR="00000000" w:rsidRPr="00000000">
        <w:rPr>
          <w:rtl w:val="0"/>
        </w:rPr>
        <w:t xml:space="preserve">This Interest Group distinguishes itself from related RDA activities by focusing specifically on methodology documentation standards for researcher-AI interactions. Unlike groups focused on AI governance, ethics, or technical infrastructure, we address the practical question of what researchers should document and how. Our work complements existing RDA Interest Groups (Global Open Research Commons, Research Data Policy) and Working Groups (AI and Data Visitation) by filling a specific gap in research methodology standards.</w:t>
      </w:r>
    </w:p>
    <w:p w:rsidR="00000000" w:rsidDel="00000000" w:rsidP="00000000" w:rsidRDefault="00000000" w:rsidRPr="00000000" w14:paraId="00000024">
      <w:pPr>
        <w:spacing w:after="240" w:before="240" w:lineRule="auto"/>
        <w:rPr/>
      </w:pPr>
      <w:r w:rsidDel="00000000" w:rsidR="00000000" w:rsidRPr="00000000">
        <w:rPr>
          <w:rtl w:val="0"/>
        </w:rPr>
        <w:t xml:space="preserve">We position our work as extending existing standards rather than creating competing alternatives. By building on </w:t>
      </w:r>
      <w:r w:rsidDel="00000000" w:rsidR="00000000" w:rsidRPr="00000000">
        <w:rPr>
          <w:rtl w:val="0"/>
        </w:rPr>
        <w:t xml:space="preserve">established frameworks</w:t>
      </w:r>
      <w:r w:rsidDel="00000000" w:rsidR="00000000" w:rsidRPr="00000000">
        <w:rPr>
          <w:rtl w:val="0"/>
        </w:rPr>
        <w:t xml:space="preserve"> like FAIR principles, RO-Crate, software citation standards, and relevant domain-specific initiatives (e.g., the </w:t>
      </w:r>
      <w:hyperlink r:id="rId15">
        <w:r w:rsidDel="00000000" w:rsidR="00000000" w:rsidRPr="00000000">
          <w:rPr>
            <w:color w:val="1155cc"/>
            <w:u w:val="single"/>
            <w:rtl w:val="0"/>
          </w:rPr>
          <w:t xml:space="preserve">Equator Network</w:t>
        </w:r>
      </w:hyperlink>
      <w:r w:rsidDel="00000000" w:rsidR="00000000" w:rsidRPr="00000000">
        <w:rPr>
          <w:rtl w:val="0"/>
        </w:rPr>
        <w:t xml:space="preserve">), we aim to provide guidance on applying these tools to AI documentation rather than proliferating yet another standard. This positioning addresses community concerns about fragmentation while ensuring our outputs integrate with existing research infrastructure.</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Expected Impact</w:t>
      </w:r>
    </w:p>
    <w:p w:rsidR="00000000" w:rsidDel="00000000" w:rsidP="00000000" w:rsidRDefault="00000000" w:rsidRPr="00000000" w14:paraId="00000026">
      <w:pPr>
        <w:spacing w:after="240" w:before="240" w:lineRule="auto"/>
        <w:rPr/>
      </w:pPr>
      <w:r w:rsidDel="00000000" w:rsidR="00000000" w:rsidRPr="00000000">
        <w:rPr>
          <w:rtl w:val="0"/>
        </w:rPr>
        <w:t xml:space="preserve">By establishing clear documentation standards for AI interactions in research, this Interest Group will support research integrity, facilitate meaningful peer review, and provide practical guidance for researchers, publishers, and institutions navigating this rapidly evolving landscape. Our outputs will enable researchers to demonstrate their methodological rigor, help reviewers assess the appropriateness of AI use, and support reproducibility efforts—ultimately strengthening trust in research that incorporates these powerful but often opaque tools.</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ADDITIONAL INFORMATION FOR RDA SECRETARIAT</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Previous BoF Session:</w:t>
      </w:r>
      <w:r w:rsidDel="00000000" w:rsidR="00000000" w:rsidRPr="00000000">
        <w:rPr>
          <w:rtl w:val="0"/>
        </w:rPr>
        <w:t xml:space="preserve"> Yes – RDA P25 (Brisbane, October 2025)</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rtl w:val="0"/>
        </w:rPr>
        <w:t xml:space="preserve">Session title: "Documenting LLM Interactions throughout the Research Data Lifecycle"</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Approximate attendance: 20 participants</w:t>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rtl w:val="0"/>
        </w:rPr>
        <w:t xml:space="preserve">Session notes: Available in project materials</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Related RDA Groups for Coordination:</w:t>
      </w:r>
    </w:p>
    <w:p w:rsidR="00000000" w:rsidDel="00000000" w:rsidP="00000000" w:rsidRDefault="00000000" w:rsidRPr="00000000" w14:paraId="0000002E">
      <w:pPr>
        <w:numPr>
          <w:ilvl w:val="0"/>
          <w:numId w:val="3"/>
        </w:numPr>
        <w:spacing w:after="0" w:afterAutospacing="0" w:before="240" w:lineRule="auto"/>
        <w:ind w:left="720" w:hanging="360"/>
      </w:pPr>
      <w:r w:rsidDel="00000000" w:rsidR="00000000" w:rsidRPr="00000000">
        <w:rPr>
          <w:rtl w:val="0"/>
        </w:rPr>
        <w:t xml:space="preserve">Artificial Intelligence and Data Visitation WG</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Research Data Policy IG</w:t>
      </w:r>
    </w:p>
    <w:p w:rsidR="00000000" w:rsidDel="00000000" w:rsidP="00000000" w:rsidRDefault="00000000" w:rsidRPr="00000000" w14:paraId="00000030">
      <w:pPr>
        <w:numPr>
          <w:ilvl w:val="0"/>
          <w:numId w:val="3"/>
        </w:numPr>
        <w:spacing w:after="240" w:before="0" w:beforeAutospacing="0" w:lineRule="auto"/>
        <w:ind w:left="720" w:hanging="360"/>
      </w:pPr>
      <w:r w:rsidDel="00000000" w:rsidR="00000000" w:rsidRPr="00000000">
        <w:rPr>
          <w:rtl w:val="0"/>
        </w:rPr>
        <w:t xml:space="preserve">Global Open Research Commons IG</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External Organizations for Engagement:</w:t>
      </w:r>
    </w:p>
    <w:p w:rsidR="00000000" w:rsidDel="00000000" w:rsidP="00000000" w:rsidRDefault="00000000" w:rsidRPr="00000000" w14:paraId="00000032">
      <w:pPr>
        <w:numPr>
          <w:ilvl w:val="0"/>
          <w:numId w:val="4"/>
        </w:numPr>
        <w:spacing w:after="0" w:afterAutospacing="0" w:before="240" w:lineRule="auto"/>
        <w:ind w:left="720" w:hanging="360"/>
      </w:pPr>
      <w:r w:rsidDel="00000000" w:rsidR="00000000" w:rsidRPr="00000000">
        <w:rPr>
          <w:rtl w:val="0"/>
        </w:rPr>
        <w:t xml:space="preserve">STM Publishers Association</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Cambridge University Press</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CODATA International Data Policy Committee</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International Science Council</w:t>
      </w:r>
    </w:p>
    <w:p w:rsidR="00000000" w:rsidDel="00000000" w:rsidP="00000000" w:rsidRDefault="00000000" w:rsidRPr="00000000" w14:paraId="00000036">
      <w:pPr>
        <w:numPr>
          <w:ilvl w:val="0"/>
          <w:numId w:val="4"/>
        </w:numPr>
        <w:spacing w:after="240" w:before="0" w:beforeAutospacing="0" w:lineRule="auto"/>
        <w:ind w:left="720" w:hanging="360"/>
      </w:pPr>
      <w:r w:rsidDel="00000000" w:rsidR="00000000" w:rsidRPr="00000000">
        <w:rPr>
          <w:rtl w:val="0"/>
        </w:rPr>
        <w:t xml:space="preserve">Research infrastructure providers (ARDC, CSIRO, CSC, NII)</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Keywords:</w:t>
      </w:r>
      <w:r w:rsidDel="00000000" w:rsidR="00000000" w:rsidRPr="00000000">
        <w:rPr>
          <w:rtl w:val="0"/>
        </w:rPr>
        <w:t xml:space="preserve"> generative AI, large language models, documentation, research methodology, transparency, reproducibility, FAIR principles, metadata standards, research integrity, prompting</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Timing Considerations:</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rtl w:val="0"/>
        </w:rPr>
        <w:t xml:space="preserve">Target submission: August 2026 (sooner if ready)</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Community review: 4 weeks</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TAB review: 4-6 weeks</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Council review: 2 weeks</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Total approval timeline: approximately 10-12 weeks</w:t>
      </w:r>
    </w:p>
    <w:p w:rsidR="00000000" w:rsidDel="00000000" w:rsidP="00000000" w:rsidRDefault="00000000" w:rsidRPr="00000000" w14:paraId="0000003E">
      <w:pPr>
        <w:numPr>
          <w:ilvl w:val="0"/>
          <w:numId w:val="1"/>
        </w:numPr>
        <w:spacing w:after="240" w:before="0" w:beforeAutospacing="0" w:lineRule="auto"/>
        <w:ind w:left="720" w:hanging="360"/>
      </w:pPr>
      <w:r w:rsidDel="00000000" w:rsidR="00000000" w:rsidRPr="00000000">
        <w:rPr>
          <w:rtl w:val="0"/>
        </w:rPr>
        <w:t xml:space="preserve">Aim for endorsement by RDA P27 (October 2026)</w:t>
      </w:r>
    </w:p>
    <w:p w:rsidR="00000000" w:rsidDel="00000000" w:rsidP="00000000" w:rsidRDefault="00000000" w:rsidRPr="00000000" w14:paraId="0000003F">
      <w:pPr>
        <w:rPr/>
      </w:pPr>
      <w:r w:rsidDel="00000000" w:rsidR="00000000" w:rsidRPr="00000000">
        <w:rPr>
          <w:rtl w:val="0"/>
        </w:rPr>
      </w:r>
    </w:p>
    <w:sectPr>
      <w:type w:val="nextPage"/>
      <w:pgSz w:h="16838" w:w="11906" w:orient="portrait"/>
      <w:pgMar w:bottom="1133.8582677165355" w:top="1133.8582677165355" w:left="1133.8582677165355" w:right="1133.8582677165355"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ian Ballsun-Stanton" w:id="0" w:date="2026-02-11T04:47:32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note to colleagues: Please add your own citations and references here!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press.uchicago.edu/ucp/books/book/chicago/I/bo3710110.html" TargetMode="External"/><Relationship Id="rId10" Type="http://schemas.openxmlformats.org/officeDocument/2006/relationships/hyperlink" Target="https://press.princeton.edu/books/paperback/9780691028323/laboratory-life" TargetMode="External"/><Relationship Id="rId13" Type="http://schemas.openxmlformats.org/officeDocument/2006/relationships/hyperlink" Target="https://www.pnas.org/doi/10.1073/pnas.1708274114" TargetMode="External"/><Relationship Id="rId12" Type="http://schemas.openxmlformats.org/officeDocument/2006/relationships/hyperlink" Target="https://www.pnas.org/doi/10.1073/pnas.170827411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osf.io/preprints/socarxiv/sbwcq" TargetMode="External"/><Relationship Id="rId15" Type="http://schemas.openxmlformats.org/officeDocument/2006/relationships/hyperlink" Target="https://www.equator-network.org/" TargetMode="External"/><Relationship Id="rId14" Type="http://schemas.openxmlformats.org/officeDocument/2006/relationships/hyperlink" Target="https://www.pnas.org/doi/10.1073/pnas.1708274114"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zenodo.org/records/10851623" TargetMode="External"/><Relationship Id="rId8" Type="http://schemas.openxmlformats.org/officeDocument/2006/relationships/hyperlink" Target="https://www.tandfonline.com/doi/full/10.1080/1360080X.2025.25091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