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Pr>
        <w:t>Wearable Sleep + Stress Risk Pipeline</w:t>
        <w:br/>
        <w:t>for Clinician Decision Support</w:t>
      </w:r>
    </w:p>
    <w:p>
      <w:pPr>
        <w:pStyle w:val="Subtitle"/>
        <w:jc w:val="center"/>
      </w:pPr>
      <w:r>
        <w:t>Internal build document for the agent team: scope, pipeline, modules, datasets, resources, and execution plan.</w:t>
      </w:r>
    </w:p>
    <w:tbl>
      <w:tblPr>
        <w:tblW w:type="auto" w:w="0"/>
        <w:jc w:val="center"/>
        <w:tblLayout w:type="fixed"/>
        <w:tblLook w:firstColumn="1" w:firstRow="1" w:lastColumn="0" w:lastRow="0" w:noHBand="0" w:noVBand="1" w:val="04A0"/>
      </w:tblPr>
      <w:tblGrid>
        <w:gridCol w:w="4896"/>
        <w:gridCol w:w="4896"/>
      </w:tblGrid>
      <w:tr>
        <w:tc>
          <w:tcPr>
            <w:tcW w:type="dxa" w:w="1814"/>
            <w:vAlign w:val="center"/>
            <w:shd w:fill="F3F7FB"/>
          </w:tcPr>
          <w:p>
            <w:pPr>
              <w:spacing w:after="0" w:line="252" w:lineRule="auto"/>
              <w:jc w:val="center"/>
            </w:pPr>
            <w:r>
              <w:rPr>
                <w:b/>
                <w:color w:val="163A5B"/>
                <w:sz w:val="21"/>
              </w:rPr>
              <w:t>Project goal</w:t>
            </w:r>
          </w:p>
        </w:tc>
        <w:tc>
          <w:tcPr>
            <w:tcW w:type="dxa" w:w="7143"/>
            <w:vAlign w:val="center"/>
            <w:shd w:fill="F3F7FB"/>
          </w:tcPr>
          <w:p>
            <w:pPr>
              <w:spacing w:after="0" w:line="252" w:lineRule="auto"/>
            </w:pPr>
            <w:r>
              <w:t>Build a clinician-facing dashboard that ingests wearable sleep/HRV data, predicts stress risk, forecasts deterioration, and retrieves similar patients with explanations of the main physiological drivers.</w:t>
            </w:r>
          </w:p>
        </w:tc>
      </w:tr>
    </w:tbl>
    <w:p/>
    <w:p>
      <w:pPr>
        <w:pStyle w:val="Heading1"/>
      </w:pPr>
      <w:r>
        <w:t>1. Objective and product definition</w:t>
      </w:r>
    </w:p>
    <w:p>
      <w:r>
        <w:t>The product is a clinical decision-support prototype, not a diagnostic system. Its purpose is to help a clinician quickly understand whether a patient is trending toward higher stress or poorer regulation, which patients resemble that trajectory, and which sleep or autonomic indicators appear to be the main contributors.</w:t>
      </w:r>
    </w:p>
    <w:p>
      <w:r>
        <w:t>The user experience should center on one patient detail screen with three outputs: a current stress-risk estimate, a near-term trajectory forecast, and an explanation panel that highlights the dominant factors and similar historical cases.</w:t>
      </w:r>
    </w:p>
    <w:p>
      <w:pPr>
        <w:pStyle w:val="Heading1"/>
      </w:pPr>
      <w:r>
        <w:t>2. End-to-end pipeline</w:t>
      </w:r>
    </w:p>
    <w:p>
      <w:r>
        <w:t>The pipeline should be implemented in the order below. Each step produces an artifact that is useful on its own, so the team can demo a partial system even if later modules remain unfinished.</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c>
          <w:tcPr>
            <w:tcW w:type="dxa" w:w="624"/>
            <w:vAlign w:val="center"/>
            <w:shd w:fill="D9EAF7"/>
          </w:tcPr>
          <w:p>
            <w:pPr>
              <w:spacing w:after="0" w:line="252" w:lineRule="auto"/>
            </w:pPr>
            <w:r>
              <w:rPr>
                <w:b/>
                <w:color w:val="163A5B"/>
                <w:sz w:val="19"/>
              </w:rPr>
            </w:r>
            <w:r>
              <w:rPr>
                <w:rFonts w:ascii="Calibri" w:hAnsi="Calibri"/>
                <w:b/>
                <w:color w:val="163A5B"/>
                <w:sz w:val="19"/>
              </w:rPr>
              <w:t>Step</w:t>
            </w:r>
          </w:p>
        </w:tc>
        <w:tc>
          <w:tcPr>
            <w:tcW w:type="dxa" w:w="2268"/>
            <w:vAlign w:val="center"/>
            <w:shd w:fill="D9EAF7"/>
          </w:tcPr>
          <w:p>
            <w:pPr>
              <w:spacing w:after="0" w:line="252" w:lineRule="auto"/>
            </w:pPr>
            <w:r>
              <w:rPr>
                <w:b/>
                <w:color w:val="163A5B"/>
                <w:sz w:val="19"/>
              </w:rPr>
            </w:r>
            <w:r>
              <w:rPr>
                <w:rFonts w:ascii="Calibri" w:hAnsi="Calibri"/>
                <w:b/>
                <w:color w:val="163A5B"/>
                <w:sz w:val="19"/>
              </w:rPr>
              <w:t>Module</w:t>
            </w:r>
          </w:p>
        </w:tc>
        <w:tc>
          <w:tcPr>
            <w:tcW w:type="dxa" w:w="2608"/>
            <w:vAlign w:val="center"/>
            <w:shd w:fill="D9EAF7"/>
          </w:tcPr>
          <w:p>
            <w:pPr>
              <w:spacing w:after="0" w:line="252" w:lineRule="auto"/>
            </w:pPr>
            <w:r>
              <w:rPr>
                <w:b/>
                <w:color w:val="163A5B"/>
                <w:sz w:val="19"/>
              </w:rPr>
            </w:r>
            <w:r>
              <w:rPr>
                <w:rFonts w:ascii="Calibri" w:hAnsi="Calibri"/>
                <w:b/>
                <w:color w:val="163A5B"/>
                <w:sz w:val="19"/>
              </w:rPr>
              <w:t>Purpose</w:t>
            </w:r>
          </w:p>
        </w:tc>
        <w:tc>
          <w:tcPr>
            <w:tcW w:type="dxa" w:w="1984"/>
            <w:vAlign w:val="center"/>
            <w:shd w:fill="D9EAF7"/>
          </w:tcPr>
          <w:p>
            <w:pPr>
              <w:spacing w:after="0" w:line="252" w:lineRule="auto"/>
            </w:pPr>
            <w:r>
              <w:rPr>
                <w:b/>
                <w:color w:val="163A5B"/>
                <w:sz w:val="19"/>
              </w:rPr>
            </w:r>
            <w:r>
              <w:rPr>
                <w:rFonts w:ascii="Calibri" w:hAnsi="Calibri"/>
                <w:b/>
                <w:color w:val="163A5B"/>
                <w:sz w:val="19"/>
              </w:rPr>
              <w:t>Output</w:t>
            </w:r>
          </w:p>
        </w:tc>
        <w:tc>
          <w:tcPr>
            <w:tcW w:type="dxa" w:w="2551"/>
            <w:vAlign w:val="center"/>
            <w:shd w:fill="D9EAF7"/>
          </w:tcPr>
          <w:p>
            <w:pPr>
              <w:spacing w:after="0" w:line="252" w:lineRule="auto"/>
            </w:pPr>
            <w:r>
              <w:rPr>
                <w:b/>
                <w:color w:val="163A5B"/>
                <w:sz w:val="19"/>
              </w:rPr>
            </w:r>
            <w:r>
              <w:rPr>
                <w:rFonts w:ascii="Calibri" w:hAnsi="Calibri"/>
                <w:b/>
                <w:color w:val="163A5B"/>
                <w:sz w:val="19"/>
              </w:rPr>
              <w:t>Implementation detail</w:t>
            </w:r>
          </w:p>
        </w:tc>
      </w:tr>
      <w:tr>
        <w:tc>
          <w:tcPr>
            <w:tcW w:type="dxa" w:w="1958"/>
            <w:vAlign w:val="center"/>
          </w:tcPr>
          <w:p>
            <w:pPr>
              <w:spacing w:after="0" w:line="252" w:lineRule="auto"/>
            </w:pPr>
            <w:r>
              <w:rPr>
                <w:b/>
                <w:color w:val="2A577C"/>
              </w:rPr>
            </w:r>
            <w:r>
              <w:rPr>
                <w:rFonts w:ascii="Calibri" w:hAnsi="Calibri"/>
                <w:b/>
                <w:color w:val="2A577C"/>
                <w:sz w:val="19"/>
              </w:rPr>
              <w:t>Step 1</w:t>
            </w:r>
          </w:p>
        </w:tc>
        <w:tc>
          <w:tcPr>
            <w:tcW w:type="dxa" w:w="1958"/>
            <w:vAlign w:val="center"/>
          </w:tcPr>
          <w:p>
            <w:pPr>
              <w:spacing w:after="0" w:line="252" w:lineRule="auto"/>
            </w:pPr>
            <w:r/>
            <w:r>
              <w:rPr>
                <w:rFonts w:ascii="Calibri" w:hAnsi="Calibri"/>
                <w:sz w:val="19"/>
              </w:rPr>
              <w:t>Data ingestion and schema unification</w:t>
            </w:r>
          </w:p>
        </w:tc>
        <w:tc>
          <w:tcPr>
            <w:tcW w:type="dxa" w:w="1958"/>
            <w:vAlign w:val="center"/>
          </w:tcPr>
          <w:p>
            <w:pPr>
              <w:spacing w:after="0" w:line="252" w:lineRule="auto"/>
            </w:pPr>
            <w:r/>
            <w:r>
              <w:rPr>
                <w:rFonts w:ascii="Calibri" w:hAnsi="Calibri"/>
                <w:sz w:val="19"/>
              </w:rPr>
              <w:t>Load MMASH and the wearable HRV + sleep diary dataset into one common format.</w:t>
            </w:r>
          </w:p>
        </w:tc>
        <w:tc>
          <w:tcPr>
            <w:tcW w:type="dxa" w:w="1958"/>
            <w:vAlign w:val="center"/>
          </w:tcPr>
          <w:p>
            <w:pPr>
              <w:spacing w:after="0" w:line="252" w:lineRule="auto"/>
            </w:pPr>
            <w:r/>
            <w:r>
              <w:rPr>
                <w:rFonts w:ascii="Calibri" w:hAnsi="Calibri"/>
                <w:sz w:val="19"/>
              </w:rPr>
              <w:t>Daily patient table; nightly sleep table; raw signal registry.</w:t>
            </w:r>
          </w:p>
        </w:tc>
        <w:tc>
          <w:tcPr>
            <w:tcW w:type="dxa" w:w="1958"/>
            <w:vAlign w:val="center"/>
          </w:tcPr>
          <w:p>
            <w:pPr>
              <w:spacing w:after="0" w:line="252" w:lineRule="auto"/>
            </w:pPr>
            <w:r/>
            <w:r>
              <w:rPr>
                <w:rFonts w:ascii="Calibri" w:hAnsi="Calibri"/>
                <w:sz w:val="19"/>
              </w:rPr>
              <w:t>Every record uses the same canonical fields: patient_id, date, sleep_window, wearable_features, questionnaire_labels, and metadata.</w:t>
            </w:r>
          </w:p>
        </w:tc>
      </w:tr>
      <w:tr>
        <w:tc>
          <w:tcPr>
            <w:tcW w:type="dxa" w:w="1958"/>
            <w:vAlign w:val="center"/>
          </w:tcPr>
          <w:p>
            <w:pPr>
              <w:spacing w:after="0" w:line="252" w:lineRule="auto"/>
            </w:pPr>
            <w:r>
              <w:rPr>
                <w:b/>
                <w:color w:val="2A577C"/>
              </w:rPr>
            </w:r>
            <w:r>
              <w:rPr>
                <w:rFonts w:ascii="Calibri" w:hAnsi="Calibri"/>
                <w:b/>
                <w:color w:val="2A577C"/>
                <w:sz w:val="19"/>
              </w:rPr>
              <w:t>Step 2</w:t>
            </w:r>
          </w:p>
        </w:tc>
        <w:tc>
          <w:tcPr>
            <w:tcW w:type="dxa" w:w="1958"/>
            <w:vAlign w:val="center"/>
          </w:tcPr>
          <w:p>
            <w:pPr>
              <w:spacing w:after="0" w:line="252" w:lineRule="auto"/>
            </w:pPr>
            <w:r/>
            <w:r>
              <w:rPr>
                <w:rFonts w:ascii="Calibri" w:hAnsi="Calibri"/>
                <w:sz w:val="19"/>
              </w:rPr>
              <w:t>Feature extraction</w:t>
            </w:r>
          </w:p>
        </w:tc>
        <w:tc>
          <w:tcPr>
            <w:tcW w:type="dxa" w:w="1958"/>
            <w:vAlign w:val="center"/>
          </w:tcPr>
          <w:p>
            <w:pPr>
              <w:spacing w:after="0" w:line="252" w:lineRule="auto"/>
            </w:pPr>
            <w:r/>
            <w:r>
              <w:rPr>
                <w:rFonts w:ascii="Calibri" w:hAnsi="Calibri"/>
                <w:sz w:val="19"/>
              </w:rPr>
              <w:t>Convert raw wearable signals into daily and nightly summary features.</w:t>
            </w:r>
          </w:p>
        </w:tc>
        <w:tc>
          <w:tcPr>
            <w:tcW w:type="dxa" w:w="1958"/>
            <w:vAlign w:val="center"/>
          </w:tcPr>
          <w:p>
            <w:pPr>
              <w:spacing w:after="0" w:line="252" w:lineRule="auto"/>
            </w:pPr>
            <w:r/>
            <w:r>
              <w:rPr>
                <w:rFonts w:ascii="Calibri" w:hAnsi="Calibri"/>
                <w:sz w:val="19"/>
              </w:rPr>
              <w:t>Feature matrix for modeling.</w:t>
            </w:r>
          </w:p>
        </w:tc>
        <w:tc>
          <w:tcPr>
            <w:tcW w:type="dxa" w:w="1958"/>
            <w:vAlign w:val="center"/>
          </w:tcPr>
          <w:p>
            <w:pPr>
              <w:spacing w:after="0" w:line="252" w:lineRule="auto"/>
            </w:pPr>
            <w:r/>
            <w:r>
              <w:rPr>
                <w:rFonts w:ascii="Calibri" w:hAnsi="Calibri"/>
                <w:sz w:val="19"/>
              </w:rPr>
              <w:t>Include HRV summaries, sleep duration, sleep timing, sleep regularity, fragmentation, resting heart rate, and rolling trend features.</w:t>
            </w:r>
          </w:p>
        </w:tc>
      </w:tr>
      <w:tr>
        <w:tc>
          <w:tcPr>
            <w:tcW w:type="dxa" w:w="1958"/>
            <w:vAlign w:val="center"/>
          </w:tcPr>
          <w:p>
            <w:pPr>
              <w:spacing w:after="0" w:line="252" w:lineRule="auto"/>
            </w:pPr>
            <w:r>
              <w:rPr>
                <w:b/>
                <w:color w:val="2A577C"/>
              </w:rPr>
            </w:r>
            <w:r>
              <w:rPr>
                <w:rFonts w:ascii="Calibri" w:hAnsi="Calibri"/>
                <w:b/>
                <w:color w:val="2A577C"/>
                <w:sz w:val="19"/>
              </w:rPr>
              <w:t>Step 3</w:t>
            </w:r>
          </w:p>
        </w:tc>
        <w:tc>
          <w:tcPr>
            <w:tcW w:type="dxa" w:w="1958"/>
            <w:vAlign w:val="center"/>
          </w:tcPr>
          <w:p>
            <w:pPr>
              <w:spacing w:after="0" w:line="252" w:lineRule="auto"/>
            </w:pPr>
            <w:r/>
            <w:r>
              <w:rPr>
                <w:rFonts w:ascii="Calibri" w:hAnsi="Calibri"/>
                <w:sz w:val="19"/>
              </w:rPr>
              <w:t>Stress prediction</w:t>
            </w:r>
          </w:p>
        </w:tc>
        <w:tc>
          <w:tcPr>
            <w:tcW w:type="dxa" w:w="1958"/>
            <w:vAlign w:val="center"/>
          </w:tcPr>
          <w:p>
            <w:pPr>
              <w:spacing w:after="0" w:line="252" w:lineRule="auto"/>
            </w:pPr>
            <w:r/>
            <w:r>
              <w:rPr>
                <w:rFonts w:ascii="Calibri" w:hAnsi="Calibri"/>
                <w:sz w:val="19"/>
              </w:rPr>
              <w:t>Train a model that predicts stress level or stress-risk class from sleep-derived inputs.</w:t>
            </w:r>
          </w:p>
        </w:tc>
        <w:tc>
          <w:tcPr>
            <w:tcW w:type="dxa" w:w="1958"/>
            <w:vAlign w:val="center"/>
          </w:tcPr>
          <w:p>
            <w:pPr>
              <w:spacing w:after="0" w:line="252" w:lineRule="auto"/>
            </w:pPr>
            <w:r/>
            <w:r>
              <w:rPr>
                <w:rFonts w:ascii="Calibri" w:hAnsi="Calibri"/>
                <w:sz w:val="19"/>
              </w:rPr>
              <w:t>Per-night or per-day stress score.</w:t>
            </w:r>
          </w:p>
        </w:tc>
        <w:tc>
          <w:tcPr>
            <w:tcW w:type="dxa" w:w="1958"/>
            <w:vAlign w:val="center"/>
          </w:tcPr>
          <w:p>
            <w:pPr>
              <w:spacing w:after="0" w:line="252" w:lineRule="auto"/>
            </w:pPr>
            <w:r/>
            <w:r>
              <w:rPr>
                <w:rFonts w:ascii="Calibri" w:hAnsi="Calibri"/>
                <w:sz w:val="19"/>
              </w:rPr>
              <w:t>Start with a tabular baseline; only move to sequence models if the baseline is stable and time remains.</w:t>
            </w:r>
          </w:p>
        </w:tc>
      </w:tr>
      <w:tr>
        <w:tc>
          <w:tcPr>
            <w:tcW w:type="dxa" w:w="1958"/>
            <w:vAlign w:val="center"/>
          </w:tcPr>
          <w:p>
            <w:pPr>
              <w:spacing w:after="0" w:line="252" w:lineRule="auto"/>
            </w:pPr>
            <w:r>
              <w:rPr>
                <w:b/>
                <w:color w:val="2A577C"/>
              </w:rPr>
            </w:r>
            <w:r>
              <w:rPr>
                <w:rFonts w:ascii="Calibri" w:hAnsi="Calibri"/>
                <w:b/>
                <w:color w:val="2A577C"/>
                <w:sz w:val="19"/>
              </w:rPr>
              <w:t>Step 4</w:t>
            </w:r>
          </w:p>
        </w:tc>
        <w:tc>
          <w:tcPr>
            <w:tcW w:type="dxa" w:w="1958"/>
            <w:vAlign w:val="center"/>
          </w:tcPr>
          <w:p>
            <w:pPr>
              <w:spacing w:after="0" w:line="252" w:lineRule="auto"/>
            </w:pPr>
            <w:r/>
            <w:r>
              <w:rPr>
                <w:rFonts w:ascii="Calibri" w:hAnsi="Calibri"/>
                <w:sz w:val="19"/>
              </w:rPr>
              <w:t>Trajectory forecasting</w:t>
            </w:r>
          </w:p>
        </w:tc>
        <w:tc>
          <w:tcPr>
            <w:tcW w:type="dxa" w:w="1958"/>
            <w:vAlign w:val="center"/>
          </w:tcPr>
          <w:p>
            <w:pPr>
              <w:spacing w:after="0" w:line="252" w:lineRule="auto"/>
            </w:pPr>
            <w:r/>
            <w:r>
              <w:rPr>
                <w:rFonts w:ascii="Calibri" w:hAnsi="Calibri"/>
                <w:sz w:val="19"/>
              </w:rPr>
              <w:t>Predict the future course of stress-risk or related health metrics from the recent history.</w:t>
            </w:r>
          </w:p>
        </w:tc>
        <w:tc>
          <w:tcPr>
            <w:tcW w:type="dxa" w:w="1958"/>
            <w:vAlign w:val="center"/>
          </w:tcPr>
          <w:p>
            <w:pPr>
              <w:spacing w:after="0" w:line="252" w:lineRule="auto"/>
            </w:pPr>
            <w:r/>
            <w:r>
              <w:rPr>
                <w:rFonts w:ascii="Calibri" w:hAnsi="Calibri"/>
                <w:sz w:val="19"/>
              </w:rPr>
              <w:t>Risk forecast for the next day/week/window.</w:t>
            </w:r>
          </w:p>
        </w:tc>
        <w:tc>
          <w:tcPr>
            <w:tcW w:type="dxa" w:w="1958"/>
            <w:vAlign w:val="center"/>
          </w:tcPr>
          <w:p>
            <w:pPr>
              <w:spacing w:after="0" w:line="252" w:lineRule="auto"/>
            </w:pPr>
            <w:r/>
            <w:r>
              <w:rPr>
                <w:rFonts w:ascii="Calibri" w:hAnsi="Calibri"/>
                <w:sz w:val="19"/>
              </w:rPr>
              <w:t>Use the stress score plus recent physiology as forecasting inputs; flag patients with expected deterioration.</w:t>
            </w:r>
          </w:p>
        </w:tc>
      </w:tr>
      <w:tr>
        <w:tc>
          <w:tcPr>
            <w:tcW w:type="dxa" w:w="1958"/>
            <w:vAlign w:val="center"/>
          </w:tcPr>
          <w:p>
            <w:pPr>
              <w:spacing w:after="0" w:line="252" w:lineRule="auto"/>
            </w:pPr>
            <w:r>
              <w:rPr>
                <w:b/>
                <w:color w:val="2A577C"/>
              </w:rPr>
            </w:r>
            <w:r>
              <w:rPr>
                <w:rFonts w:ascii="Calibri" w:hAnsi="Calibri"/>
                <w:b/>
                <w:color w:val="2A577C"/>
                <w:sz w:val="19"/>
              </w:rPr>
              <w:t>Step 5</w:t>
            </w:r>
          </w:p>
        </w:tc>
        <w:tc>
          <w:tcPr>
            <w:tcW w:type="dxa" w:w="1958"/>
            <w:vAlign w:val="center"/>
          </w:tcPr>
          <w:p>
            <w:pPr>
              <w:spacing w:after="0" w:line="252" w:lineRule="auto"/>
            </w:pPr>
            <w:r/>
            <w:r>
              <w:rPr>
                <w:rFonts w:ascii="Calibri" w:hAnsi="Calibri"/>
                <w:sz w:val="19"/>
              </w:rPr>
              <w:t>Patient similarity and clustering</w:t>
            </w:r>
          </w:p>
        </w:tc>
        <w:tc>
          <w:tcPr>
            <w:tcW w:type="dxa" w:w="1958"/>
            <w:vAlign w:val="center"/>
          </w:tcPr>
          <w:p>
            <w:pPr>
              <w:spacing w:after="0" w:line="252" w:lineRule="auto"/>
            </w:pPr>
            <w:r/>
            <w:r>
              <w:rPr>
                <w:rFonts w:ascii="Calibri" w:hAnsi="Calibri"/>
                <w:sz w:val="19"/>
              </w:rPr>
              <w:t>Map each patient to an embedding and group similar trajectories.</w:t>
            </w:r>
          </w:p>
        </w:tc>
        <w:tc>
          <w:tcPr>
            <w:tcW w:type="dxa" w:w="1958"/>
            <w:vAlign w:val="center"/>
          </w:tcPr>
          <w:p>
            <w:pPr>
              <w:spacing w:after="0" w:line="252" w:lineRule="auto"/>
            </w:pPr>
            <w:r/>
            <w:r>
              <w:rPr>
                <w:rFonts w:ascii="Calibri" w:hAnsi="Calibri"/>
                <w:sz w:val="19"/>
              </w:rPr>
              <w:t>Patient clusters and nearest-neighbor retrieval.</w:t>
            </w:r>
          </w:p>
        </w:tc>
        <w:tc>
          <w:tcPr>
            <w:tcW w:type="dxa" w:w="1958"/>
            <w:vAlign w:val="center"/>
          </w:tcPr>
          <w:p>
            <w:pPr>
              <w:spacing w:after="0" w:line="252" w:lineRule="auto"/>
            </w:pPr>
            <w:r/>
            <w:r>
              <w:rPr>
                <w:rFonts w:ascii="Calibri" w:hAnsi="Calibri"/>
                <w:sz w:val="19"/>
              </w:rPr>
              <w:t>For a selected patient, surface the most similar cases and the common factors shared by that subgroup.</w:t>
            </w:r>
          </w:p>
        </w:tc>
      </w:tr>
      <w:tr>
        <w:tc>
          <w:tcPr>
            <w:tcW w:type="dxa" w:w="1958"/>
            <w:vAlign w:val="center"/>
          </w:tcPr>
          <w:p>
            <w:pPr>
              <w:spacing w:after="0" w:line="252" w:lineRule="auto"/>
            </w:pPr>
            <w:r>
              <w:rPr>
                <w:b/>
                <w:color w:val="2A577C"/>
              </w:rPr>
            </w:r>
            <w:r>
              <w:rPr>
                <w:rFonts w:ascii="Calibri" w:hAnsi="Calibri"/>
                <w:b/>
                <w:color w:val="2A577C"/>
                <w:sz w:val="19"/>
              </w:rPr>
              <w:t>Step 6</w:t>
            </w:r>
          </w:p>
        </w:tc>
        <w:tc>
          <w:tcPr>
            <w:tcW w:type="dxa" w:w="1958"/>
            <w:vAlign w:val="center"/>
          </w:tcPr>
          <w:p>
            <w:pPr>
              <w:spacing w:after="0" w:line="252" w:lineRule="auto"/>
            </w:pPr>
            <w:r/>
            <w:r>
              <w:rPr>
                <w:rFonts w:ascii="Calibri" w:hAnsi="Calibri"/>
                <w:sz w:val="19"/>
              </w:rPr>
              <w:t>Explanation and clinical narration</w:t>
            </w:r>
          </w:p>
        </w:tc>
        <w:tc>
          <w:tcPr>
            <w:tcW w:type="dxa" w:w="1958"/>
            <w:vAlign w:val="center"/>
          </w:tcPr>
          <w:p>
            <w:pPr>
              <w:spacing w:after="0" w:line="252" w:lineRule="auto"/>
            </w:pPr>
            <w:r/>
            <w:r>
              <w:rPr>
                <w:rFonts w:ascii="Calibri" w:hAnsi="Calibri"/>
                <w:sz w:val="19"/>
              </w:rPr>
              <w:t>Generate human-readable explanations for the prediction and forecast.</w:t>
            </w:r>
          </w:p>
        </w:tc>
        <w:tc>
          <w:tcPr>
            <w:tcW w:type="dxa" w:w="1958"/>
            <w:vAlign w:val="center"/>
          </w:tcPr>
          <w:p>
            <w:pPr>
              <w:spacing w:after="0" w:line="252" w:lineRule="auto"/>
            </w:pPr>
            <w:r/>
            <w:r>
              <w:rPr>
                <w:rFonts w:ascii="Calibri" w:hAnsi="Calibri"/>
                <w:sz w:val="19"/>
              </w:rPr>
              <w:t>Insight bullets and alert text.</w:t>
            </w:r>
          </w:p>
        </w:tc>
        <w:tc>
          <w:tcPr>
            <w:tcW w:type="dxa" w:w="1958"/>
            <w:vAlign w:val="center"/>
          </w:tcPr>
          <w:p>
            <w:pPr>
              <w:spacing w:after="0" w:line="252" w:lineRule="auto"/>
            </w:pPr>
            <w:r/>
            <w:r>
              <w:rPr>
                <w:rFonts w:ascii="Calibri" w:hAnsi="Calibri"/>
                <w:sz w:val="19"/>
              </w:rPr>
              <w:t>Highlight the top drivers only: sleep timing drift, short sleep, reduced HRV recovery, elevated heart rate, or instability over time.</w:t>
            </w:r>
          </w:p>
        </w:tc>
      </w:tr>
      <w:tr>
        <w:tc>
          <w:tcPr>
            <w:tcW w:type="dxa" w:w="1958"/>
            <w:vAlign w:val="center"/>
          </w:tcPr>
          <w:p>
            <w:pPr>
              <w:spacing w:after="0" w:line="252" w:lineRule="auto"/>
            </w:pPr>
            <w:r>
              <w:rPr>
                <w:b/>
                <w:color w:val="2A577C"/>
              </w:rPr>
            </w:r>
            <w:r>
              <w:rPr>
                <w:rFonts w:ascii="Calibri" w:hAnsi="Calibri"/>
                <w:b/>
                <w:color w:val="2A577C"/>
                <w:sz w:val="19"/>
              </w:rPr>
              <w:t>Step 7</w:t>
            </w:r>
          </w:p>
        </w:tc>
        <w:tc>
          <w:tcPr>
            <w:tcW w:type="dxa" w:w="1958"/>
            <w:vAlign w:val="center"/>
          </w:tcPr>
          <w:p>
            <w:pPr>
              <w:spacing w:after="0" w:line="252" w:lineRule="auto"/>
            </w:pPr>
            <w:r/>
            <w:r>
              <w:rPr>
                <w:rFonts w:ascii="Calibri" w:hAnsi="Calibri"/>
                <w:sz w:val="19"/>
              </w:rPr>
              <w:t>Dashboard integration</w:t>
            </w:r>
          </w:p>
        </w:tc>
        <w:tc>
          <w:tcPr>
            <w:tcW w:type="dxa" w:w="1958"/>
            <w:vAlign w:val="center"/>
          </w:tcPr>
          <w:p>
            <w:pPr>
              <w:spacing w:after="0" w:line="252" w:lineRule="auto"/>
            </w:pPr>
            <w:r/>
            <w:r>
              <w:rPr>
                <w:rFonts w:ascii="Calibri" w:hAnsi="Calibri"/>
                <w:sz w:val="19"/>
              </w:rPr>
              <w:t>Expose all outputs in a clinician dashboard.</w:t>
            </w:r>
          </w:p>
        </w:tc>
        <w:tc>
          <w:tcPr>
            <w:tcW w:type="dxa" w:w="1958"/>
            <w:vAlign w:val="center"/>
          </w:tcPr>
          <w:p>
            <w:pPr>
              <w:spacing w:after="0" w:line="252" w:lineRule="auto"/>
            </w:pPr>
            <w:r/>
            <w:r>
              <w:rPr>
                <w:rFonts w:ascii="Calibri" w:hAnsi="Calibri"/>
                <w:sz w:val="19"/>
              </w:rPr>
              <w:t>Patient list, patient detail, and alerting screens.</w:t>
            </w:r>
          </w:p>
        </w:tc>
        <w:tc>
          <w:tcPr>
            <w:tcW w:type="dxa" w:w="1958"/>
            <w:vAlign w:val="center"/>
          </w:tcPr>
          <w:p>
            <w:pPr>
              <w:spacing w:after="0" w:line="252" w:lineRule="auto"/>
            </w:pPr>
            <w:r/>
            <w:r>
              <w:rPr>
                <w:rFonts w:ascii="Calibri" w:hAnsi="Calibri"/>
                <w:sz w:val="19"/>
              </w:rPr>
              <w:t>The dashboard should require no technical interpretation from the clinician.</w:t>
            </w:r>
          </w:p>
        </w:tc>
      </w:tr>
    </w:tbl>
    <w:p/>
    <w:p>
      <w:pPr>
        <w:pStyle w:val="Heading1"/>
      </w:pPr>
      <w:r>
        <w:t>3. Detailed module specifications</w:t>
      </w:r>
    </w:p>
    <w:p>
      <w:pPr>
        <w:pStyle w:val="Heading2"/>
      </w:pPr>
      <w:r>
        <w:t>3.1 Data ingestion and harmonization</w:t>
      </w:r>
    </w:p>
    <w:p>
      <w:r>
        <w:rPr>
          <w:b/>
        </w:rPr>
        <w:t xml:space="preserve">Output: </w:t>
      </w:r>
      <w:r>
        <w:t>Clean merged dataset and a short data dictionary.</w:t>
      </w:r>
    </w:p>
    <w:p>
      <w:pPr>
        <w:ind w:left="288" w:firstLine="0"/>
      </w:pPr>
      <w:r>
        <w:t>• Load each dataset into a structured folder layout: raw_signals/, derived_features/, labels/, and metadata/.</w:t>
      </w:r>
    </w:p>
    <w:p>
      <w:pPr>
        <w:ind w:left="288" w:firstLine="0"/>
      </w:pPr>
      <w:r>
        <w:t>• Create a single schema with one row per night and one row per day. Use the same patient_id across all files.</w:t>
      </w:r>
    </w:p>
    <w:p>
      <w:pPr>
        <w:ind w:left="288" w:firstLine="0"/>
      </w:pPr>
      <w:r>
        <w:t>• Map each dataset’s native fields into canonical columns: sleep_start, sleep_end, total_sleep_time, sleep_efficiency, mean_hrv, resting_hr, activity_level, stress_label, anxiety_label, depression_label, insomnia_label.</w:t>
      </w:r>
    </w:p>
    <w:p>
      <w:pPr>
        <w:ind w:left="288" w:firstLine="0"/>
      </w:pPr>
      <w:r>
        <w:t>• Preserve missingness explicitly. Do not impute at ingestion time; keep missing values visible for later modeling decisions.</w:t>
      </w:r>
    </w:p>
    <w:p>
      <w:pPr>
        <w:pStyle w:val="Heading2"/>
      </w:pPr>
      <w:r>
        <w:t>3.2 Feature engineering</w:t>
      </w:r>
    </w:p>
    <w:p>
      <w:r>
        <w:rPr>
          <w:b/>
        </w:rPr>
        <w:t xml:space="preserve">Output: </w:t>
      </w:r>
      <w:r>
        <w:t>Feature matrix with interpretable engineered variables.</w:t>
      </w:r>
    </w:p>
    <w:p>
      <w:pPr>
        <w:ind w:left="288" w:firstLine="0"/>
      </w:pPr>
      <w:r>
        <w:t>• Compute short-window features for the latest night or day and rolling-window features over 3, 7, and 14 days.</w:t>
      </w:r>
    </w:p>
    <w:p>
      <w:pPr>
        <w:ind w:left="288" w:firstLine="0"/>
      </w:pPr>
      <w:r>
        <w:t>• Add trend features: slope, moving average, variance, and change-from-baseline.</w:t>
      </w:r>
    </w:p>
    <w:p>
      <w:pPr>
        <w:ind w:left="288" w:firstLine="0"/>
      </w:pPr>
      <w:r>
        <w:t>• Keep the first version interpretable. Avoid an overly complex representation until the baseline works.</w:t>
      </w:r>
    </w:p>
    <w:p>
      <w:pPr>
        <w:ind w:left="288" w:firstLine="0"/>
      </w:pPr>
      <w:r>
        <w:t>• Separate features into: sleep, autonomic, activity, and questionnaire-derived groups so the explanation layer can reference them clearly.</w:t>
      </w:r>
    </w:p>
    <w:p>
      <w:pPr>
        <w:pStyle w:val="Heading2"/>
      </w:pPr>
      <w:r>
        <w:t>3.3 Stress prediction model</w:t>
      </w:r>
    </w:p>
    <w:p>
      <w:r>
        <w:rPr>
          <w:b/>
        </w:rPr>
        <w:t xml:space="preserve">Output: </w:t>
      </w:r>
      <w:r>
        <w:t>Risk score plus ranked feature contributions.</w:t>
      </w:r>
    </w:p>
    <w:p>
      <w:pPr>
        <w:ind w:left="288" w:firstLine="0"/>
      </w:pPr>
      <w:r>
        <w:t>• Use the labeled stress-related outcomes from MMASH and the sleep/mental-health labels from the HRV sleep-diary dataset.</w:t>
      </w:r>
    </w:p>
    <w:p>
      <w:pPr>
        <w:ind w:left="288" w:firstLine="0"/>
      </w:pPr>
      <w:r>
        <w:t>• Start with a baseline model that works on tabular features and supports explanation, such as logistic regression, random forest, XGBoost, or LightGBM.</w:t>
      </w:r>
    </w:p>
    <w:p>
      <w:pPr>
        <w:ind w:left="288" w:firstLine="0"/>
      </w:pPr>
      <w:r>
        <w:t>• If the team has time, add a sequence model that consumes several consecutive nights and predicts the next-night stress risk.</w:t>
      </w:r>
    </w:p>
    <w:p>
      <w:pPr>
        <w:ind w:left="288" w:firstLine="0"/>
      </w:pPr>
      <w:r>
        <w:t>• Calibrate outputs so the model reports a stable score that can be shown to clinicians as low / medium / high or as a 0-100 risk scale.</w:t>
      </w:r>
    </w:p>
    <w:p>
      <w:pPr>
        <w:pStyle w:val="Heading2"/>
      </w:pPr>
      <w:r>
        <w:t>3.4 Forecasting module</w:t>
      </w:r>
    </w:p>
    <w:p>
      <w:r>
        <w:rPr>
          <w:b/>
        </w:rPr>
        <w:t xml:space="preserve">Output: </w:t>
      </w:r>
      <w:r>
        <w:t>Forecast curve and alert flag.</w:t>
      </w:r>
    </w:p>
    <w:p>
      <w:pPr>
        <w:ind w:left="288" w:firstLine="0"/>
      </w:pPr>
      <w:r>
        <w:t>• Forecast the next stress-risk point or next health-state point from recent history.</w:t>
      </w:r>
    </w:p>
    <w:p>
      <w:pPr>
        <w:ind w:left="288" w:firstLine="0"/>
      </w:pPr>
      <w:r>
        <w:t>• Use the predicted stress score as an input feature, not as the only target. The forecast should reflect both the trajectory and the context.</w:t>
      </w:r>
    </w:p>
    <w:p>
      <w:pPr>
        <w:ind w:left="288" w:firstLine="0"/>
      </w:pPr>
      <w:r>
        <w:t>• Begin with a simple model: autoregressive regression, gradient-boosted regression over lagged features, or a lightweight temporal model.</w:t>
      </w:r>
    </w:p>
    <w:p>
      <w:pPr>
        <w:ind w:left="288" w:firstLine="0"/>
      </w:pPr>
      <w:r>
        <w:t>• Define one clear trigger rule, such as: alert when forecasted risk crosses a threshold or when a negative trend persists for N consecutive days.</w:t>
      </w:r>
    </w:p>
    <w:p>
      <w:pPr>
        <w:pStyle w:val="Heading2"/>
      </w:pPr>
      <w:r>
        <w:t>3.5 Similar-patient retrieval and clustering</w:t>
      </w:r>
    </w:p>
    <w:p>
      <w:r>
        <w:rPr>
          <w:b/>
        </w:rPr>
        <w:t xml:space="preserve">Output: </w:t>
      </w:r>
      <w:r>
        <w:t>Clusters, nearest neighbors, and shared-factors summary.</w:t>
      </w:r>
    </w:p>
    <w:p>
      <w:pPr>
        <w:ind w:left="288" w:firstLine="0"/>
      </w:pPr>
      <w:r>
        <w:t>• Compute a compact embedding for each patient-night or patient-week using the engineered features or a pretrained encoder.</w:t>
      </w:r>
    </w:p>
    <w:p>
      <w:pPr>
        <w:ind w:left="288" w:firstLine="0"/>
      </w:pPr>
      <w:r>
        <w:t>• Run clustering to identify recurring phenotypes, such as short-sleep/high-stress, irregular-schedule, or poor-recovery groups.</w:t>
      </w:r>
    </w:p>
    <w:p>
      <w:pPr>
        <w:ind w:left="288" w:firstLine="0"/>
      </w:pPr>
      <w:r>
        <w:t>• For every patient, retrieve the nearest matches from the dataset and summarize what they have in common.</w:t>
      </w:r>
    </w:p>
    <w:p>
      <w:pPr>
        <w:ind w:left="288" w:firstLine="0"/>
      </w:pPr>
      <w:r>
        <w:t>• Use the similar-case panel as a clinician-facing justification: the model is not only predicting; it is showing comparable historical patterns.</w:t>
      </w:r>
    </w:p>
    <w:p>
      <w:pPr>
        <w:pStyle w:val="Heading2"/>
      </w:pPr>
      <w:r>
        <w:t>3.6 Explanation and clinical narration</w:t>
      </w:r>
    </w:p>
    <w:p>
      <w:r>
        <w:rPr>
          <w:b/>
        </w:rPr>
        <w:t xml:space="preserve">Output: </w:t>
      </w:r>
      <w:r>
        <w:t>Explanation box and alert message.</w:t>
      </w:r>
    </w:p>
    <w:p>
      <w:pPr>
        <w:ind w:left="288" w:firstLine="0"/>
      </w:pPr>
      <w:r>
        <w:t>• Expose only the top few reasons behind each prediction; do not overwhelm the user with all variables.</w:t>
      </w:r>
    </w:p>
    <w:p>
      <w:pPr>
        <w:ind w:left="288" w:firstLine="0"/>
      </w:pPr>
      <w:r>
        <w:t>• Generate short explanation text in plain clinical language, e.g. 'sleep timing became more irregular' or 'HRV recovery remains below baseline.'</w:t>
      </w:r>
    </w:p>
    <w:p>
      <w:pPr>
        <w:ind w:left="288" w:firstLine="0"/>
      </w:pPr>
      <w:r>
        <w:t>• Tie the explanation to a trend graph with treatment events or annotation markers if available.</w:t>
      </w:r>
    </w:p>
    <w:p>
      <w:pPr>
        <w:ind w:left="288" w:firstLine="0"/>
      </w:pPr>
      <w:r>
        <w:t>• Keep the narration conservative: describe signals and risk, but do not recommend a medical diagnosis.</w:t>
      </w:r>
    </w:p>
    <w:p>
      <w:pPr>
        <w:pStyle w:val="Heading3"/>
      </w:pPr>
      <w:r>
        <w:t>3.1a Required outputs and acceptance criteria</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928"/>
            <w:vAlign w:val="center"/>
            <w:shd w:fill="E9F1FB"/>
          </w:tcPr>
          <w:p>
            <w:pPr>
              <w:spacing w:after="0" w:line="252" w:lineRule="auto"/>
            </w:pPr>
            <w:r>
              <w:rPr>
                <w:b/>
                <w:sz w:val="19"/>
              </w:rPr>
            </w:r>
            <w:r>
              <w:rPr>
                <w:rFonts w:ascii="Calibri" w:hAnsi="Calibri"/>
                <w:b/>
                <w:sz w:val="19"/>
              </w:rPr>
              <w:t>Module</w:t>
            </w:r>
          </w:p>
        </w:tc>
        <w:tc>
          <w:tcPr>
            <w:tcW w:type="dxa" w:w="3402"/>
            <w:vAlign w:val="center"/>
            <w:shd w:fill="E9F1FB"/>
          </w:tcPr>
          <w:p>
            <w:pPr>
              <w:spacing w:after="0" w:line="252" w:lineRule="auto"/>
            </w:pPr>
            <w:r>
              <w:rPr>
                <w:b/>
                <w:sz w:val="19"/>
              </w:rPr>
            </w:r>
            <w:r>
              <w:rPr>
                <w:rFonts w:ascii="Calibri" w:hAnsi="Calibri"/>
                <w:b/>
                <w:sz w:val="19"/>
              </w:rPr>
              <w:t>Minimum deliverable</w:t>
            </w:r>
          </w:p>
        </w:tc>
        <w:tc>
          <w:tcPr>
            <w:tcW w:type="dxa" w:w="2268"/>
            <w:vAlign w:val="center"/>
            <w:shd w:fill="E9F1FB"/>
          </w:tcPr>
          <w:p>
            <w:pPr>
              <w:spacing w:after="0" w:line="252" w:lineRule="auto"/>
            </w:pPr>
            <w:r>
              <w:rPr>
                <w:b/>
                <w:sz w:val="19"/>
              </w:rPr>
            </w:r>
            <w:r>
              <w:rPr>
                <w:rFonts w:ascii="Calibri" w:hAnsi="Calibri"/>
                <w:b/>
                <w:sz w:val="19"/>
              </w:rPr>
              <w:t>Acceptance criterion</w:t>
            </w:r>
          </w:p>
        </w:tc>
        <w:tc>
          <w:tcPr>
            <w:tcW w:type="dxa" w:w="1701"/>
            <w:vAlign w:val="center"/>
            <w:shd w:fill="E9F1FB"/>
          </w:tcPr>
          <w:p>
            <w:pPr>
              <w:spacing w:after="0" w:line="252" w:lineRule="auto"/>
            </w:pPr>
            <w:r>
              <w:rPr>
                <w:b/>
                <w:sz w:val="19"/>
              </w:rPr>
            </w:r>
            <w:r>
              <w:rPr>
                <w:rFonts w:ascii="Calibri" w:hAnsi="Calibri"/>
                <w:b/>
                <w:sz w:val="19"/>
              </w:rPr>
              <w:t>Owner</w:t>
            </w:r>
          </w:p>
        </w:tc>
      </w:tr>
      <w:tr>
        <w:tc>
          <w:tcPr>
            <w:tcW w:type="dxa" w:w="2448"/>
            <w:vAlign w:val="center"/>
          </w:tcPr>
          <w:p>
            <w:pPr>
              <w:spacing w:after="0" w:line="252" w:lineRule="auto"/>
            </w:pPr>
            <w:r/>
            <w:r>
              <w:rPr>
                <w:rFonts w:ascii="Calibri" w:hAnsi="Calibri"/>
                <w:sz w:val="19"/>
              </w:rPr>
              <w:t>Ingestion</w:t>
            </w:r>
          </w:p>
        </w:tc>
        <w:tc>
          <w:tcPr>
            <w:tcW w:type="dxa" w:w="2448"/>
            <w:vAlign w:val="center"/>
          </w:tcPr>
          <w:p>
            <w:pPr>
              <w:spacing w:after="0" w:line="252" w:lineRule="auto"/>
            </w:pPr>
            <w:r/>
            <w:r>
              <w:rPr>
                <w:rFonts w:ascii="Calibri" w:hAnsi="Calibri"/>
                <w:sz w:val="19"/>
              </w:rPr>
              <w:t>Merged canonical dataset</w:t>
            </w:r>
          </w:p>
        </w:tc>
        <w:tc>
          <w:tcPr>
            <w:tcW w:type="dxa" w:w="2448"/>
            <w:vAlign w:val="center"/>
          </w:tcPr>
          <w:p>
            <w:pPr>
              <w:spacing w:after="0" w:line="252" w:lineRule="auto"/>
            </w:pPr>
            <w:r/>
            <w:r>
              <w:rPr>
                <w:rFonts w:ascii="Calibri" w:hAnsi="Calibri"/>
                <w:sz w:val="19"/>
              </w:rPr>
              <w:t>Can load both sources without manual edits</w:t>
            </w:r>
          </w:p>
        </w:tc>
        <w:tc>
          <w:tcPr>
            <w:tcW w:type="dxa" w:w="2448"/>
            <w:vAlign w:val="center"/>
          </w:tcPr>
          <w:p>
            <w:pPr>
              <w:spacing w:after="0" w:line="252" w:lineRule="auto"/>
            </w:pPr>
            <w:r/>
            <w:r>
              <w:rPr>
                <w:rFonts w:ascii="Calibri" w:hAnsi="Calibri"/>
                <w:sz w:val="19"/>
              </w:rPr>
              <w:t>Data</w:t>
            </w:r>
          </w:p>
        </w:tc>
      </w:tr>
      <w:tr>
        <w:tc>
          <w:tcPr>
            <w:tcW w:type="dxa" w:w="2448"/>
            <w:vAlign w:val="center"/>
          </w:tcPr>
          <w:p>
            <w:pPr>
              <w:spacing w:after="0" w:line="252" w:lineRule="auto"/>
            </w:pPr>
            <w:r/>
            <w:r>
              <w:rPr>
                <w:rFonts w:ascii="Calibri" w:hAnsi="Calibri"/>
                <w:sz w:val="19"/>
              </w:rPr>
              <w:t>Feature engineering</w:t>
            </w:r>
          </w:p>
        </w:tc>
        <w:tc>
          <w:tcPr>
            <w:tcW w:type="dxa" w:w="2448"/>
            <w:vAlign w:val="center"/>
          </w:tcPr>
          <w:p>
            <w:pPr>
              <w:spacing w:after="0" w:line="252" w:lineRule="auto"/>
            </w:pPr>
            <w:r/>
            <w:r>
              <w:rPr>
                <w:rFonts w:ascii="Calibri" w:hAnsi="Calibri"/>
                <w:sz w:val="19"/>
              </w:rPr>
              <w:t>Daily/nightly features</w:t>
            </w:r>
          </w:p>
        </w:tc>
        <w:tc>
          <w:tcPr>
            <w:tcW w:type="dxa" w:w="2448"/>
            <w:vAlign w:val="center"/>
          </w:tcPr>
          <w:p>
            <w:pPr>
              <w:spacing w:after="0" w:line="252" w:lineRule="auto"/>
            </w:pPr>
            <w:r/>
            <w:r>
              <w:rPr>
                <w:rFonts w:ascii="Calibri" w:hAnsi="Calibri"/>
                <w:sz w:val="19"/>
              </w:rPr>
              <w:t>Features are reproducible from raw inputs</w:t>
            </w:r>
          </w:p>
        </w:tc>
        <w:tc>
          <w:tcPr>
            <w:tcW w:type="dxa" w:w="2448"/>
            <w:vAlign w:val="center"/>
          </w:tcPr>
          <w:p>
            <w:pPr>
              <w:spacing w:after="0" w:line="252" w:lineRule="auto"/>
            </w:pPr>
            <w:r/>
            <w:r>
              <w:rPr>
                <w:rFonts w:ascii="Calibri" w:hAnsi="Calibri"/>
                <w:sz w:val="19"/>
              </w:rPr>
              <w:t>ML</w:t>
            </w:r>
          </w:p>
        </w:tc>
      </w:tr>
      <w:tr>
        <w:tc>
          <w:tcPr>
            <w:tcW w:type="dxa" w:w="2448"/>
            <w:vAlign w:val="center"/>
          </w:tcPr>
          <w:p>
            <w:pPr>
              <w:spacing w:after="0" w:line="252" w:lineRule="auto"/>
            </w:pPr>
            <w:r/>
            <w:r>
              <w:rPr>
                <w:rFonts w:ascii="Calibri" w:hAnsi="Calibri"/>
                <w:sz w:val="19"/>
              </w:rPr>
              <w:t>Stress model</w:t>
            </w:r>
          </w:p>
        </w:tc>
        <w:tc>
          <w:tcPr>
            <w:tcW w:type="dxa" w:w="2448"/>
            <w:vAlign w:val="center"/>
          </w:tcPr>
          <w:p>
            <w:pPr>
              <w:spacing w:after="0" w:line="252" w:lineRule="auto"/>
            </w:pPr>
            <w:r/>
            <w:r>
              <w:rPr>
                <w:rFonts w:ascii="Calibri" w:hAnsi="Calibri"/>
                <w:sz w:val="19"/>
              </w:rPr>
              <w:t>Risk score</w:t>
            </w:r>
          </w:p>
        </w:tc>
        <w:tc>
          <w:tcPr>
            <w:tcW w:type="dxa" w:w="2448"/>
            <w:vAlign w:val="center"/>
          </w:tcPr>
          <w:p>
            <w:pPr>
              <w:spacing w:after="0" w:line="252" w:lineRule="auto"/>
            </w:pPr>
            <w:r/>
            <w:r>
              <w:rPr>
                <w:rFonts w:ascii="Calibri" w:hAnsi="Calibri"/>
                <w:sz w:val="19"/>
              </w:rPr>
              <w:t>Produces calibrated output and top drivers</w:t>
            </w:r>
          </w:p>
        </w:tc>
        <w:tc>
          <w:tcPr>
            <w:tcW w:type="dxa" w:w="2448"/>
            <w:vAlign w:val="center"/>
          </w:tcPr>
          <w:p>
            <w:pPr>
              <w:spacing w:after="0" w:line="252" w:lineRule="auto"/>
            </w:pPr>
            <w:r/>
            <w:r>
              <w:rPr>
                <w:rFonts w:ascii="Calibri" w:hAnsi="Calibri"/>
                <w:sz w:val="19"/>
              </w:rPr>
              <w:t>ML</w:t>
            </w:r>
          </w:p>
        </w:tc>
      </w:tr>
      <w:tr>
        <w:tc>
          <w:tcPr>
            <w:tcW w:type="dxa" w:w="2448"/>
            <w:vAlign w:val="center"/>
          </w:tcPr>
          <w:p>
            <w:pPr>
              <w:spacing w:after="0" w:line="252" w:lineRule="auto"/>
            </w:pPr>
            <w:r/>
            <w:r>
              <w:rPr>
                <w:rFonts w:ascii="Calibri" w:hAnsi="Calibri"/>
                <w:sz w:val="19"/>
              </w:rPr>
              <w:t>Forecasting</w:t>
            </w:r>
          </w:p>
        </w:tc>
        <w:tc>
          <w:tcPr>
            <w:tcW w:type="dxa" w:w="2448"/>
            <w:vAlign w:val="center"/>
          </w:tcPr>
          <w:p>
            <w:pPr>
              <w:spacing w:after="0" w:line="252" w:lineRule="auto"/>
            </w:pPr>
            <w:r/>
            <w:r>
              <w:rPr>
                <w:rFonts w:ascii="Calibri" w:hAnsi="Calibri"/>
                <w:sz w:val="19"/>
              </w:rPr>
              <w:t>Future risk estimate</w:t>
            </w:r>
          </w:p>
        </w:tc>
        <w:tc>
          <w:tcPr>
            <w:tcW w:type="dxa" w:w="2448"/>
            <w:vAlign w:val="center"/>
          </w:tcPr>
          <w:p>
            <w:pPr>
              <w:spacing w:after="0" w:line="252" w:lineRule="auto"/>
            </w:pPr>
            <w:r/>
            <w:r>
              <w:rPr>
                <w:rFonts w:ascii="Calibri" w:hAnsi="Calibri"/>
                <w:sz w:val="19"/>
              </w:rPr>
              <w:t>Flags deterioration on held-out sequences</w:t>
            </w:r>
          </w:p>
        </w:tc>
        <w:tc>
          <w:tcPr>
            <w:tcW w:type="dxa" w:w="2448"/>
            <w:vAlign w:val="center"/>
          </w:tcPr>
          <w:p>
            <w:pPr>
              <w:spacing w:after="0" w:line="252" w:lineRule="auto"/>
            </w:pPr>
            <w:r/>
            <w:r>
              <w:rPr>
                <w:rFonts w:ascii="Calibri" w:hAnsi="Calibri"/>
                <w:sz w:val="19"/>
              </w:rPr>
              <w:t>ML</w:t>
            </w:r>
          </w:p>
        </w:tc>
      </w:tr>
      <w:tr>
        <w:tc>
          <w:tcPr>
            <w:tcW w:type="dxa" w:w="2448"/>
            <w:vAlign w:val="center"/>
          </w:tcPr>
          <w:p>
            <w:pPr>
              <w:spacing w:after="0" w:line="252" w:lineRule="auto"/>
            </w:pPr>
            <w:r/>
            <w:r>
              <w:rPr>
                <w:rFonts w:ascii="Calibri" w:hAnsi="Calibri"/>
                <w:sz w:val="19"/>
              </w:rPr>
              <w:t>Similarity</w:t>
            </w:r>
          </w:p>
        </w:tc>
        <w:tc>
          <w:tcPr>
            <w:tcW w:type="dxa" w:w="2448"/>
            <w:vAlign w:val="center"/>
          </w:tcPr>
          <w:p>
            <w:pPr>
              <w:spacing w:after="0" w:line="252" w:lineRule="auto"/>
            </w:pPr>
            <w:r/>
            <w:r>
              <w:rPr>
                <w:rFonts w:ascii="Calibri" w:hAnsi="Calibri"/>
                <w:sz w:val="19"/>
              </w:rPr>
              <w:t>Nearest-neighbor retrieval</w:t>
            </w:r>
          </w:p>
        </w:tc>
        <w:tc>
          <w:tcPr>
            <w:tcW w:type="dxa" w:w="2448"/>
            <w:vAlign w:val="center"/>
          </w:tcPr>
          <w:p>
            <w:pPr>
              <w:spacing w:after="0" w:line="252" w:lineRule="auto"/>
            </w:pPr>
            <w:r/>
            <w:r>
              <w:rPr>
                <w:rFonts w:ascii="Calibri" w:hAnsi="Calibri"/>
                <w:sz w:val="19"/>
              </w:rPr>
              <w:t>Returns similar historical cases with readable summary</w:t>
            </w:r>
          </w:p>
        </w:tc>
        <w:tc>
          <w:tcPr>
            <w:tcW w:type="dxa" w:w="2448"/>
            <w:vAlign w:val="center"/>
          </w:tcPr>
          <w:p>
            <w:pPr>
              <w:spacing w:after="0" w:line="252" w:lineRule="auto"/>
            </w:pPr>
            <w:r/>
            <w:r>
              <w:rPr>
                <w:rFonts w:ascii="Calibri" w:hAnsi="Calibri"/>
                <w:sz w:val="19"/>
              </w:rPr>
              <w:t>ML / Product</w:t>
            </w:r>
          </w:p>
        </w:tc>
      </w:tr>
      <w:tr>
        <w:tc>
          <w:tcPr>
            <w:tcW w:type="dxa" w:w="2448"/>
            <w:vAlign w:val="center"/>
          </w:tcPr>
          <w:p>
            <w:pPr>
              <w:spacing w:after="0" w:line="252" w:lineRule="auto"/>
            </w:pPr>
            <w:r/>
            <w:r>
              <w:rPr>
                <w:rFonts w:ascii="Calibri" w:hAnsi="Calibri"/>
                <w:sz w:val="19"/>
              </w:rPr>
              <w:t>Dashboard</w:t>
            </w:r>
          </w:p>
        </w:tc>
        <w:tc>
          <w:tcPr>
            <w:tcW w:type="dxa" w:w="2448"/>
            <w:vAlign w:val="center"/>
          </w:tcPr>
          <w:p>
            <w:pPr>
              <w:spacing w:after="0" w:line="252" w:lineRule="auto"/>
            </w:pPr>
            <w:r/>
            <w:r>
              <w:rPr>
                <w:rFonts w:ascii="Calibri" w:hAnsi="Calibri"/>
                <w:sz w:val="19"/>
              </w:rPr>
              <w:t>Clinician UI mock</w:t>
            </w:r>
          </w:p>
        </w:tc>
        <w:tc>
          <w:tcPr>
            <w:tcW w:type="dxa" w:w="2448"/>
            <w:vAlign w:val="center"/>
          </w:tcPr>
          <w:p>
            <w:pPr>
              <w:spacing w:after="0" w:line="252" w:lineRule="auto"/>
            </w:pPr>
            <w:r/>
            <w:r>
              <w:rPr>
                <w:rFonts w:ascii="Calibri" w:hAnsi="Calibri"/>
                <w:sz w:val="19"/>
              </w:rPr>
              <w:t>A non-technical user can interpret each screen</w:t>
            </w:r>
          </w:p>
        </w:tc>
        <w:tc>
          <w:tcPr>
            <w:tcW w:type="dxa" w:w="2448"/>
            <w:vAlign w:val="center"/>
          </w:tcPr>
          <w:p>
            <w:pPr>
              <w:spacing w:after="0" w:line="252" w:lineRule="auto"/>
            </w:pPr>
            <w:r/>
            <w:r>
              <w:rPr>
                <w:rFonts w:ascii="Calibri" w:hAnsi="Calibri"/>
                <w:sz w:val="19"/>
              </w:rPr>
              <w:t>Frontend</w:t>
            </w:r>
          </w:p>
        </w:tc>
      </w:tr>
    </w:tbl>
    <w:p>
      <w:pPr>
        <w:pStyle w:val="Heading1"/>
      </w:pPr>
      <w:r>
        <w:t>4. What the agent should build first</w:t>
      </w:r>
    </w:p>
    <w:p>
      <w:pPr>
        <w:spacing w:after="40" w:line="252" w:lineRule="auto"/>
        <w:ind w:left="317"/>
      </w:pPr>
      <w:r>
        <w:rPr>
          <w:b/>
          <w:color w:val="2A577C"/>
        </w:rPr>
        <w:t xml:space="preserve">• </w:t>
      </w:r>
      <w:r>
        <w:t>A clean dataset loader for MMASH and the wearable HRV + sleep diary dataset.</w:t>
      </w:r>
    </w:p>
    <w:p>
      <w:pPr>
        <w:spacing w:after="40" w:line="252" w:lineRule="auto"/>
        <w:ind w:left="317"/>
      </w:pPr>
      <w:r>
        <w:rPr>
          <w:b/>
          <w:color w:val="2A577C"/>
        </w:rPr>
        <w:t xml:space="preserve">• </w:t>
      </w:r>
      <w:r>
        <w:t>A feature extraction script that produces one row per night and one row per day.</w:t>
      </w:r>
    </w:p>
    <w:p>
      <w:pPr>
        <w:spacing w:after="40" w:line="252" w:lineRule="auto"/>
        <w:ind w:left="317"/>
      </w:pPr>
      <w:r>
        <w:rPr>
          <w:b/>
          <w:color w:val="2A577C"/>
        </w:rPr>
        <w:t xml:space="preserve">• </w:t>
      </w:r>
      <w:r>
        <w:t>A baseline stress classifier with calibration and explanation output.</w:t>
      </w:r>
    </w:p>
    <w:p>
      <w:pPr>
        <w:spacing w:after="40" w:line="252" w:lineRule="auto"/>
        <w:ind w:left="317"/>
      </w:pPr>
      <w:r>
        <w:rPr>
          <w:b/>
          <w:color w:val="2A577C"/>
        </w:rPr>
        <w:t xml:space="preserve">• </w:t>
      </w:r>
      <w:r>
        <w:t>A simple forecast model that consumes the stress score plus lagged physiology.</w:t>
      </w:r>
    </w:p>
    <w:p>
      <w:pPr>
        <w:spacing w:after="40" w:line="252" w:lineRule="auto"/>
        <w:ind w:left="317"/>
      </w:pPr>
      <w:r>
        <w:rPr>
          <w:b/>
          <w:color w:val="2A577C"/>
        </w:rPr>
        <w:t xml:space="preserve">• </w:t>
      </w:r>
      <w:r>
        <w:t>A nearest-neighbor retrieval component that finds similar patients and summarizes the shared pattern.</w:t>
      </w:r>
    </w:p>
    <w:p>
      <w:pPr>
        <w:spacing w:after="40" w:line="252" w:lineRule="auto"/>
        <w:ind w:left="317"/>
      </w:pPr>
      <w:r>
        <w:rPr>
          <w:b/>
          <w:color w:val="2A577C"/>
        </w:rPr>
        <w:t xml:space="preserve">• </w:t>
      </w:r>
      <w:r>
        <w:t>A single dashboard page that shows risk, trend, explanation, and similar cases.</w:t>
      </w:r>
    </w:p>
    <w:p>
      <w:pPr>
        <w:pStyle w:val="Heading1"/>
      </w:pPr>
      <w:r>
        <w:t>5. Recommended resources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701"/>
            <w:vAlign w:val="center"/>
            <w:shd w:fill="E1EEF9"/>
          </w:tcPr>
          <w:p>
            <w:pPr>
              <w:spacing w:after="0" w:line="252" w:lineRule="auto"/>
            </w:pPr>
            <w:r>
              <w:rPr>
                <w:b/>
                <w:sz w:val="19"/>
              </w:rPr>
            </w:r>
            <w:r>
              <w:rPr>
                <w:rFonts w:ascii="Calibri" w:hAnsi="Calibri"/>
                <w:b/>
                <w:sz w:val="19"/>
              </w:rPr>
              <w:t>Resource</w:t>
            </w:r>
          </w:p>
        </w:tc>
        <w:tc>
          <w:tcPr>
            <w:tcW w:type="dxa" w:w="2948"/>
            <w:vAlign w:val="center"/>
            <w:shd w:fill="E1EEF9"/>
          </w:tcPr>
          <w:p>
            <w:pPr>
              <w:spacing w:after="0" w:line="252" w:lineRule="auto"/>
            </w:pPr>
            <w:r>
              <w:rPr>
                <w:b/>
                <w:sz w:val="19"/>
              </w:rPr>
            </w:r>
            <w:r>
              <w:rPr>
                <w:rFonts w:ascii="Calibri" w:hAnsi="Calibri"/>
                <w:b/>
                <w:sz w:val="19"/>
              </w:rPr>
              <w:t>Why it matters</w:t>
            </w:r>
          </w:p>
        </w:tc>
        <w:tc>
          <w:tcPr>
            <w:tcW w:type="dxa" w:w="2381"/>
            <w:vAlign w:val="center"/>
            <w:shd w:fill="E1EEF9"/>
          </w:tcPr>
          <w:p>
            <w:pPr>
              <w:spacing w:after="0" w:line="252" w:lineRule="auto"/>
            </w:pPr>
            <w:r>
              <w:rPr>
                <w:b/>
                <w:sz w:val="19"/>
              </w:rPr>
            </w:r>
            <w:r>
              <w:rPr>
                <w:rFonts w:ascii="Calibri" w:hAnsi="Calibri"/>
                <w:b/>
                <w:sz w:val="19"/>
              </w:rPr>
              <w:t>Suggested use</w:t>
            </w:r>
          </w:p>
        </w:tc>
        <w:tc>
          <w:tcPr>
            <w:tcW w:type="dxa" w:w="2268"/>
            <w:vAlign w:val="center"/>
            <w:shd w:fill="E1EEF9"/>
          </w:tcPr>
          <w:p>
            <w:pPr>
              <w:spacing w:after="0" w:line="252" w:lineRule="auto"/>
            </w:pPr>
            <w:r>
              <w:rPr>
                <w:b/>
                <w:sz w:val="19"/>
              </w:rPr>
            </w:r>
            <w:r>
              <w:rPr>
                <w:rFonts w:ascii="Calibri" w:hAnsi="Calibri"/>
                <w:b/>
                <w:sz w:val="19"/>
              </w:rPr>
              <w:t>Notes</w:t>
            </w:r>
          </w:p>
        </w:tc>
      </w:tr>
      <w:tr>
        <w:tc>
          <w:tcPr>
            <w:tcW w:type="dxa" w:w="2448"/>
            <w:vAlign w:val="center"/>
          </w:tcPr>
          <w:p>
            <w:pPr>
              <w:spacing w:after="0" w:line="252" w:lineRule="auto"/>
            </w:pPr>
            <w:r/>
            <w:r>
              <w:rPr>
                <w:rFonts w:ascii="Calibri" w:hAnsi="Calibri"/>
                <w:sz w:val="19"/>
              </w:rPr>
              <w:t>MMASH</w:t>
            </w:r>
          </w:p>
        </w:tc>
        <w:tc>
          <w:tcPr>
            <w:tcW w:type="dxa" w:w="2448"/>
            <w:vAlign w:val="center"/>
          </w:tcPr>
          <w:p>
            <w:pPr>
              <w:spacing w:after="0" w:line="252" w:lineRule="auto"/>
            </w:pPr>
            <w:r/>
            <w:r>
              <w:rPr>
                <w:rFonts w:ascii="Calibri" w:hAnsi="Calibri"/>
                <w:sz w:val="19"/>
              </w:rPr>
              <w:t>Provides wearable, sleep, activity, and psychological labels in one dataset.</w:t>
            </w:r>
          </w:p>
        </w:tc>
        <w:tc>
          <w:tcPr>
            <w:tcW w:type="dxa" w:w="2448"/>
            <w:vAlign w:val="center"/>
          </w:tcPr>
          <w:p>
            <w:pPr>
              <w:spacing w:after="0" w:line="252" w:lineRule="auto"/>
            </w:pPr>
            <w:r/>
            <w:r>
              <w:rPr>
                <w:rFonts w:ascii="Calibri" w:hAnsi="Calibri"/>
                <w:sz w:val="19"/>
              </w:rPr>
              <w:t>Primary labeled source for stress-risk modeling.</w:t>
            </w:r>
          </w:p>
        </w:tc>
        <w:tc>
          <w:tcPr>
            <w:tcW w:type="dxa" w:w="2448"/>
            <w:vAlign w:val="center"/>
          </w:tcPr>
          <w:p>
            <w:pPr>
              <w:spacing w:after="0" w:line="252" w:lineRule="auto"/>
            </w:pPr>
            <w:r/>
            <w:r>
              <w:rPr>
                <w:rFonts w:ascii="Calibri" w:hAnsi="Calibri"/>
                <w:sz w:val="19"/>
              </w:rPr>
              <w:t>Healthy cohort; best for prototype and feature design.</w:t>
            </w:r>
          </w:p>
        </w:tc>
      </w:tr>
      <w:tr>
        <w:tc>
          <w:tcPr>
            <w:tcW w:type="dxa" w:w="2448"/>
            <w:vAlign w:val="center"/>
          </w:tcPr>
          <w:p>
            <w:pPr>
              <w:spacing w:after="0" w:line="252" w:lineRule="auto"/>
            </w:pPr>
            <w:r/>
            <w:r>
              <w:rPr>
                <w:rFonts w:ascii="Calibri" w:hAnsi="Calibri"/>
                <w:sz w:val="19"/>
              </w:rPr>
              <w:t>Wearable HRV + sleep diary dataset</w:t>
            </w:r>
          </w:p>
        </w:tc>
        <w:tc>
          <w:tcPr>
            <w:tcW w:type="dxa" w:w="2448"/>
            <w:vAlign w:val="center"/>
          </w:tcPr>
          <w:p>
            <w:pPr>
              <w:spacing w:after="0" w:line="252" w:lineRule="auto"/>
            </w:pPr>
            <w:r/>
            <w:r>
              <w:rPr>
                <w:rFonts w:ascii="Calibri" w:hAnsi="Calibri"/>
                <w:sz w:val="19"/>
              </w:rPr>
              <w:t>Longitudinal HRV and repeated questionnaire data.</w:t>
            </w:r>
          </w:p>
        </w:tc>
        <w:tc>
          <w:tcPr>
            <w:tcW w:type="dxa" w:w="2448"/>
            <w:vAlign w:val="center"/>
          </w:tcPr>
          <w:p>
            <w:pPr>
              <w:spacing w:after="0" w:line="252" w:lineRule="auto"/>
            </w:pPr>
            <w:r/>
            <w:r>
              <w:rPr>
                <w:rFonts w:ascii="Calibri" w:hAnsi="Calibri"/>
                <w:sz w:val="19"/>
              </w:rPr>
              <w:t>Validation of trajectories and sleep/mental-health trends.</w:t>
            </w:r>
          </w:p>
        </w:tc>
        <w:tc>
          <w:tcPr>
            <w:tcW w:type="dxa" w:w="2448"/>
            <w:vAlign w:val="center"/>
          </w:tcPr>
          <w:p>
            <w:pPr>
              <w:spacing w:after="0" w:line="252" w:lineRule="auto"/>
            </w:pPr>
            <w:r/>
            <w:r>
              <w:rPr>
                <w:rFonts w:ascii="Calibri" w:hAnsi="Calibri"/>
                <w:sz w:val="19"/>
              </w:rPr>
              <w:t>Useful for temporal patterns rather than large-scale generalization.</w:t>
            </w:r>
          </w:p>
        </w:tc>
      </w:tr>
      <w:tr>
        <w:tc>
          <w:tcPr>
            <w:tcW w:type="dxa" w:w="2448"/>
            <w:vAlign w:val="center"/>
          </w:tcPr>
          <w:p>
            <w:pPr>
              <w:spacing w:after="0" w:line="252" w:lineRule="auto"/>
            </w:pPr>
            <w:r/>
            <w:r>
              <w:rPr>
                <w:rFonts w:ascii="Calibri" w:hAnsi="Calibri"/>
                <w:sz w:val="19"/>
              </w:rPr>
              <w:t>PaPaGei</w:t>
            </w:r>
          </w:p>
        </w:tc>
        <w:tc>
          <w:tcPr>
            <w:tcW w:type="dxa" w:w="2448"/>
            <w:vAlign w:val="center"/>
          </w:tcPr>
          <w:p>
            <w:pPr>
              <w:spacing w:after="0" w:line="252" w:lineRule="auto"/>
            </w:pPr>
            <w:r/>
            <w:r>
              <w:rPr>
                <w:rFonts w:ascii="Calibri" w:hAnsi="Calibri"/>
                <w:sz w:val="19"/>
              </w:rPr>
              <w:t>Pretrained PPG foundation model.</w:t>
            </w:r>
          </w:p>
        </w:tc>
        <w:tc>
          <w:tcPr>
            <w:tcW w:type="dxa" w:w="2448"/>
            <w:vAlign w:val="center"/>
          </w:tcPr>
          <w:p>
            <w:pPr>
              <w:spacing w:after="0" w:line="252" w:lineRule="auto"/>
            </w:pPr>
            <w:r/>
            <w:r>
              <w:rPr>
                <w:rFonts w:ascii="Calibri" w:hAnsi="Calibri"/>
                <w:sz w:val="19"/>
              </w:rPr>
              <w:t>Use as a feature extractor or encoder if PPG-like signals are available.</w:t>
            </w:r>
          </w:p>
        </w:tc>
        <w:tc>
          <w:tcPr>
            <w:tcW w:type="dxa" w:w="2448"/>
            <w:vAlign w:val="center"/>
          </w:tcPr>
          <w:p>
            <w:pPr>
              <w:spacing w:after="0" w:line="252" w:lineRule="auto"/>
            </w:pPr>
            <w:r/>
            <w:r>
              <w:rPr>
                <w:rFonts w:ascii="Calibri" w:hAnsi="Calibri"/>
                <w:sz w:val="19"/>
              </w:rPr>
              <w:t>Good option for rapid representation learning.</w:t>
            </w:r>
          </w:p>
        </w:tc>
      </w:tr>
      <w:tr>
        <w:tc>
          <w:tcPr>
            <w:tcW w:type="dxa" w:w="2448"/>
            <w:vAlign w:val="center"/>
          </w:tcPr>
          <w:p>
            <w:pPr>
              <w:spacing w:after="0" w:line="252" w:lineRule="auto"/>
            </w:pPr>
            <w:r/>
            <w:r>
              <w:rPr>
                <w:rFonts w:ascii="Calibri" w:hAnsi="Calibri"/>
                <w:sz w:val="19"/>
              </w:rPr>
              <w:t>NormWear</w:t>
            </w:r>
          </w:p>
        </w:tc>
        <w:tc>
          <w:tcPr>
            <w:tcW w:type="dxa" w:w="2448"/>
            <w:vAlign w:val="center"/>
          </w:tcPr>
          <w:p>
            <w:pPr>
              <w:spacing w:after="0" w:line="252" w:lineRule="auto"/>
            </w:pPr>
            <w:r/>
            <w:r>
              <w:rPr>
                <w:rFonts w:ascii="Calibri" w:hAnsi="Calibri"/>
                <w:sz w:val="19"/>
              </w:rPr>
              <w:t>Multisensor wearable foundation model.</w:t>
            </w:r>
          </w:p>
        </w:tc>
        <w:tc>
          <w:tcPr>
            <w:tcW w:type="dxa" w:w="2448"/>
            <w:vAlign w:val="center"/>
          </w:tcPr>
          <w:p>
            <w:pPr>
              <w:spacing w:after="0" w:line="252" w:lineRule="auto"/>
            </w:pPr>
            <w:r/>
            <w:r>
              <w:rPr>
                <w:rFonts w:ascii="Calibri" w:hAnsi="Calibri"/>
                <w:sz w:val="19"/>
              </w:rPr>
              <w:t>Use when multiple wearable modalities are available.</w:t>
            </w:r>
          </w:p>
        </w:tc>
        <w:tc>
          <w:tcPr>
            <w:tcW w:type="dxa" w:w="2448"/>
            <w:vAlign w:val="center"/>
          </w:tcPr>
          <w:p>
            <w:pPr>
              <w:spacing w:after="0" w:line="252" w:lineRule="auto"/>
            </w:pPr>
            <w:r/>
            <w:r>
              <w:rPr>
                <w:rFonts w:ascii="Calibri" w:hAnsi="Calibri"/>
                <w:sz w:val="19"/>
              </w:rPr>
              <w:t>Useful for multimodal embeddings.</w:t>
            </w:r>
          </w:p>
        </w:tc>
      </w:tr>
      <w:tr>
        <w:tc>
          <w:tcPr>
            <w:tcW w:type="dxa" w:w="2448"/>
            <w:vAlign w:val="center"/>
          </w:tcPr>
          <w:p>
            <w:pPr>
              <w:spacing w:after="0" w:line="252" w:lineRule="auto"/>
            </w:pPr>
            <w:r/>
            <w:r>
              <w:rPr>
                <w:rFonts w:ascii="Calibri" w:hAnsi="Calibri"/>
                <w:sz w:val="19"/>
              </w:rPr>
              <w:t>TimesFM</w:t>
            </w:r>
          </w:p>
        </w:tc>
        <w:tc>
          <w:tcPr>
            <w:tcW w:type="dxa" w:w="2448"/>
            <w:vAlign w:val="center"/>
          </w:tcPr>
          <w:p>
            <w:pPr>
              <w:spacing w:after="0" w:line="252" w:lineRule="auto"/>
            </w:pPr>
            <w:r/>
            <w:r>
              <w:rPr>
                <w:rFonts w:ascii="Calibri" w:hAnsi="Calibri"/>
                <w:sz w:val="19"/>
              </w:rPr>
              <w:t>General time-series foundation model.</w:t>
            </w:r>
          </w:p>
        </w:tc>
        <w:tc>
          <w:tcPr>
            <w:tcW w:type="dxa" w:w="2448"/>
            <w:vAlign w:val="center"/>
          </w:tcPr>
          <w:p>
            <w:pPr>
              <w:spacing w:after="0" w:line="252" w:lineRule="auto"/>
            </w:pPr>
            <w:r/>
            <w:r>
              <w:rPr>
                <w:rFonts w:ascii="Calibri" w:hAnsi="Calibri"/>
                <w:sz w:val="19"/>
              </w:rPr>
              <w:t>Use as a forecasting baseline or benchmark.</w:t>
            </w:r>
          </w:p>
        </w:tc>
        <w:tc>
          <w:tcPr>
            <w:tcW w:type="dxa" w:w="2448"/>
            <w:vAlign w:val="center"/>
          </w:tcPr>
          <w:p>
            <w:pPr>
              <w:spacing w:after="0" w:line="252" w:lineRule="auto"/>
            </w:pPr>
            <w:r/>
            <w:r>
              <w:rPr>
                <w:rFonts w:ascii="Calibri" w:hAnsi="Calibri"/>
                <w:sz w:val="19"/>
              </w:rPr>
              <w:t>Best for fast zero-shot forecasting experiments.</w:t>
            </w:r>
          </w:p>
        </w:tc>
      </w:tr>
      <w:tr>
        <w:tc>
          <w:tcPr>
            <w:tcW w:type="dxa" w:w="2448"/>
            <w:vAlign w:val="center"/>
          </w:tcPr>
          <w:p>
            <w:pPr>
              <w:spacing w:after="0" w:line="252" w:lineRule="auto"/>
            </w:pPr>
            <w:r/>
            <w:r>
              <w:rPr>
                <w:rFonts w:ascii="Calibri" w:hAnsi="Calibri"/>
                <w:sz w:val="19"/>
              </w:rPr>
              <w:t>WESAD / stress datasets</w:t>
            </w:r>
          </w:p>
        </w:tc>
        <w:tc>
          <w:tcPr>
            <w:tcW w:type="dxa" w:w="2448"/>
            <w:vAlign w:val="center"/>
          </w:tcPr>
          <w:p>
            <w:pPr>
              <w:spacing w:after="0" w:line="252" w:lineRule="auto"/>
            </w:pPr>
            <w:r/>
            <w:r>
              <w:rPr>
                <w:rFonts w:ascii="Calibri" w:hAnsi="Calibri"/>
                <w:sz w:val="19"/>
              </w:rPr>
              <w:t>Provides stress labels under controlled conditions.</w:t>
            </w:r>
          </w:p>
        </w:tc>
        <w:tc>
          <w:tcPr>
            <w:tcW w:type="dxa" w:w="2448"/>
            <w:vAlign w:val="center"/>
          </w:tcPr>
          <w:p>
            <w:pPr>
              <w:spacing w:after="0" w:line="252" w:lineRule="auto"/>
            </w:pPr>
            <w:r/>
            <w:r>
              <w:rPr>
                <w:rFonts w:ascii="Calibri" w:hAnsi="Calibri"/>
                <w:sz w:val="19"/>
              </w:rPr>
              <w:t>Optional auxiliary pretraining or sanity checks.</w:t>
            </w:r>
          </w:p>
        </w:tc>
        <w:tc>
          <w:tcPr>
            <w:tcW w:type="dxa" w:w="2448"/>
            <w:vAlign w:val="center"/>
          </w:tcPr>
          <w:p>
            <w:pPr>
              <w:spacing w:after="0" w:line="252" w:lineRule="auto"/>
            </w:pPr>
            <w:r/>
            <w:r>
              <w:rPr>
                <w:rFonts w:ascii="Calibri" w:hAnsi="Calibri"/>
                <w:sz w:val="19"/>
              </w:rPr>
              <w:t>Useful if the team needs extra supervision.</w:t>
            </w:r>
          </w:p>
        </w:tc>
      </w:tr>
    </w:tbl>
    <w:p>
      <w:pPr>
        <w:pStyle w:val="Heading1"/>
      </w:pPr>
      <w:r>
        <w:t>6. Execution plan for the weekend</w:t>
      </w:r>
    </w:p>
    <w:p>
      <w:pPr>
        <w:spacing w:after="40" w:line="252" w:lineRule="auto"/>
        <w:ind w:left="317"/>
      </w:pPr>
      <w:r>
        <w:rPr>
          <w:b/>
          <w:color w:val="2A577C"/>
        </w:rPr>
        <w:t xml:space="preserve">• </w:t>
      </w:r>
      <w:r>
        <w:t>Friday evening: freeze the scope, define the canonical schema, and confirm which columns are available in each dataset.</w:t>
      </w:r>
    </w:p>
    <w:p>
      <w:pPr>
        <w:spacing w:after="40" w:line="252" w:lineRule="auto"/>
        <w:ind w:left="317"/>
      </w:pPr>
      <w:r>
        <w:rPr>
          <w:b/>
          <w:color w:val="2A577C"/>
        </w:rPr>
        <w:t xml:space="preserve">• </w:t>
      </w:r>
      <w:r>
        <w:t>Saturday morning: build ingestion and feature extraction, then train the first stress model.</w:t>
      </w:r>
    </w:p>
    <w:p>
      <w:pPr>
        <w:spacing w:after="40" w:line="252" w:lineRule="auto"/>
        <w:ind w:left="317"/>
      </w:pPr>
      <w:r>
        <w:rPr>
          <w:b/>
          <w:color w:val="2A577C"/>
        </w:rPr>
        <w:t xml:space="preserve">• </w:t>
      </w:r>
      <w:r>
        <w:t>Saturday afternoon: implement clustering / retrieval and wire the explanation layer.</w:t>
      </w:r>
    </w:p>
    <w:p>
      <w:pPr>
        <w:spacing w:after="40" w:line="252" w:lineRule="auto"/>
        <w:ind w:left="317"/>
      </w:pPr>
      <w:r>
        <w:rPr>
          <w:b/>
          <w:color w:val="2A577C"/>
        </w:rPr>
        <w:t xml:space="preserve">• </w:t>
      </w:r>
      <w:r>
        <w:t>Sunday morning: add forecasting and threshold-based alerts.</w:t>
      </w:r>
    </w:p>
    <w:p>
      <w:pPr>
        <w:spacing w:after="40" w:line="252" w:lineRule="auto"/>
        <w:ind w:left="317"/>
      </w:pPr>
      <w:r>
        <w:rPr>
          <w:b/>
          <w:color w:val="2A577C"/>
        </w:rPr>
        <w:t xml:space="preserve">• </w:t>
      </w:r>
      <w:r>
        <w:t>Sunday afternoon: connect everything into a dashboard and polish the messaging.</w:t>
      </w:r>
    </w:p>
    <w:p>
      <w:pPr>
        <w:pStyle w:val="Heading1"/>
      </w:pPr>
      <w:r>
        <w:t>7. Known risks and how to handle them</w:t>
      </w:r>
    </w:p>
    <w:p>
      <w:pPr>
        <w:spacing w:after="40" w:line="252" w:lineRule="auto"/>
        <w:ind w:left="317"/>
      </w:pPr>
      <w:r>
        <w:rPr>
          <w:b/>
          <w:color w:val="2A577C"/>
        </w:rPr>
        <w:t xml:space="preserve">• </w:t>
      </w:r>
      <w:r>
        <w:t>The datasets are small and mostly healthy. Treat the model as a prototype for risk stratification, not as a clinical diagnostic tool.</w:t>
      </w:r>
    </w:p>
    <w:p>
      <w:pPr>
        <w:spacing w:after="40" w:line="252" w:lineRule="auto"/>
        <w:ind w:left="317"/>
      </w:pPr>
      <w:r>
        <w:rPr>
          <w:b/>
          <w:color w:val="2A577C"/>
        </w:rPr>
        <w:t xml:space="preserve">• </w:t>
      </w:r>
      <w:r>
        <w:t>The signal modalities may not match perfectly across datasets. Use the canonical schema and keep the first version feature-based rather than end-to-end deep learning.</w:t>
      </w:r>
    </w:p>
    <w:p>
      <w:pPr>
        <w:spacing w:after="40" w:line="252" w:lineRule="auto"/>
        <w:ind w:left="317"/>
      </w:pPr>
      <w:r>
        <w:rPr>
          <w:b/>
          <w:color w:val="2A577C"/>
        </w:rPr>
        <w:t xml:space="preserve">• </w:t>
      </w:r>
      <w:r>
        <w:t>The dashboard can become too complex. Keep the first release to one patient screen and one alert mechanism.</w:t>
      </w:r>
    </w:p>
    <w:p>
      <w:pPr>
        <w:spacing w:after="40" w:line="252" w:lineRule="auto"/>
        <w:ind w:left="317"/>
      </w:pPr>
      <w:r>
        <w:rPr>
          <w:b/>
          <w:color w:val="2A577C"/>
        </w:rPr>
        <w:t xml:space="preserve">• </w:t>
      </w:r>
      <w:r>
        <w:t>The explanation layer can overpromise. Restrict it to signal-level contributors and avoid unsupported causal language.</w:t>
      </w:r>
    </w:p>
    <w:p>
      <w:pPr>
        <w:pStyle w:val="Heading1"/>
      </w:pPr>
      <w:r>
        <w:t>8. Bottom line</w:t>
      </w:r>
    </w:p>
    <w:p>
      <w:r>
        <w:t>The safest and most compelling hackathon direction is a clinician decision-support workflow that combines wearable sleep and HRV data, predicts stress-risk trajectories, retrieves similar patients, and explains the main physiological drivers. That gives the team one coherent pipeline, one dashboard, and several technically distinct pieces that can be split across contributors.</w:t>
      </w:r>
    </w:p>
    <w:p>
      <w:pPr>
        <w:pStyle w:val="Heading1"/>
      </w:pPr>
      <w:r>
        <w:t>References and source notes</w:t>
      </w:r>
    </w:p>
    <w:p>
      <w:pPr>
        <w:ind w:left="288"/>
      </w:pPr>
      <w:r>
        <w:rPr>
          <w:b/>
        </w:rPr>
        <w:t xml:space="preserve">• </w:t>
      </w:r>
      <w:r>
        <w:t>MMASH (PhysioNet): Multilevel Monitoring of Activity and Sleep in Healthy People; 24h beat-to-beat heart data, accelerometry, sleep quality, physical activity, psychological characteristics, and salivary biomarkers for 22 healthy participants.</w:t>
      </w:r>
    </w:p>
    <w:p>
      <w:pPr>
        <w:ind w:left="288"/>
      </w:pPr>
      <w:r>
        <w:rPr>
          <w:b/>
        </w:rPr>
        <w:t xml:space="preserve">• </w:t>
      </w:r>
      <w:r>
        <w:t>Wearable HRV + sleep diary dataset (KAIST / figshare-linked publication): continuous wearable HRV recordings with daily sleep diaries and biweekly questionnaires on anxiety, depression, and insomnia.</w:t>
      </w:r>
    </w:p>
    <w:p>
      <w:pPr>
        <w:ind w:left="288"/>
      </w:pPr>
      <w:r>
        <w:rPr>
          <w:b/>
        </w:rPr>
        <w:t xml:space="preserve">• </w:t>
      </w:r>
      <w:r>
        <w:t>PaPaGei (arXiv / OpenReview): open PPG foundation model pretrained on over 57,000 hours and 20 million unlabeled PPG segments.</w:t>
      </w:r>
    </w:p>
    <w:p>
      <w:pPr>
        <w:ind w:left="288"/>
      </w:pPr>
      <w:r>
        <w:rPr>
          <w:b/>
        </w:rPr>
        <w:t xml:space="preserve">• </w:t>
      </w:r>
      <w:r>
        <w:t>NormWear (OpenReview / GitHub): wearable foundation model for multivariate physiological sensing across heterogeneous modalities.</w:t>
      </w:r>
    </w:p>
    <w:p>
      <w:pPr>
        <w:ind w:left="288"/>
      </w:pPr>
      <w:r>
        <w:rPr>
          <w:b/>
        </w:rPr>
        <w:t xml:space="preserve">• </w:t>
      </w:r>
      <w:r>
        <w:t>TimesFM (Google Research): time-series foundation model for zero-shot forecasting.</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Internal hackathon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Health x AI Hackathon Project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63A5B"/>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2A577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