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D15C" w14:textId="77777777" w:rsidR="00026FB4" w:rsidRDefault="00026FB4">
      <w:pPr>
        <w:spacing w:before="1440"/>
      </w:pPr>
    </w:p>
    <w:p w14:paraId="2AE7D15D" w14:textId="77777777" w:rsidR="00026FB4" w:rsidRDefault="00E3162F">
      <w:pPr>
        <w:spacing w:after="120"/>
        <w:jc w:val="center"/>
      </w:pPr>
      <w:r>
        <w:rPr>
          <w:b/>
          <w:bCs/>
          <w:color w:val="1F4E79"/>
          <w:sz w:val="48"/>
          <w:szCs w:val="48"/>
        </w:rPr>
        <w:t>IntegriScan</w:t>
      </w:r>
    </w:p>
    <w:p w14:paraId="2AE7D15E" w14:textId="77777777" w:rsidR="00026FB4" w:rsidRDefault="00E3162F">
      <w:pPr>
        <w:spacing w:after="240"/>
        <w:jc w:val="center"/>
      </w:pPr>
      <w:r>
        <w:rPr>
          <w:b/>
          <w:bCs/>
          <w:sz w:val="28"/>
          <w:szCs w:val="28"/>
        </w:rPr>
        <w:t>Government Procurement Anomaly Detection System</w:t>
      </w:r>
    </w:p>
    <w:p w14:paraId="2AE7D15F" w14:textId="77777777" w:rsidR="00026FB4" w:rsidRDefault="00E3162F">
      <w:pPr>
        <w:spacing w:after="120"/>
        <w:jc w:val="center"/>
      </w:pPr>
      <w:r>
        <w:rPr>
          <w:b/>
          <w:bCs/>
          <w:color w:val="1F4E79"/>
          <w:sz w:val="32"/>
          <w:szCs w:val="32"/>
        </w:rPr>
        <w:t>Ethical Use &amp; Data Governance Policy</w:t>
      </w:r>
    </w:p>
    <w:p w14:paraId="2AE7D160" w14:textId="77777777" w:rsidR="00026FB4" w:rsidRDefault="00E3162F">
      <w:pPr>
        <w:spacing w:after="480"/>
        <w:jc w:val="center"/>
      </w:pPr>
      <w:r>
        <w:rPr>
          <w:i/>
          <w:iCs/>
        </w:rPr>
        <w:t>Version 1.0</w:t>
      </w:r>
    </w:p>
    <w:p w14:paraId="2AE7D161" w14:textId="77777777" w:rsidR="00026FB4" w:rsidRDefault="00E3162F">
      <w:pPr>
        <w:spacing w:after="120"/>
        <w:jc w:val="center"/>
      </w:pPr>
      <w:r>
        <w:rPr>
          <w:i/>
          <w:iCs/>
        </w:rPr>
        <w:t>Prepared by:</w:t>
      </w:r>
    </w:p>
    <w:p w14:paraId="2AE7D162" w14:textId="00FD9FD0" w:rsidR="00026FB4" w:rsidRDefault="00224F81">
      <w:pPr>
        <w:spacing w:after="120"/>
        <w:jc w:val="center"/>
      </w:pPr>
      <w:r>
        <w:rPr>
          <w:b/>
          <w:bCs/>
        </w:rPr>
        <w:t>Edrissa Sarr</w:t>
      </w:r>
    </w:p>
    <w:p w14:paraId="2AE7D163" w14:textId="77777777" w:rsidR="00026FB4" w:rsidRDefault="00E3162F">
      <w:pPr>
        <w:spacing w:after="120"/>
        <w:jc w:val="center"/>
      </w:pPr>
      <w:r>
        <w:t>MSIT 5910 Capstone Project | University of the People</w:t>
      </w:r>
    </w:p>
    <w:p w14:paraId="2AE7D164" w14:textId="3441BD3A" w:rsidR="00026FB4" w:rsidRDefault="009B5E14">
      <w:pPr>
        <w:spacing w:after="480"/>
        <w:jc w:val="center"/>
      </w:pPr>
      <w:r>
        <w:t>Octo</w:t>
      </w:r>
      <w:r w:rsidR="00E3162F">
        <w:t>ber 2026</w:t>
      </w:r>
    </w:p>
    <w:p w14:paraId="2AE7D165" w14:textId="77777777" w:rsidR="00026FB4" w:rsidRDefault="00E3162F">
      <w:pPr>
        <w:spacing w:after="120"/>
        <w:jc w:val="center"/>
      </w:pPr>
      <w:r>
        <w:rPr>
          <w:b/>
          <w:bCs/>
          <w:color w:val="C00000"/>
        </w:rPr>
        <w:t>IMPORTANT NOTICE</w:t>
      </w:r>
    </w:p>
    <w:p w14:paraId="2AE7D166" w14:textId="77777777" w:rsidR="00026FB4" w:rsidRDefault="00E3162F">
      <w:pPr>
        <w:spacing w:line="480" w:lineRule="auto"/>
        <w:jc w:val="center"/>
      </w:pPr>
      <w:r>
        <w:rPr>
          <w:b/>
          <w:bCs/>
          <w:color w:val="C00000"/>
        </w:rPr>
        <w:t>IntegriScan flags statistically unusual procurement patterns for human review. Flags DO NOT constitute evidence of fraud or misconduct. All flagged contracts must be reviewed by a qualified auditor before any investigative action is taken.</w:t>
      </w:r>
    </w:p>
    <w:p w14:paraId="2AE7D167" w14:textId="77777777" w:rsidR="00026FB4" w:rsidRDefault="00E3162F">
      <w:pPr>
        <w:pageBreakBefore/>
      </w:pPr>
      <w:r>
        <w:lastRenderedPageBreak/>
        <w:br/>
      </w:r>
    </w:p>
    <w:p w14:paraId="2AE7D168" w14:textId="77777777" w:rsidR="00026FB4" w:rsidRDefault="00E3162F">
      <w:pPr>
        <w:spacing w:before="480" w:after="240" w:line="480" w:lineRule="auto"/>
      </w:pPr>
      <w:r>
        <w:rPr>
          <w:b/>
          <w:bCs/>
        </w:rPr>
        <w:t>1. Purpose and Scope</w:t>
      </w:r>
    </w:p>
    <w:p w14:paraId="2AE7D169" w14:textId="5174145C" w:rsidR="00026FB4" w:rsidRDefault="00E3162F">
      <w:pPr>
        <w:spacing w:line="480" w:lineRule="auto"/>
        <w:ind w:firstLine="720"/>
        <w:jc w:val="both"/>
      </w:pPr>
      <w:r>
        <w:t>This Ethical Use and Data Governance Policy governs the deployment, operation, and use of the IntegriScan Government Procurement Anomaly Detection System. It establishes the principles, rules, and responsibilities that all system users</w:t>
      </w:r>
      <w:r w:rsidR="00261E60">
        <w:t>,</w:t>
      </w:r>
      <w:r>
        <w:t xml:space="preserve"> including government analysts, administrators, and oversight bodies</w:t>
      </w:r>
      <w:r w:rsidR="00261E60">
        <w:t>,</w:t>
      </w:r>
      <w:r>
        <w:t xml:space="preserve"> must follow when using IntegriScan outputs to inform procurement audit decisions.</w:t>
      </w:r>
      <w:r w:rsidR="00B0342B">
        <w:t xml:space="preserve"> </w:t>
      </w:r>
      <w:r w:rsidR="00B0342B" w:rsidRPr="00B0342B">
        <w:t>The policy was developed in alignment with the National Institute of Standards and Technology (2023) AI Risk Management Framework (AI RMF 1.0), which identifies fairness, transparency, reliability, and accountability as the four core characteristics of trustworthy AI systems, and with the ethical principles articulated in BUS 5115 — Business Law and Ethics at the University of the People.</w:t>
      </w:r>
    </w:p>
    <w:p w14:paraId="2AE7D16A" w14:textId="77777777" w:rsidR="00026FB4" w:rsidRDefault="00026FB4">
      <w:pPr>
        <w:spacing w:line="480" w:lineRule="auto"/>
      </w:pPr>
    </w:p>
    <w:p w14:paraId="2AE7D16B" w14:textId="36F9F066" w:rsidR="00026FB4" w:rsidRDefault="00E3162F">
      <w:pPr>
        <w:spacing w:line="480" w:lineRule="auto"/>
        <w:ind w:firstLine="720"/>
        <w:jc w:val="both"/>
      </w:pPr>
      <w:r>
        <w:t xml:space="preserve">This policy applies to all versions of the IntegriScan system, all users accessing the dashboard in any role, all data processed by the ETL pipeline and ML detection module, and all anomaly flags generated and stored in the procurement_db database. </w:t>
      </w:r>
      <w:r w:rsidR="009A0223" w:rsidRPr="009A0223">
        <w:t>The data governance framework draws on the General Data Protection Regulation (European Parliament and Council of the European Union, 2016) principles of data minimization, purpose limitation, and accountability, adapted to the government open-data context of the USASpending.gov dataset</w:t>
      </w:r>
      <w:r w:rsidR="009A0223">
        <w:t>.</w:t>
      </w:r>
    </w:p>
    <w:p w14:paraId="2AE7D16C" w14:textId="77777777" w:rsidR="00026FB4" w:rsidRDefault="00026FB4">
      <w:pPr>
        <w:spacing w:line="480" w:lineRule="auto"/>
      </w:pPr>
    </w:p>
    <w:p w14:paraId="6979731C" w14:textId="77777777" w:rsidR="009E1F95" w:rsidRDefault="009E1F95">
      <w:pPr>
        <w:spacing w:line="480" w:lineRule="auto"/>
        <w:ind w:firstLine="720"/>
        <w:jc w:val="both"/>
      </w:pPr>
    </w:p>
    <w:p w14:paraId="43E376BD" w14:textId="77777777" w:rsidR="009E1F95" w:rsidRDefault="009E1F95">
      <w:pPr>
        <w:spacing w:line="480" w:lineRule="auto"/>
        <w:ind w:firstLine="720"/>
        <w:jc w:val="both"/>
      </w:pPr>
    </w:p>
    <w:p w14:paraId="2AE7D16E" w14:textId="5794F94E" w:rsidR="00026FB4" w:rsidRDefault="00E3162F">
      <w:pPr>
        <w:spacing w:before="480" w:after="240" w:line="480" w:lineRule="auto"/>
      </w:pPr>
      <w:r>
        <w:rPr>
          <w:b/>
          <w:bCs/>
        </w:rPr>
        <w:lastRenderedPageBreak/>
        <w:t>2. Fundamental Principle</w:t>
      </w:r>
      <w:r w:rsidR="00BF0999">
        <w:rPr>
          <w:b/>
          <w:bCs/>
        </w:rPr>
        <w:t>:</w:t>
      </w:r>
      <w:r>
        <w:rPr>
          <w:b/>
          <w:bCs/>
        </w:rPr>
        <w:t xml:space="preserve"> Anomaly Is Not Fraud</w:t>
      </w:r>
    </w:p>
    <w:p w14:paraId="64BBE096" w14:textId="4912986B" w:rsidR="00067B20" w:rsidRDefault="00067B20" w:rsidP="00067B20">
      <w:pPr>
        <w:spacing w:line="480" w:lineRule="auto"/>
        <w:ind w:firstLine="720"/>
        <w:jc w:val="both"/>
      </w:pPr>
      <w:r>
        <w:t>The most important principle governing the use of IntegriScan is the distinction between a statistical anomaly and a confirmed fraud determination. An anomaly flag generated by IntegriScan indicates that a contract exhibits statistical patterns that deviate significantly from normal procurement behavior in the dataset. The Isolation Forest algorithm and z-score baseline cannot distinguish between legitimate unusual procurement activity and fraudulent behavior</w:t>
      </w:r>
      <w:r w:rsidR="00C866F2">
        <w:t>;</w:t>
      </w:r>
      <w:r>
        <w:t xml:space="preserve"> they can only identify statistical deviation from the majority pattern (Herreros-Martinez et al., 2025).</w:t>
      </w:r>
    </w:p>
    <w:p w14:paraId="16A3B4EF" w14:textId="77777777" w:rsidR="00067B20" w:rsidRDefault="00067B20" w:rsidP="00067B20">
      <w:pPr>
        <w:spacing w:line="480" w:lineRule="auto"/>
        <w:ind w:firstLine="720"/>
        <w:jc w:val="both"/>
      </w:pPr>
    </w:p>
    <w:p w14:paraId="2AE7D173" w14:textId="46BC86B8" w:rsidR="00026FB4" w:rsidRDefault="00067B20" w:rsidP="00067B20">
      <w:pPr>
        <w:spacing w:line="480" w:lineRule="auto"/>
        <w:ind w:firstLine="720"/>
        <w:jc w:val="both"/>
      </w:pPr>
      <w:r>
        <w:t>This distinction is not merely a legal disclaimer</w:t>
      </w:r>
      <w:r w:rsidR="00C866F2">
        <w:t>;</w:t>
      </w:r>
      <w:r>
        <w:t xml:space="preserve"> it is a core design principle embedded at every layer of the system, consistent with the transparency requirement of the National Institute of Standards and Technology (2023) AI Risk Management Framework. All system users must treat every anomaly flag as the beginning of an investigation, not the conclusion of one. No administrative, legal, disciplinary, or reputational action against a vendor, agency, or individual may be initiated solely on the basis of an IntegriScan anomaly flag without independent human review and corroborating evidence gathered through a proper audit process</w:t>
      </w:r>
      <w:r w:rsidR="00E3162F">
        <w:t>.</w:t>
      </w:r>
    </w:p>
    <w:p w14:paraId="2AE7D174" w14:textId="77777777" w:rsidR="00026FB4" w:rsidRDefault="00026FB4">
      <w:pPr>
        <w:spacing w:line="480" w:lineRule="auto"/>
      </w:pPr>
    </w:p>
    <w:p w14:paraId="2AE7D175" w14:textId="77777777" w:rsidR="00026FB4" w:rsidRDefault="00E3162F">
      <w:pPr>
        <w:spacing w:before="240" w:after="240" w:line="480" w:lineRule="auto"/>
        <w:jc w:val="center"/>
        <w:rPr>
          <w:b/>
          <w:bCs/>
          <w:color w:val="C00000"/>
        </w:rPr>
      </w:pPr>
      <w:r>
        <w:rPr>
          <w:b/>
          <w:bCs/>
          <w:color w:val="C00000"/>
        </w:rPr>
        <w:t>RULE: IntegriScan flags identify contracts worth investigating. They do not identify fraud.</w:t>
      </w:r>
    </w:p>
    <w:p w14:paraId="5B0225CB" w14:textId="77777777" w:rsidR="009E1F95" w:rsidRDefault="009E1F95">
      <w:pPr>
        <w:spacing w:before="240" w:after="240" w:line="480" w:lineRule="auto"/>
        <w:jc w:val="center"/>
        <w:rPr>
          <w:b/>
          <w:bCs/>
          <w:color w:val="C00000"/>
        </w:rPr>
      </w:pPr>
    </w:p>
    <w:p w14:paraId="0B13AA6D" w14:textId="77777777" w:rsidR="009E1F95" w:rsidRDefault="009E1F95">
      <w:pPr>
        <w:spacing w:before="240" w:after="240" w:line="480" w:lineRule="auto"/>
        <w:jc w:val="center"/>
      </w:pPr>
    </w:p>
    <w:p w14:paraId="7B95B069" w14:textId="77777777" w:rsidR="00F04D1E" w:rsidRDefault="00F04D1E">
      <w:pPr>
        <w:spacing w:before="240" w:after="240" w:line="480" w:lineRule="auto"/>
        <w:jc w:val="center"/>
      </w:pPr>
    </w:p>
    <w:p w14:paraId="2AE7D176" w14:textId="77777777" w:rsidR="00026FB4" w:rsidRDefault="00E3162F">
      <w:pPr>
        <w:spacing w:before="480" w:after="240" w:line="480" w:lineRule="auto"/>
      </w:pPr>
      <w:r>
        <w:rPr>
          <w:b/>
          <w:bCs/>
        </w:rPr>
        <w:lastRenderedPageBreak/>
        <w:t>3. Identified Sources of Algorithmic Bias</w:t>
      </w:r>
    </w:p>
    <w:p w14:paraId="2AE7D177" w14:textId="7469310C" w:rsidR="00026FB4" w:rsidRDefault="00E3162F">
      <w:pPr>
        <w:spacing w:line="480" w:lineRule="auto"/>
        <w:ind w:firstLine="720"/>
        <w:jc w:val="both"/>
      </w:pPr>
      <w:r>
        <w:t>The IntegriScan system was designed with explicit awareness of the potential for algorithmic bias</w:t>
      </w:r>
      <w:r w:rsidR="00041227">
        <w:t>:</w:t>
      </w:r>
      <w:r>
        <w:t xml:space="preserve"> the systematic production of anomaly flags that disproportionately affect certain vendor groups, geographic regions, or contract types for reasons unrelated to fraud risk. </w:t>
      </w:r>
      <w:r w:rsidR="006415BB" w:rsidRPr="006415BB">
        <w:t>The National Institute of Standards and Technology (2023) AI Risk Management Framework identifies fairness as a core characteristic of trustworthy AI and requires that AI systems be evaluated for bias across relevant demographic and categorical groups. Seven sources of potential bias have been identified and addressed through design controls</w:t>
      </w:r>
      <w:r>
        <w:t>.</w:t>
      </w:r>
    </w:p>
    <w:p w14:paraId="2AE7D178" w14:textId="77777777" w:rsidR="00026FB4" w:rsidRDefault="00026FB4">
      <w:pPr>
        <w:spacing w:line="480" w:lineRule="auto"/>
      </w:pPr>
    </w:p>
    <w:p w14:paraId="2AE7D179" w14:textId="77777777" w:rsidR="00026FB4" w:rsidRDefault="00E3162F">
      <w:pPr>
        <w:spacing w:before="360" w:after="120" w:line="480" w:lineRule="auto"/>
      </w:pPr>
      <w:r>
        <w:rPr>
          <w:b/>
          <w:bCs/>
          <w:i/>
          <w:iCs/>
        </w:rPr>
        <w:t>3.1 Training Data Distribution Bias</w:t>
      </w:r>
    </w:p>
    <w:p w14:paraId="27593B4B" w14:textId="35AB1234" w:rsidR="00A74B50" w:rsidRDefault="00A74B50" w:rsidP="00A74B50">
      <w:pPr>
        <w:spacing w:line="480" w:lineRule="auto"/>
        <w:ind w:firstLine="720"/>
        <w:jc w:val="both"/>
      </w:pPr>
      <w:r>
        <w:t>The Isolation Forest algorithm learns its definition of normal procurement behavior from the FY2023 DoD contracts training dataset. If this dataset overrepresents certain agency types, geographic regions, or contract sizes, the algorithm may learn a notion of normal behavior that reflects majority patterns rather than the full range of legitimate procurement activity (National Institute of Standards and Technology, 2023). Vendors whose legitimate procurement behavior differs from the majority</w:t>
      </w:r>
      <w:r w:rsidR="009C12FC">
        <w:t>,</w:t>
      </w:r>
      <w:r>
        <w:t xml:space="preserve"> small vendors in remote regions, minority-owned businesses, or specialized contractors in niche NAICS categories</w:t>
      </w:r>
      <w:r w:rsidR="009C12FC">
        <w:t>,</w:t>
      </w:r>
      <w:r>
        <w:t xml:space="preserve"> may be disproportionately flagged.</w:t>
      </w:r>
    </w:p>
    <w:p w14:paraId="254466C4" w14:textId="77777777" w:rsidR="00A74B50" w:rsidRDefault="00A74B50" w:rsidP="00A74B50">
      <w:pPr>
        <w:spacing w:line="480" w:lineRule="auto"/>
        <w:ind w:firstLine="720"/>
        <w:jc w:val="both"/>
      </w:pPr>
    </w:p>
    <w:p w14:paraId="2AE7D17C" w14:textId="4C2741B9" w:rsidR="00026FB4" w:rsidRDefault="00A74B50" w:rsidP="00A74B50">
      <w:pPr>
        <w:spacing w:line="480" w:lineRule="auto"/>
        <w:ind w:firstLine="720"/>
        <w:jc w:val="both"/>
      </w:pPr>
      <w:r>
        <w:t>Mitigation: The z-score detection computes deviations within NAICS industry categories rather than across the full dataset, partially controlling for industry-level differences (Herreros-Martinez et al., 2025). Annual model retraining and quarterly bias audits by NAICS category are planned as Phase 4 post-Capstone enhancements</w:t>
      </w:r>
      <w:r w:rsidR="00E3162F">
        <w:t>.</w:t>
      </w:r>
    </w:p>
    <w:p w14:paraId="2AE7D17D" w14:textId="77777777" w:rsidR="00026FB4" w:rsidRDefault="00026FB4">
      <w:pPr>
        <w:spacing w:line="480" w:lineRule="auto"/>
      </w:pPr>
    </w:p>
    <w:p w14:paraId="2AE7D17E" w14:textId="77777777" w:rsidR="00026FB4" w:rsidRDefault="00E3162F">
      <w:pPr>
        <w:spacing w:before="360" w:after="120" w:line="480" w:lineRule="auto"/>
      </w:pPr>
      <w:r>
        <w:rPr>
          <w:b/>
          <w:bCs/>
          <w:i/>
          <w:iCs/>
        </w:rPr>
        <w:t>3.2 Fiscal Year-End Temporal Bias</w:t>
      </w:r>
    </w:p>
    <w:p w14:paraId="4D244FAD" w14:textId="5060C372" w:rsidR="00952AC8" w:rsidRDefault="00952AC8" w:rsidP="00952AC8">
      <w:pPr>
        <w:spacing w:line="480" w:lineRule="auto"/>
        <w:ind w:firstLine="720"/>
        <w:jc w:val="both"/>
      </w:pPr>
      <w:r>
        <w:t>IntegriScan specifically flags contracts awarded in the last 30 days of the federal fiscal year as potential year-end cluster anomalies. The OECD (2025) identifies fiscal year-end spending surges as a recognized procurement risk pattern; however, not all year-end contracts represent irregularities. Legitimate operational factors</w:t>
      </w:r>
      <w:r w:rsidR="003603EE">
        <w:t>, such as</w:t>
      </w:r>
      <w:r>
        <w:t xml:space="preserve"> project completion timelines</w:t>
      </w:r>
      <w:r w:rsidR="003603EE">
        <w:t xml:space="preserve"> and</w:t>
      </w:r>
      <w:r>
        <w:t xml:space="preserve"> appropriation expiration deadlines</w:t>
      </w:r>
      <w:r w:rsidR="003603EE">
        <w:t>,</w:t>
      </w:r>
      <w:r>
        <w:t xml:space="preserve"> frequently result in higher contract volumes at fiscal year-end without fraudulent intent.</w:t>
      </w:r>
    </w:p>
    <w:p w14:paraId="051188D3" w14:textId="77777777" w:rsidR="00952AC8" w:rsidRDefault="00952AC8" w:rsidP="00952AC8">
      <w:pPr>
        <w:spacing w:line="480" w:lineRule="auto"/>
        <w:ind w:firstLine="720"/>
        <w:jc w:val="both"/>
      </w:pPr>
    </w:p>
    <w:p w14:paraId="2AE7D181" w14:textId="0CBACC7D" w:rsidR="00026FB4" w:rsidRDefault="00952AC8" w:rsidP="00952AC8">
      <w:pPr>
        <w:spacing w:line="480" w:lineRule="auto"/>
        <w:ind w:firstLine="720"/>
        <w:jc w:val="both"/>
      </w:pPr>
      <w:r>
        <w:t>Mitigation: Year-end cluster flags are clearly labeled in the dashboard with the specific number of days before year-end, enabling analysts to distinguish extreme last-minute awards from routine year-end procurement activity. No year-end cluster flag should be treated as high-priority without a supporting price outlier signal (OECD, 2025)</w:t>
      </w:r>
      <w:r w:rsidR="00E3162F">
        <w:t>.</w:t>
      </w:r>
    </w:p>
    <w:p w14:paraId="2AE7D182" w14:textId="77777777" w:rsidR="00026FB4" w:rsidRDefault="00026FB4">
      <w:pPr>
        <w:spacing w:line="480" w:lineRule="auto"/>
      </w:pPr>
    </w:p>
    <w:p w14:paraId="2AE7D183" w14:textId="77777777" w:rsidR="00026FB4" w:rsidRDefault="00E3162F">
      <w:pPr>
        <w:spacing w:before="360" w:after="120" w:line="480" w:lineRule="auto"/>
      </w:pPr>
      <w:r>
        <w:rPr>
          <w:b/>
          <w:bCs/>
          <w:i/>
          <w:iCs/>
        </w:rPr>
        <w:t>3.3 Vendor Frequency Bias</w:t>
      </w:r>
    </w:p>
    <w:p w14:paraId="463F2528" w14:textId="77777777" w:rsidR="0089065B" w:rsidRDefault="0089065B" w:rsidP="0089065B">
      <w:pPr>
        <w:spacing w:line="480" w:lineRule="auto"/>
        <w:ind w:firstLine="720"/>
        <w:jc w:val="both"/>
      </w:pPr>
      <w:r>
        <w:t>High vendor frequency may indicate shell company networks or preferred vendor favoritism, as identified by Herreros-Martinez et al. (2025) in their analysis of enterprise procurement anomaly patterns. However, high vendor frequency also legitimately reflects established government contractors providing ongoing services across multiple agencies. Defense contractors, IT service providers, and facilities management companies routinely receive hundreds of contracts annually without any irregularity.</w:t>
      </w:r>
    </w:p>
    <w:p w14:paraId="7F813CDB" w14:textId="77777777" w:rsidR="0089065B" w:rsidRDefault="0089065B" w:rsidP="0089065B">
      <w:pPr>
        <w:spacing w:line="480" w:lineRule="auto"/>
        <w:ind w:firstLine="720"/>
        <w:jc w:val="both"/>
      </w:pPr>
    </w:p>
    <w:p w14:paraId="2AE7D186" w14:textId="410AFE99" w:rsidR="00026FB4" w:rsidRDefault="0089065B" w:rsidP="0089065B">
      <w:pPr>
        <w:spacing w:line="480" w:lineRule="auto"/>
        <w:ind w:firstLine="720"/>
        <w:jc w:val="both"/>
      </w:pPr>
      <w:r>
        <w:lastRenderedPageBreak/>
        <w:t>Mitigation: Vendor frequency is used as one of five features in the Isolation Forest model</w:t>
      </w:r>
      <w:r w:rsidR="004D166A">
        <w:t>,</w:t>
      </w:r>
      <w:r>
        <w:t xml:space="preserve"> not as a standalone flag trigger. The explainable risk factor engine only mentions vendor frequency when it exceeds 50 contracts. Analysts are instructed to verify that high-frequency vendor flags are accompanied by supporting evidence before treating them as actionable</w:t>
      </w:r>
      <w:r w:rsidR="00E3162F">
        <w:t>.</w:t>
      </w:r>
    </w:p>
    <w:p w14:paraId="2AE7D187" w14:textId="77777777" w:rsidR="00026FB4" w:rsidRDefault="00026FB4">
      <w:pPr>
        <w:spacing w:line="480" w:lineRule="auto"/>
      </w:pPr>
    </w:p>
    <w:p w14:paraId="2AE7D188" w14:textId="77777777" w:rsidR="00026FB4" w:rsidRDefault="00E3162F">
      <w:pPr>
        <w:spacing w:before="360" w:after="120" w:line="480" w:lineRule="auto"/>
      </w:pPr>
      <w:r>
        <w:rPr>
          <w:b/>
          <w:bCs/>
          <w:i/>
          <w:iCs/>
        </w:rPr>
        <w:t>3.4 Small Vendor Bias</w:t>
      </w:r>
    </w:p>
    <w:p w14:paraId="24BDA784" w14:textId="77777777" w:rsidR="002F240E" w:rsidRDefault="002F240E" w:rsidP="002F240E">
      <w:pPr>
        <w:spacing w:line="480" w:lineRule="auto"/>
        <w:ind w:firstLine="720"/>
        <w:jc w:val="both"/>
      </w:pPr>
      <w:r>
        <w:t>Small vendors with few contracts may produce contract value distributions that appear anomalous simply because the sample size is insufficient to establish reliable statistical norms. Letaw (2024) cautions that statistical models applied to small samples produce unreliable inferences, a limitation directly applicable to z-score detection for vendors with limited contract histories in their NAICS category.</w:t>
      </w:r>
    </w:p>
    <w:p w14:paraId="1AD02CF3" w14:textId="77777777" w:rsidR="002F240E" w:rsidRDefault="002F240E" w:rsidP="002F240E">
      <w:pPr>
        <w:spacing w:line="480" w:lineRule="auto"/>
        <w:ind w:firstLine="720"/>
        <w:jc w:val="both"/>
      </w:pPr>
    </w:p>
    <w:p w14:paraId="2AE7D18B" w14:textId="3F593062" w:rsidR="00026FB4" w:rsidRDefault="002F240E" w:rsidP="002F240E">
      <w:pPr>
        <w:spacing w:line="480" w:lineRule="auto"/>
        <w:ind w:firstLine="720"/>
        <w:jc w:val="both"/>
      </w:pPr>
      <w:r>
        <w:t>Mitigation: The z-score computation requires a minimum sample size within each NAICS category before flagging. Analysts are instructed to examine the vendor contract history and category distribution before drawing conclusions about small-vendor flags</w:t>
      </w:r>
      <w:r w:rsidR="00E3162F">
        <w:t>.</w:t>
      </w:r>
    </w:p>
    <w:p w14:paraId="2AE7D18C" w14:textId="77777777" w:rsidR="00026FB4" w:rsidRDefault="00026FB4">
      <w:pPr>
        <w:spacing w:line="480" w:lineRule="auto"/>
      </w:pPr>
    </w:p>
    <w:p w14:paraId="2AE7D18D" w14:textId="77777777" w:rsidR="00026FB4" w:rsidRDefault="00E3162F">
      <w:pPr>
        <w:spacing w:before="360" w:after="120" w:line="480" w:lineRule="auto"/>
      </w:pPr>
      <w:r>
        <w:rPr>
          <w:b/>
          <w:bCs/>
          <w:i/>
          <w:iCs/>
        </w:rPr>
        <w:t>3.5 False Positive Concentration Bias</w:t>
      </w:r>
    </w:p>
    <w:p w14:paraId="36BE7201" w14:textId="77777777" w:rsidR="000E6D69" w:rsidRDefault="000E6D69" w:rsidP="000E6D69">
      <w:pPr>
        <w:spacing w:line="480" w:lineRule="auto"/>
        <w:ind w:firstLine="720"/>
        <w:jc w:val="both"/>
      </w:pPr>
      <w:r>
        <w:t>If the ML model produces a high proportion of false positives concentrated in a specific vendor category or geographic region, this concentration represents systemic bias that could lead to unjust reputational harm. Herreros-Martinez et al. (2025) identify category-specific false positive rates as a critical monitoring metric for procurement anomaly detection systems.</w:t>
      </w:r>
    </w:p>
    <w:p w14:paraId="4328542C" w14:textId="77777777" w:rsidR="000E6D69" w:rsidRDefault="000E6D69" w:rsidP="000E6D69">
      <w:pPr>
        <w:spacing w:line="480" w:lineRule="auto"/>
        <w:ind w:firstLine="720"/>
        <w:jc w:val="both"/>
      </w:pPr>
    </w:p>
    <w:p w14:paraId="2AE7D190" w14:textId="1227AAC8" w:rsidR="00026FB4" w:rsidRDefault="000E6D69" w:rsidP="000E6D69">
      <w:pPr>
        <w:spacing w:line="480" w:lineRule="auto"/>
        <w:ind w:firstLine="720"/>
        <w:jc w:val="both"/>
      </w:pPr>
      <w:r>
        <w:lastRenderedPageBreak/>
        <w:t>Mitigation: The auditor actionability feedback mechanism enables detection of category-specific false positive patterns through the actionability rate tracker. A declining actionability rate for flags in a specific NAICS category signals systematic over-flagging that should trigger a contamination threshold review and bias analysis (Herreros-Martinez et al., 2025</w:t>
      </w:r>
      <w:r>
        <w:t>)</w:t>
      </w:r>
      <w:r w:rsidR="00E3162F">
        <w:t>.</w:t>
      </w:r>
    </w:p>
    <w:p w14:paraId="2AE7D191" w14:textId="77777777" w:rsidR="00026FB4" w:rsidRDefault="00026FB4">
      <w:pPr>
        <w:spacing w:line="480" w:lineRule="auto"/>
      </w:pPr>
    </w:p>
    <w:p w14:paraId="2AE7D192" w14:textId="77777777" w:rsidR="00026FB4" w:rsidRDefault="00E3162F">
      <w:pPr>
        <w:spacing w:before="360" w:after="120" w:line="480" w:lineRule="auto"/>
      </w:pPr>
      <w:r>
        <w:rPr>
          <w:b/>
          <w:bCs/>
          <w:i/>
          <w:iCs/>
        </w:rPr>
        <w:t>3.6 Synthetic Label Evaluation Bias</w:t>
      </w:r>
    </w:p>
    <w:p w14:paraId="1792F445" w14:textId="77777777" w:rsidR="008A63F2" w:rsidRDefault="008A63F2" w:rsidP="008A63F2">
      <w:pPr>
        <w:spacing w:line="480" w:lineRule="auto"/>
        <w:ind w:firstLine="720"/>
        <w:jc w:val="both"/>
      </w:pPr>
      <w:r>
        <w:t>The IntegriScan ML module is evaluated using 31 synthetic anomaly labels injected during the ETL pipeline. The National Institute of Standards and Technology (2023) AI Risk Management Framework cautions that evaluation datasets that do not represent the full diversity of real-world use cases produce misleading performance estimates. Synthetic labels representing specific anomaly patterns may not capture the full diversity of real procurement fraud.</w:t>
      </w:r>
    </w:p>
    <w:p w14:paraId="7BB1CA1D" w14:textId="77777777" w:rsidR="008A63F2" w:rsidRDefault="008A63F2" w:rsidP="008A63F2">
      <w:pPr>
        <w:spacing w:line="480" w:lineRule="auto"/>
        <w:ind w:firstLine="720"/>
        <w:jc w:val="both"/>
      </w:pPr>
    </w:p>
    <w:p w14:paraId="2AE7D195" w14:textId="6EA3AC93" w:rsidR="00026FB4" w:rsidRDefault="008A63F2" w:rsidP="008A63F2">
      <w:pPr>
        <w:spacing w:line="480" w:lineRule="auto"/>
        <w:ind w:firstLine="720"/>
        <w:jc w:val="both"/>
      </w:pPr>
      <w:r>
        <w:t>Mitigation: The auditor actionability rate is used as the primary real-world evaluation metric rather than synthetic label-based precision and recall, consistent with the recommendation of Herreros-Martinez et al. (2025). The synthetic labels are explicitly documented as evaluation tools rather than ground truth</w:t>
      </w:r>
      <w:r w:rsidR="00E3162F">
        <w:t>.</w:t>
      </w:r>
    </w:p>
    <w:p w14:paraId="2AE7D196" w14:textId="77777777" w:rsidR="00026FB4" w:rsidRDefault="00026FB4">
      <w:pPr>
        <w:spacing w:line="480" w:lineRule="auto"/>
      </w:pPr>
    </w:p>
    <w:p w14:paraId="2AE7D197" w14:textId="77777777" w:rsidR="00026FB4" w:rsidRDefault="00E3162F">
      <w:pPr>
        <w:spacing w:before="360" w:after="120" w:line="480" w:lineRule="auto"/>
      </w:pPr>
      <w:r>
        <w:rPr>
          <w:b/>
          <w:bCs/>
          <w:i/>
          <w:iCs/>
        </w:rPr>
        <w:t>3.7 Confirmation Bias in Human Review</w:t>
      </w:r>
    </w:p>
    <w:p w14:paraId="2BE91C89" w14:textId="52CCCC0C" w:rsidR="00E45B42" w:rsidRDefault="00E45B42" w:rsidP="00E45B42">
      <w:pPr>
        <w:spacing w:line="480" w:lineRule="auto"/>
        <w:ind w:firstLine="720"/>
        <w:jc w:val="both"/>
      </w:pPr>
      <w:r>
        <w:t>Human reviewers may exhibit confirmation bias</w:t>
      </w:r>
      <w:r>
        <w:t>,</w:t>
      </w:r>
      <w:r>
        <w:t xml:space="preserve"> interpreting ambiguous evidence as confirming a pre-existing suspicion once an anomaly flag has been raised. Letaw (2024) identifies human cognitive bias as a critical risk in AI-assisted decision-making systems, noting that </w:t>
      </w:r>
      <w:r>
        <w:lastRenderedPageBreak/>
        <w:t>algorithmic outputs can anchor human judgment in ways that reduce the quality of independent assessment.</w:t>
      </w:r>
    </w:p>
    <w:p w14:paraId="28F87269" w14:textId="77777777" w:rsidR="00E45B42" w:rsidRDefault="00E45B42" w:rsidP="00E45B42">
      <w:pPr>
        <w:spacing w:line="480" w:lineRule="auto"/>
        <w:ind w:firstLine="720"/>
        <w:jc w:val="both"/>
      </w:pPr>
    </w:p>
    <w:p w14:paraId="2AE7D19A" w14:textId="190CC72F" w:rsidR="00026FB4" w:rsidRDefault="00E45B42" w:rsidP="00E45B42">
      <w:pPr>
        <w:spacing w:line="480" w:lineRule="auto"/>
        <w:ind w:firstLine="720"/>
        <w:jc w:val="both"/>
      </w:pPr>
      <w:r>
        <w:t>Mitigation: The disclaimer banner displayed on every flagged contracts page explicitly states that flags represent statistical patterns requiring investigation, not fraud determinations, consistent with the transparency requirements of the National Institute of Standards and Technology (2023) AI Risk Management Framework</w:t>
      </w:r>
      <w:r>
        <w:t>.</w:t>
      </w:r>
    </w:p>
    <w:p w14:paraId="520F5C20" w14:textId="77777777" w:rsidR="009E1F95" w:rsidRDefault="009E1F95">
      <w:pPr>
        <w:spacing w:line="480" w:lineRule="auto"/>
        <w:ind w:firstLine="720"/>
        <w:jc w:val="both"/>
      </w:pPr>
    </w:p>
    <w:p w14:paraId="2AE7D19B" w14:textId="77777777" w:rsidR="00026FB4" w:rsidRDefault="00E3162F">
      <w:pPr>
        <w:spacing w:before="480" w:after="240" w:line="480" w:lineRule="auto"/>
      </w:pPr>
      <w:r>
        <w:rPr>
          <w:b/>
          <w:bCs/>
        </w:rPr>
        <w:t>4. False Positive Handling Policy</w:t>
      </w:r>
    </w:p>
    <w:p w14:paraId="2AE7D19C" w14:textId="32E4BC75" w:rsidR="00026FB4" w:rsidRDefault="000A793B">
      <w:pPr>
        <w:spacing w:line="480" w:lineRule="auto"/>
        <w:ind w:firstLine="720"/>
        <w:jc w:val="both"/>
      </w:pPr>
      <w:r w:rsidRPr="000A793B">
        <w:t>A false positive is an anomaly flag generated by IntegriScan for a contract that, upon human review, represents legitimate procurement activity. False positives are an inherent and expected feature of any anomaly detection system</w:t>
      </w:r>
      <w:r w:rsidR="006D0682">
        <w:t>,</w:t>
      </w:r>
      <w:r w:rsidRPr="000A793B">
        <w:t xml:space="preserve"> not a defect. Herreros-Martinez et al. (2025) report that even high-performing procurement anomaly detection systems with 85% actionability rates produce 15% false positives in operational deployment, confirming that false positives are a design parameter to be managed rather than eliminated</w:t>
      </w:r>
      <w:r w:rsidR="00E3162F">
        <w:t>.</w:t>
      </w:r>
    </w:p>
    <w:p w14:paraId="2AE7D19D" w14:textId="77777777" w:rsidR="00026FB4" w:rsidRDefault="00026FB4">
      <w:pPr>
        <w:spacing w:line="480" w:lineRule="auto"/>
      </w:pPr>
    </w:p>
    <w:p w14:paraId="2AE7D19E" w14:textId="77777777" w:rsidR="00026FB4" w:rsidRDefault="00E3162F">
      <w:pPr>
        <w:spacing w:before="120" w:after="120"/>
        <w:jc w:val="center"/>
        <w:rPr>
          <w:b/>
          <w:bCs/>
          <w:sz w:val="20"/>
          <w:szCs w:val="20"/>
        </w:rPr>
      </w:pPr>
      <w:r>
        <w:rPr>
          <w:b/>
          <w:bCs/>
          <w:sz w:val="20"/>
          <w:szCs w:val="20"/>
        </w:rPr>
        <w:t>Table 4.1. False Positive Handling Procedures</w:t>
      </w:r>
    </w:p>
    <w:p w14:paraId="475A4531" w14:textId="77777777" w:rsidR="00BF5B6C" w:rsidRDefault="00BF5B6C">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26FB4" w14:paraId="2AE7D1A1"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9F" w14:textId="77777777" w:rsidR="00026FB4" w:rsidRDefault="00E3162F">
            <w:pPr>
              <w:jc w:val="center"/>
            </w:pPr>
            <w:r>
              <w:rPr>
                <w:b/>
                <w:bCs/>
                <w:color w:val="FFFFFF"/>
                <w:sz w:val="18"/>
                <w:szCs w:val="18"/>
              </w:rPr>
              <w:t>Stage</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A0" w14:textId="77777777" w:rsidR="00026FB4" w:rsidRDefault="00E3162F">
            <w:pPr>
              <w:jc w:val="center"/>
            </w:pPr>
            <w:r>
              <w:rPr>
                <w:b/>
                <w:bCs/>
                <w:color w:val="FFFFFF"/>
                <w:sz w:val="18"/>
                <w:szCs w:val="18"/>
              </w:rPr>
              <w:t>Procedure</w:t>
            </w:r>
          </w:p>
        </w:tc>
      </w:tr>
      <w:tr w:rsidR="00026FB4" w14:paraId="2AE7D1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A2" w14:textId="77777777" w:rsidR="00026FB4" w:rsidRDefault="00E3162F">
            <w:r>
              <w:rPr>
                <w:sz w:val="18"/>
                <w:szCs w:val="18"/>
              </w:rPr>
              <w:t>Discovery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A3" w14:textId="77777777" w:rsidR="00026FB4" w:rsidRDefault="00E3162F">
            <w:r>
              <w:rPr>
                <w:sz w:val="18"/>
                <w:szCs w:val="18"/>
              </w:rPr>
              <w:t>Analyst reviews flagged contract and finds it represents legitimate procurement activity</w:t>
            </w:r>
          </w:p>
        </w:tc>
      </w:tr>
      <w:tr w:rsidR="00026FB4" w14:paraId="2AE7D1A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A5" w14:textId="77777777" w:rsidR="00026FB4" w:rsidRDefault="00E3162F">
            <w:r>
              <w:rPr>
                <w:sz w:val="18"/>
                <w:szCs w:val="18"/>
              </w:rPr>
              <w:t>Recording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A6" w14:textId="43B5B20E" w:rsidR="00026FB4" w:rsidRDefault="00E3162F">
            <w:r>
              <w:rPr>
                <w:sz w:val="18"/>
                <w:szCs w:val="18"/>
              </w:rPr>
              <w:t xml:space="preserve">Analyst clicks </w:t>
            </w:r>
            <w:r w:rsidR="00910D84">
              <w:rPr>
                <w:sz w:val="18"/>
                <w:szCs w:val="18"/>
              </w:rPr>
              <w:t xml:space="preserve">the </w:t>
            </w:r>
            <w:r w:rsidR="00CC3408">
              <w:rPr>
                <w:sz w:val="18"/>
                <w:szCs w:val="18"/>
              </w:rPr>
              <w:t>thumbs-down</w:t>
            </w:r>
            <w:r>
              <w:rPr>
                <w:sz w:val="18"/>
                <w:szCs w:val="18"/>
              </w:rPr>
              <w:t xml:space="preserve"> button in </w:t>
            </w:r>
            <w:r w:rsidR="00910D84">
              <w:rPr>
                <w:sz w:val="18"/>
                <w:szCs w:val="18"/>
              </w:rPr>
              <w:t xml:space="preserve">the </w:t>
            </w:r>
            <w:r>
              <w:rPr>
                <w:sz w:val="18"/>
                <w:szCs w:val="18"/>
              </w:rPr>
              <w:t>dashboard</w:t>
            </w:r>
            <w:r w:rsidR="00A97C1B">
              <w:rPr>
                <w:sz w:val="18"/>
                <w:szCs w:val="18"/>
              </w:rPr>
              <w:t>:</w:t>
            </w:r>
            <w:r>
              <w:rPr>
                <w:sz w:val="18"/>
                <w:szCs w:val="18"/>
              </w:rPr>
              <w:t xml:space="preserve"> flag recorded as not_actionable in anomaly_flags table</w:t>
            </w:r>
            <w:r w:rsidR="00CB7FA5">
              <w:rPr>
                <w:sz w:val="18"/>
                <w:szCs w:val="18"/>
              </w:rPr>
              <w:t xml:space="preserve"> </w:t>
            </w:r>
            <w:r w:rsidR="00CB7FA5">
              <w:rPr>
                <w:sz w:val="18"/>
                <w:szCs w:val="18"/>
              </w:rPr>
              <w:t>(Herreros-Martinez et al., 2025)</w:t>
            </w:r>
          </w:p>
        </w:tc>
      </w:tr>
      <w:tr w:rsidR="00026FB4" w14:paraId="2AE7D1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A8" w14:textId="77777777" w:rsidR="00026FB4" w:rsidRDefault="00E3162F">
            <w:r>
              <w:rPr>
                <w:sz w:val="18"/>
                <w:szCs w:val="18"/>
              </w:rPr>
              <w:t>Documentation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A9" w14:textId="77777777" w:rsidR="00026FB4" w:rsidRDefault="00E3162F">
            <w:r>
              <w:rPr>
                <w:sz w:val="18"/>
                <w:szCs w:val="18"/>
              </w:rPr>
              <w:t>Analyst adds notes explaining why the flag is a false positive (optional but encouraged)</w:t>
            </w:r>
          </w:p>
        </w:tc>
      </w:tr>
      <w:tr w:rsidR="00026FB4" w14:paraId="2AE7D1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AB" w14:textId="77777777" w:rsidR="00026FB4" w:rsidRDefault="00E3162F">
            <w:r>
              <w:rPr>
                <w:sz w:val="18"/>
                <w:szCs w:val="18"/>
              </w:rPr>
              <w:t>No Action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AC" w14:textId="77777777" w:rsidR="00026FB4" w:rsidRDefault="00E3162F">
            <w:r>
              <w:rPr>
                <w:sz w:val="18"/>
                <w:szCs w:val="18"/>
              </w:rPr>
              <w:t>No administrative, legal, or reputational action is taken against the vendor or contracting officer</w:t>
            </w:r>
          </w:p>
        </w:tc>
      </w:tr>
      <w:tr w:rsidR="00026FB4" w14:paraId="2AE7D1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AE" w14:textId="77777777" w:rsidR="00026FB4" w:rsidRDefault="00E3162F">
            <w:r>
              <w:rPr>
                <w:sz w:val="18"/>
                <w:szCs w:val="18"/>
              </w:rPr>
              <w:lastRenderedPageBreak/>
              <w:t>Monitoring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AF" w14:textId="273E57E2" w:rsidR="00026FB4" w:rsidRDefault="00E3162F">
            <w:r>
              <w:rPr>
                <w:sz w:val="18"/>
                <w:szCs w:val="18"/>
              </w:rPr>
              <w:t>System tracks not_actionable rate by flag type and agency</w:t>
            </w:r>
            <w:r w:rsidR="00910D84">
              <w:rPr>
                <w:sz w:val="18"/>
                <w:szCs w:val="18"/>
              </w:rPr>
              <w:t>:</w:t>
            </w:r>
            <w:r>
              <w:rPr>
                <w:sz w:val="18"/>
                <w:szCs w:val="18"/>
              </w:rPr>
              <w:t xml:space="preserve"> reported in monthly maintenance review</w:t>
            </w:r>
          </w:p>
        </w:tc>
      </w:tr>
      <w:tr w:rsidR="00026FB4" w14:paraId="2AE7D1B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B1" w14:textId="77777777" w:rsidR="00026FB4" w:rsidRDefault="00E3162F">
            <w:r>
              <w:rPr>
                <w:sz w:val="18"/>
                <w:szCs w:val="18"/>
              </w:rPr>
              <w:t>Threshold Review</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B2" w14:textId="60FF2BDC" w:rsidR="00026FB4" w:rsidRDefault="00E3162F">
            <w:r>
              <w:rPr>
                <w:sz w:val="18"/>
                <w:szCs w:val="18"/>
              </w:rPr>
              <w:t>If not_actionable rate exceeds 30% for a specific flag type, contamination threshold review is triggered</w:t>
            </w:r>
            <w:r w:rsidR="00771FF6">
              <w:rPr>
                <w:sz w:val="18"/>
                <w:szCs w:val="18"/>
              </w:rPr>
              <w:t xml:space="preserve"> </w:t>
            </w:r>
            <w:r w:rsidR="00771FF6">
              <w:rPr>
                <w:sz w:val="18"/>
                <w:szCs w:val="18"/>
              </w:rPr>
              <w:t>(National Institute of Standards and Technology, 2023)</w:t>
            </w:r>
          </w:p>
        </w:tc>
      </w:tr>
      <w:tr w:rsidR="00026FB4" w14:paraId="2AE7D1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B4" w14:textId="77777777" w:rsidR="00026FB4" w:rsidRDefault="00E3162F">
            <w:r>
              <w:rPr>
                <w:sz w:val="18"/>
                <w:szCs w:val="18"/>
              </w:rPr>
              <w:t>Vendor Notification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B5" w14:textId="2CE3FF3A" w:rsidR="00026FB4" w:rsidRDefault="00E3162F">
            <w:r>
              <w:rPr>
                <w:sz w:val="18"/>
                <w:szCs w:val="18"/>
              </w:rPr>
              <w:t>Vendors are NOT notified of anomaly flags</w:t>
            </w:r>
            <w:r w:rsidR="00566170">
              <w:rPr>
                <w:sz w:val="18"/>
                <w:szCs w:val="18"/>
              </w:rPr>
              <w:t>:</w:t>
            </w:r>
            <w:r>
              <w:rPr>
                <w:sz w:val="18"/>
                <w:szCs w:val="18"/>
              </w:rPr>
              <w:t xml:space="preserve"> flags are internal audit prioritization tools only</w:t>
            </w:r>
          </w:p>
        </w:tc>
      </w:tr>
    </w:tbl>
    <w:p w14:paraId="2AE7D1B7" w14:textId="77777777" w:rsidR="00026FB4" w:rsidRDefault="00026FB4">
      <w:pPr>
        <w:spacing w:line="480" w:lineRule="auto"/>
      </w:pPr>
    </w:p>
    <w:p w14:paraId="2AE7D1B8" w14:textId="68AF5F30" w:rsidR="00026FB4" w:rsidRDefault="00E3162F">
      <w:pPr>
        <w:spacing w:line="480" w:lineRule="auto"/>
        <w:ind w:firstLine="720"/>
        <w:jc w:val="both"/>
      </w:pPr>
      <w:r>
        <w:t>The target actionability rate</w:t>
      </w:r>
      <w:r w:rsidR="008F3E9D">
        <w:t>,</w:t>
      </w:r>
      <w:r>
        <w:t xml:space="preserve"> the proportion of reviewed flags confirmed as worth investigating</w:t>
      </w:r>
      <w:r w:rsidR="008F3E9D">
        <w:t>,</w:t>
      </w:r>
      <w:r>
        <w:t xml:space="preserve"> is 85%, based on the benchmark established by Herreros-Martinez et al. (2025) on comparable procurement anomaly detection systems. An actionability rate below 70% for any flag type sustained over two consecutive quarterly reviews triggers a mandatory contamination threshold review and bias analysis by the system administrator.</w:t>
      </w:r>
    </w:p>
    <w:p w14:paraId="33115CDC" w14:textId="77777777" w:rsidR="009E1F95" w:rsidRDefault="009E1F95">
      <w:pPr>
        <w:spacing w:line="480" w:lineRule="auto"/>
        <w:ind w:firstLine="720"/>
        <w:jc w:val="both"/>
      </w:pPr>
    </w:p>
    <w:p w14:paraId="2AE7D1B9" w14:textId="77777777" w:rsidR="00026FB4" w:rsidRDefault="00E3162F">
      <w:pPr>
        <w:spacing w:before="480" w:after="240" w:line="480" w:lineRule="auto"/>
      </w:pPr>
      <w:r>
        <w:rPr>
          <w:b/>
          <w:bCs/>
        </w:rPr>
        <w:t>5. Privacy and Data Protection</w:t>
      </w:r>
    </w:p>
    <w:p w14:paraId="2AE7D1BA" w14:textId="22192383" w:rsidR="00026FB4" w:rsidRDefault="00B146E4">
      <w:pPr>
        <w:spacing w:line="480" w:lineRule="auto"/>
        <w:ind w:firstLine="720"/>
        <w:jc w:val="both"/>
      </w:pPr>
      <w:r w:rsidRPr="00B146E4">
        <w:t>The IntegriScan system processes publicly available government procurement data from USASpending.gov, published under open data terms by the US federal government. The European Parliament and Council of the European Union (2016) General Data Protection Regulation establishes data minimization as a core privacy principle</w:t>
      </w:r>
      <w:r w:rsidR="00DF1561">
        <w:t>:</w:t>
      </w:r>
      <w:r w:rsidRPr="00B146E4">
        <w:t xml:space="preserve"> data collected should be adequate, relevant, and limited to what is necessary for the stated purpose. While the GDPR applies directly to EU personal data, its data minimization and purpose limitation principles are applied as governance best practices in the IntegriScan design</w:t>
      </w:r>
      <w:r w:rsidR="00E3162F">
        <w:t>.</w:t>
      </w:r>
    </w:p>
    <w:p w14:paraId="2AE7D1BB" w14:textId="77777777" w:rsidR="00026FB4" w:rsidRDefault="00026FB4">
      <w:pPr>
        <w:spacing w:line="480" w:lineRule="auto"/>
      </w:pPr>
    </w:p>
    <w:p w14:paraId="3D0543AB" w14:textId="77777777" w:rsidR="00DF1561" w:rsidRDefault="00DF1561">
      <w:pPr>
        <w:spacing w:line="480" w:lineRule="auto"/>
      </w:pPr>
    </w:p>
    <w:p w14:paraId="75FC8792" w14:textId="77777777" w:rsidR="00DF1561" w:rsidRDefault="00DF1561">
      <w:pPr>
        <w:spacing w:line="480" w:lineRule="auto"/>
      </w:pPr>
    </w:p>
    <w:p w14:paraId="2AE7D1BC" w14:textId="77777777" w:rsidR="00026FB4" w:rsidRDefault="00E3162F">
      <w:pPr>
        <w:spacing w:before="360" w:after="120" w:line="480" w:lineRule="auto"/>
      </w:pPr>
      <w:r>
        <w:rPr>
          <w:b/>
          <w:bCs/>
          <w:i/>
          <w:iCs/>
        </w:rPr>
        <w:lastRenderedPageBreak/>
        <w:t>5.1 Data Minimization</w:t>
      </w:r>
    </w:p>
    <w:p w14:paraId="2AE7D1BD" w14:textId="541AE8AF" w:rsidR="00026FB4" w:rsidRDefault="00E3162F">
      <w:pPr>
        <w:spacing w:line="480" w:lineRule="auto"/>
        <w:ind w:firstLine="720"/>
        <w:jc w:val="both"/>
      </w:pPr>
      <w:r>
        <w:t>The ETL pipeline selects 17 of the 225 available columns in the USASpending.gov dataset</w:t>
      </w:r>
      <w:r w:rsidR="008F3E9D">
        <w:t>,</w:t>
      </w:r>
      <w:r>
        <w:t xml:space="preserve"> only those columns necessary for anomaly detection. No personally identifiable individual information, salary data, employee records, or sensitive organizational information is ingested or stored. The data minimization principle from the GDPR (European Parliament, 2016) is applied: data collected is adequate, relevant, and limited to what is necessary for the stated purpose.</w:t>
      </w:r>
    </w:p>
    <w:p w14:paraId="2AE7D1BE" w14:textId="77777777" w:rsidR="00026FB4" w:rsidRDefault="00026FB4">
      <w:pPr>
        <w:spacing w:line="480" w:lineRule="auto"/>
      </w:pPr>
    </w:p>
    <w:p w14:paraId="2AE7D1BF" w14:textId="77777777" w:rsidR="00026FB4" w:rsidRDefault="00E3162F">
      <w:pPr>
        <w:spacing w:before="360" w:after="120" w:line="480" w:lineRule="auto"/>
      </w:pPr>
      <w:r>
        <w:rPr>
          <w:b/>
          <w:bCs/>
          <w:i/>
          <w:iCs/>
        </w:rPr>
        <w:t>5.2 Vendor Information Protection</w:t>
      </w:r>
    </w:p>
    <w:p w14:paraId="2AE7D1C0" w14:textId="1D256912" w:rsidR="00026FB4" w:rsidRDefault="00E3162F">
      <w:pPr>
        <w:spacing w:line="480" w:lineRule="auto"/>
        <w:ind w:firstLine="720"/>
        <w:jc w:val="both"/>
      </w:pPr>
      <w:r>
        <w:t xml:space="preserve">Anomaly flags generated by IntegriScan are internal audit prioritization tools. Vendor names and contract details stored in the anomaly_flags table must not be shared externally, published, or communicated to vendors or the public without completion of a full, independent audit investigation confirming irregularities through non-algorithmic evidence. </w:t>
      </w:r>
      <w:r w:rsidR="00501AA8" w:rsidRPr="00501AA8">
        <w:t>Sharing unverified anomaly flags could cause unjust reputational harm to legitimate vendors, contrary to the accountability principles of the National Institute of Standards and Technology (2023) AI Risk Management Framework</w:t>
      </w:r>
      <w:r>
        <w:t>.</w:t>
      </w:r>
    </w:p>
    <w:p w14:paraId="2AE7D1C1" w14:textId="77777777" w:rsidR="00026FB4" w:rsidRDefault="00026FB4">
      <w:pPr>
        <w:spacing w:line="480" w:lineRule="auto"/>
      </w:pPr>
    </w:p>
    <w:p w14:paraId="2AE7D1C2" w14:textId="77777777" w:rsidR="00026FB4" w:rsidRDefault="00E3162F">
      <w:pPr>
        <w:spacing w:before="360" w:after="120" w:line="480" w:lineRule="auto"/>
      </w:pPr>
      <w:r>
        <w:rPr>
          <w:b/>
          <w:bCs/>
          <w:i/>
          <w:iCs/>
        </w:rPr>
        <w:t>5.3 Access Control and Data Security</w:t>
      </w:r>
    </w:p>
    <w:p w14:paraId="2AE7D1C3" w14:textId="0FED5DEA" w:rsidR="00026FB4" w:rsidRDefault="00006499">
      <w:pPr>
        <w:spacing w:line="480" w:lineRule="auto"/>
        <w:ind w:firstLine="720"/>
        <w:jc w:val="both"/>
      </w:pPr>
      <w:r w:rsidRPr="00006499">
        <w:t xml:space="preserve">Access to the IntegriScan dashboard and database is restricted through role-based access control enforced at both the Streamlit application and PostgreSQL database levels, aligned with OWASP A01:2025 Broken Access Control (OWASP Foundation, 2026). All access attempts are logged to the audit_log table with </w:t>
      </w:r>
      <w:r w:rsidR="00585108">
        <w:t xml:space="preserve">a </w:t>
      </w:r>
      <w:r w:rsidRPr="00006499">
        <w:t xml:space="preserve">timestamp and role identifier, aligned with OWASP A09:2025 Security Logging and Monitoring Failures (OWASP Foundation, 2026). Database credentials are </w:t>
      </w:r>
      <w:r w:rsidRPr="00006499">
        <w:lastRenderedPageBreak/>
        <w:t>stored in a .env file that is never committed to the GitHub repository, aligned with OWASP A02:2025 Cryptographic Failures (OWASP Foundation, 2026</w:t>
      </w:r>
      <w:r w:rsidR="00585108">
        <w:t>)</w:t>
      </w:r>
      <w:r w:rsidR="00E3162F">
        <w:t>.</w:t>
      </w:r>
    </w:p>
    <w:p w14:paraId="2AE7D1C4" w14:textId="77777777" w:rsidR="00026FB4" w:rsidRDefault="00026FB4">
      <w:pPr>
        <w:spacing w:line="480" w:lineRule="auto"/>
      </w:pPr>
    </w:p>
    <w:p w14:paraId="2AE7D1C5" w14:textId="77777777" w:rsidR="00026FB4" w:rsidRDefault="00E3162F">
      <w:pPr>
        <w:spacing w:before="360" w:after="120" w:line="480" w:lineRule="auto"/>
      </w:pPr>
      <w:r>
        <w:rPr>
          <w:b/>
          <w:bCs/>
          <w:i/>
          <w:iCs/>
        </w:rPr>
        <w:t>5.4 Data Retention</w:t>
      </w:r>
    </w:p>
    <w:p w14:paraId="2AE7D1C6" w14:textId="79473E4B" w:rsidR="00026FB4" w:rsidRDefault="009014E1">
      <w:pPr>
        <w:spacing w:line="480" w:lineRule="auto"/>
        <w:ind w:firstLine="720"/>
        <w:jc w:val="both"/>
      </w:pPr>
      <w:r w:rsidRPr="009014E1">
        <w:t>Procurement records and anomaly flags are retained for a minimum of seven years to support long-term audit investigations and historical pattern analysis. No procurement data or anomaly flag data is deleted without written authorization from the system administrator and documentation of the deletion rationale in the audit_log, consistent with the accountability principles of the National Institute of Standards and Technology (2023) AI Risk Management Framework</w:t>
      </w:r>
      <w:r w:rsidR="00E3162F">
        <w:t>.</w:t>
      </w:r>
    </w:p>
    <w:p w14:paraId="2AE7D1C7" w14:textId="77777777" w:rsidR="00026FB4" w:rsidRDefault="00E3162F">
      <w:pPr>
        <w:spacing w:before="480" w:after="240" w:line="480" w:lineRule="auto"/>
      </w:pPr>
      <w:r>
        <w:rPr>
          <w:b/>
          <w:bCs/>
        </w:rPr>
        <w:t>6. Acceptable and Prohibited Use</w:t>
      </w:r>
    </w:p>
    <w:p w14:paraId="2AE7D1C8" w14:textId="77777777" w:rsidR="00026FB4" w:rsidRDefault="00026FB4">
      <w:pPr>
        <w:spacing w:line="480" w:lineRule="auto"/>
      </w:pPr>
    </w:p>
    <w:p w14:paraId="2AE7D1C9" w14:textId="77777777" w:rsidR="00026FB4" w:rsidRDefault="00E3162F">
      <w:pPr>
        <w:spacing w:before="360" w:after="120" w:line="480" w:lineRule="auto"/>
      </w:pPr>
      <w:r>
        <w:rPr>
          <w:b/>
          <w:bCs/>
          <w:i/>
          <w:iCs/>
        </w:rPr>
        <w:t>6.1 Acceptable Use</w:t>
      </w:r>
    </w:p>
    <w:p w14:paraId="2AE7D1CA" w14:textId="0F2B14F7" w:rsidR="00026FB4" w:rsidRDefault="00E3162F">
      <w:pPr>
        <w:spacing w:line="480" w:lineRule="auto"/>
        <w:ind w:left="720"/>
      </w:pPr>
      <w:r>
        <w:t>• Using anomaly flags to prioritize which contracts to subject to detailed manual audit review</w:t>
      </w:r>
      <w:r w:rsidR="00C1016C">
        <w:t xml:space="preserve"> </w:t>
      </w:r>
      <w:r w:rsidR="00C1016C">
        <w:t>(Herreros-Martinez et al., 2025)</w:t>
      </w:r>
    </w:p>
    <w:p w14:paraId="2AE7D1CB" w14:textId="77777777" w:rsidR="00026FB4" w:rsidRDefault="00E3162F">
      <w:pPr>
        <w:spacing w:line="480" w:lineRule="auto"/>
        <w:ind w:left="720"/>
      </w:pPr>
      <w:r>
        <w:t>• Submitting actionability feedback (thumbs up/down) to help calibrate the system's detection accuracy</w:t>
      </w:r>
    </w:p>
    <w:p w14:paraId="2AE7D1CC" w14:textId="77777777" w:rsidR="00026FB4" w:rsidRDefault="00E3162F">
      <w:pPr>
        <w:spacing w:line="480" w:lineRule="auto"/>
        <w:ind w:left="720"/>
      </w:pPr>
      <w:r>
        <w:t>• Filtering and searching flagged contracts by agency, flag type, or anomaly score for audit planning</w:t>
      </w:r>
    </w:p>
    <w:p w14:paraId="2AE7D1CD" w14:textId="4F867A61" w:rsidR="00026FB4" w:rsidRDefault="00E3162F">
      <w:pPr>
        <w:spacing w:line="480" w:lineRule="auto"/>
        <w:ind w:left="720"/>
      </w:pPr>
      <w:r>
        <w:lastRenderedPageBreak/>
        <w:t>• Using the agency analysis charts to identify agencies with unusually high flag rates for resource allocation</w:t>
      </w:r>
      <w:r w:rsidR="007F4C41">
        <w:t xml:space="preserve"> </w:t>
      </w:r>
      <w:r w:rsidR="007F4C41" w:rsidRPr="007F4C41">
        <w:t>(OECD, 2025)</w:t>
      </w:r>
    </w:p>
    <w:p w14:paraId="2AE7D1CE" w14:textId="77777777" w:rsidR="00026FB4" w:rsidRDefault="00E3162F">
      <w:pPr>
        <w:spacing w:line="480" w:lineRule="auto"/>
        <w:ind w:left="720"/>
      </w:pPr>
      <w:r>
        <w:t>• Referencing IntegriScan outputs in internal audit planning documents as one source of risk intelligence</w:t>
      </w:r>
    </w:p>
    <w:p w14:paraId="2AE7D1CF" w14:textId="77777777" w:rsidR="00026FB4" w:rsidRDefault="00E3162F">
      <w:pPr>
        <w:spacing w:line="480" w:lineRule="auto"/>
        <w:ind w:left="720"/>
      </w:pPr>
      <w:r>
        <w:t>• Reporting system limitations, false positives, or potential bias patterns to the system administrator</w:t>
      </w:r>
    </w:p>
    <w:p w14:paraId="2AE7D1D0" w14:textId="77777777" w:rsidR="00026FB4" w:rsidRDefault="00026FB4">
      <w:pPr>
        <w:spacing w:line="480" w:lineRule="auto"/>
      </w:pPr>
    </w:p>
    <w:p w14:paraId="2AE7D1D1" w14:textId="77777777" w:rsidR="00026FB4" w:rsidRDefault="00E3162F">
      <w:pPr>
        <w:spacing w:before="360" w:after="120" w:line="480" w:lineRule="auto"/>
      </w:pPr>
      <w:r>
        <w:rPr>
          <w:b/>
          <w:bCs/>
          <w:i/>
          <w:iCs/>
        </w:rPr>
        <w:t>6.2 Prohibited Use</w:t>
      </w:r>
    </w:p>
    <w:p w14:paraId="2AE7D1D2" w14:textId="78B1EDC5" w:rsidR="00026FB4" w:rsidRDefault="00E3162F">
      <w:pPr>
        <w:spacing w:line="480" w:lineRule="auto"/>
        <w:ind w:left="720"/>
      </w:pPr>
      <w:r>
        <w:t>• Initiating administrative, legal, or disciplinary action against a vendor, agency, or individual based solely on an IntegriScan flag</w:t>
      </w:r>
      <w:r w:rsidR="003A4D7F" w:rsidRPr="003A4D7F">
        <w:t>, contrary to the human-in-the-loop principle of the National Institute of Standards and Technology (2023) AI Risk Management Framework</w:t>
      </w:r>
    </w:p>
    <w:p w14:paraId="2AE7D1D3" w14:textId="50538B00" w:rsidR="00026FB4" w:rsidRDefault="00E3162F">
      <w:pPr>
        <w:spacing w:line="480" w:lineRule="auto"/>
        <w:ind w:left="720"/>
      </w:pPr>
      <w:r>
        <w:t>• Sharing anomaly flag data, vendor names, or flagged contract details outside the authorized audit team without completed investigation</w:t>
      </w:r>
    </w:p>
    <w:p w14:paraId="2AE7D1D4" w14:textId="0E7A64F9" w:rsidR="00026FB4" w:rsidRDefault="00E3162F">
      <w:pPr>
        <w:spacing w:line="480" w:lineRule="auto"/>
        <w:ind w:left="720"/>
      </w:pPr>
      <w:r>
        <w:t xml:space="preserve">• Publishing or publicly disclosing anomaly flag data without authorization </w:t>
      </w:r>
      <w:r w:rsidR="00CF1F6E">
        <w:t xml:space="preserve">from </w:t>
      </w:r>
      <w:r>
        <w:t>the oversight body</w:t>
      </w:r>
      <w:r w:rsidR="00CF1F6E">
        <w:t xml:space="preserve">, </w:t>
      </w:r>
      <w:r w:rsidR="00CF1F6E">
        <w:t>contrary to the European Parliament and Council of the European Union (2016) data protection principles</w:t>
      </w:r>
    </w:p>
    <w:p w14:paraId="2AE7D1D5" w14:textId="77777777" w:rsidR="00026FB4" w:rsidRDefault="00E3162F">
      <w:pPr>
        <w:spacing w:line="480" w:lineRule="auto"/>
        <w:ind w:left="720"/>
      </w:pPr>
      <w:r>
        <w:t>• Using the system to target specific vendors, agencies, or geographic regions for selective scrutiny outside a documented risk-based audit framework</w:t>
      </w:r>
    </w:p>
    <w:p w14:paraId="2AE7D1D6" w14:textId="77777777" w:rsidR="00026FB4" w:rsidRDefault="00E3162F">
      <w:pPr>
        <w:spacing w:line="480" w:lineRule="auto"/>
        <w:ind w:left="720"/>
      </w:pPr>
      <w:r>
        <w:t>• Modifying the contamination threshold or other system parameters without documented justification and administrator authorization</w:t>
      </w:r>
    </w:p>
    <w:p w14:paraId="2AE7D1D7" w14:textId="77777777" w:rsidR="00026FB4" w:rsidRDefault="00E3162F">
      <w:pPr>
        <w:spacing w:line="480" w:lineRule="auto"/>
        <w:ind w:left="720"/>
      </w:pPr>
      <w:r>
        <w:t>• Attempting to reverse-engineer or circumvent the RBAC controls to access unauthorized system functions</w:t>
      </w:r>
    </w:p>
    <w:p w14:paraId="2AE7D1D8" w14:textId="77777777" w:rsidR="00026FB4" w:rsidRDefault="00E3162F">
      <w:pPr>
        <w:spacing w:line="480" w:lineRule="auto"/>
        <w:ind w:left="720"/>
      </w:pPr>
      <w:r>
        <w:lastRenderedPageBreak/>
        <w:t>• Using IntegriScan outputs as the sole or primary basis for vendor debarment, contract termination, or criminal referral</w:t>
      </w:r>
    </w:p>
    <w:p w14:paraId="2AE7D1D9" w14:textId="77777777" w:rsidR="00026FB4" w:rsidRDefault="00E3162F">
      <w:pPr>
        <w:spacing w:before="480" w:after="240" w:line="480" w:lineRule="auto"/>
      </w:pPr>
      <w:r>
        <w:rPr>
          <w:b/>
          <w:bCs/>
        </w:rPr>
        <w:t>7. Roles and Responsibilities</w:t>
      </w:r>
    </w:p>
    <w:p w14:paraId="2AE7D1DA" w14:textId="77777777" w:rsidR="00026FB4" w:rsidRDefault="00026FB4">
      <w:pPr>
        <w:spacing w:line="480" w:lineRule="auto"/>
      </w:pPr>
    </w:p>
    <w:p w14:paraId="2AE7D1DB" w14:textId="77777777" w:rsidR="00026FB4" w:rsidRDefault="00E3162F">
      <w:pPr>
        <w:spacing w:before="120" w:after="120"/>
        <w:jc w:val="center"/>
        <w:rPr>
          <w:b/>
          <w:bCs/>
          <w:sz w:val="20"/>
          <w:szCs w:val="20"/>
        </w:rPr>
      </w:pPr>
      <w:r>
        <w:rPr>
          <w:b/>
          <w:bCs/>
          <w:sz w:val="20"/>
          <w:szCs w:val="20"/>
        </w:rPr>
        <w:t>Table 7.1. System Roles and Ethical Responsibilities</w:t>
      </w:r>
    </w:p>
    <w:p w14:paraId="200E6E5F" w14:textId="77777777" w:rsidR="001D5E30" w:rsidRDefault="001D5E30">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26FB4" w14:paraId="2AE7D1DF"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DC" w14:textId="77777777" w:rsidR="00026FB4" w:rsidRDefault="00E3162F">
            <w:pPr>
              <w:jc w:val="center"/>
            </w:pPr>
            <w:r>
              <w:rPr>
                <w:b/>
                <w:bCs/>
                <w:color w:val="FFFFFF"/>
                <w:sz w:val="18"/>
                <w:szCs w:val="18"/>
              </w:rPr>
              <w:t>Role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DD" w14:textId="77777777" w:rsidR="00026FB4" w:rsidRDefault="00E3162F">
            <w:pPr>
              <w:jc w:val="center"/>
            </w:pPr>
            <w:r>
              <w:rPr>
                <w:b/>
                <w:bCs/>
                <w:color w:val="FFFFFF"/>
                <w:sz w:val="18"/>
                <w:szCs w:val="18"/>
              </w:rPr>
              <w:t>System Access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DE" w14:textId="77777777" w:rsidR="00026FB4" w:rsidRDefault="00E3162F">
            <w:pPr>
              <w:jc w:val="center"/>
            </w:pPr>
            <w:r>
              <w:rPr>
                <w:b/>
                <w:bCs/>
                <w:color w:val="FFFFFF"/>
                <w:sz w:val="18"/>
                <w:szCs w:val="18"/>
              </w:rPr>
              <w:t>Ethical Responsibilities</w:t>
            </w:r>
          </w:p>
        </w:tc>
      </w:tr>
      <w:tr w:rsidR="00026FB4" w14:paraId="2AE7D1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E0" w14:textId="77777777" w:rsidR="00026FB4" w:rsidRDefault="00E3162F">
            <w:r>
              <w:rPr>
                <w:sz w:val="18"/>
                <w:szCs w:val="18"/>
              </w:rPr>
              <w:t>Analyst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E1" w14:textId="77777777" w:rsidR="00026FB4" w:rsidRDefault="00E3162F">
            <w:r>
              <w:rPr>
                <w:sz w:val="18"/>
                <w:szCs w:val="18"/>
              </w:rPr>
              <w:t>Read-only dashboard access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E2" w14:textId="1DBAF90D" w:rsidR="00026FB4" w:rsidRDefault="00E3162F">
            <w:r>
              <w:rPr>
                <w:sz w:val="18"/>
                <w:szCs w:val="18"/>
              </w:rPr>
              <w:t>Review flags objectively; submit honest feedback; never act on flags without independent investigation; report bias concerns to administrator</w:t>
            </w:r>
            <w:r w:rsidR="00A75D61">
              <w:rPr>
                <w:sz w:val="18"/>
                <w:szCs w:val="18"/>
              </w:rPr>
              <w:t xml:space="preserve"> </w:t>
            </w:r>
            <w:r w:rsidR="00A75D61">
              <w:rPr>
                <w:sz w:val="18"/>
                <w:szCs w:val="18"/>
              </w:rPr>
              <w:t>(National Institute of Standards and Technology, 2023)</w:t>
            </w:r>
          </w:p>
        </w:tc>
      </w:tr>
      <w:tr w:rsidR="00026FB4" w14:paraId="2AE7D1E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E4" w14:textId="77777777" w:rsidR="00026FB4" w:rsidRDefault="00E3162F">
            <w:r>
              <w:rPr>
                <w:sz w:val="18"/>
                <w:szCs w:val="18"/>
              </w:rPr>
              <w:t>Administrator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E5" w14:textId="77777777" w:rsidR="00026FB4" w:rsidRDefault="00E3162F">
            <w:r>
              <w:rPr>
                <w:sz w:val="18"/>
                <w:szCs w:val="18"/>
              </w:rPr>
              <w:t>Read + write + configuration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E6" w14:textId="2755B211" w:rsidR="00026FB4" w:rsidRDefault="007F4130">
            <w:r>
              <w:rPr>
                <w:sz w:val="18"/>
                <w:szCs w:val="18"/>
              </w:rPr>
              <w:t>Document all parameter changes; review actionability rate monthly; conduct quarterly bias audits; maintain audit log integrity (OWASP Foundation, 2026)</w:t>
            </w:r>
          </w:p>
        </w:tc>
      </w:tr>
      <w:tr w:rsidR="00026FB4" w14:paraId="2AE7D1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E8" w14:textId="77777777" w:rsidR="00026FB4" w:rsidRDefault="00E3162F">
            <w:r>
              <w:rPr>
                <w:sz w:val="18"/>
                <w:szCs w:val="18"/>
              </w:rPr>
              <w:t>Oversight Body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E9" w14:textId="77777777" w:rsidR="00026FB4" w:rsidRDefault="00E3162F">
            <w:r>
              <w:rPr>
                <w:sz w:val="18"/>
                <w:szCs w:val="18"/>
              </w:rPr>
              <w:t>Policy governance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EA" w14:textId="7E6DFA0A" w:rsidR="00026FB4" w:rsidRDefault="00787C4D">
            <w:r>
              <w:rPr>
                <w:sz w:val="18"/>
                <w:szCs w:val="18"/>
              </w:rPr>
              <w:t>Ensure policy compliance; authorize external data sharing; review quarterly bias audit reports aligned with OECD (2025) procurement integrity framework</w:t>
            </w:r>
          </w:p>
        </w:tc>
      </w:tr>
      <w:tr w:rsidR="00026FB4" w14:paraId="2AE7D1E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EC" w14:textId="77777777" w:rsidR="00026FB4" w:rsidRDefault="00E3162F">
            <w:r>
              <w:rPr>
                <w:sz w:val="18"/>
                <w:szCs w:val="18"/>
              </w:rPr>
              <w:t>System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ED" w14:textId="77777777" w:rsidR="00026FB4" w:rsidRDefault="00E3162F">
            <w:r>
              <w:rPr>
                <w:sz w:val="18"/>
                <w:szCs w:val="18"/>
              </w:rPr>
              <w:t>Code and database access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EE" w14:textId="4637EAD7" w:rsidR="00026FB4" w:rsidRDefault="00331C73">
            <w:r>
              <w:rPr>
                <w:sz w:val="18"/>
                <w:szCs w:val="18"/>
              </w:rPr>
              <w:t>Document all algorithm changes; maintain test suite; update this policy when detection methodology changes (Letaw, 2024)</w:t>
            </w:r>
          </w:p>
        </w:tc>
      </w:tr>
    </w:tbl>
    <w:p w14:paraId="2AE7D1F0" w14:textId="7365EF74" w:rsidR="00026FB4" w:rsidRDefault="00E3162F">
      <w:pPr>
        <w:spacing w:before="480" w:after="240" w:line="480" w:lineRule="auto"/>
      </w:pPr>
      <w:r>
        <w:rPr>
          <w:b/>
          <w:bCs/>
        </w:rPr>
        <w:t>8. Anomaly Score Interpretation Guide</w:t>
      </w:r>
    </w:p>
    <w:p w14:paraId="2AE7D1F1" w14:textId="2C85055B" w:rsidR="00026FB4" w:rsidRDefault="00E3162F">
      <w:pPr>
        <w:spacing w:line="480" w:lineRule="auto"/>
        <w:ind w:firstLine="720"/>
        <w:jc w:val="both"/>
      </w:pPr>
      <w:r>
        <w:t>The IntegriScan system generates two anomaly scores per flagged contract</w:t>
      </w:r>
      <w:r w:rsidR="004743CB">
        <w:t>:</w:t>
      </w:r>
      <w:r>
        <w:t xml:space="preserve"> the Isolation Forest score and the z-score deviation. </w:t>
      </w:r>
      <w:r w:rsidR="00EB2F49" w:rsidRPr="00EB2F49">
        <w:t>These scores must always be interpreted together with the plain-language risk factor explanation, consistent with the explainability principle of the National Institute of Standards and Technology (2023) AI Risk Management Framework, which requires that AI system outputs be interpretable by their intended human users. Letaw (2024) further argues that non-technical decision-makers must be able to understand the reasoning behind algorithmic outputs in domain-relevant language.</w:t>
      </w:r>
    </w:p>
    <w:p w14:paraId="2AE7D1F2" w14:textId="77777777" w:rsidR="00026FB4" w:rsidRDefault="00026FB4">
      <w:pPr>
        <w:spacing w:line="480" w:lineRule="auto"/>
      </w:pPr>
    </w:p>
    <w:p w14:paraId="74812C37" w14:textId="77777777" w:rsidR="00DC6FC1" w:rsidRDefault="00DC6FC1">
      <w:pPr>
        <w:spacing w:line="480" w:lineRule="auto"/>
      </w:pPr>
    </w:p>
    <w:p w14:paraId="416E8B46" w14:textId="77777777" w:rsidR="00DC6FC1" w:rsidRDefault="00DC6FC1">
      <w:pPr>
        <w:spacing w:line="480" w:lineRule="auto"/>
      </w:pPr>
    </w:p>
    <w:p w14:paraId="2AE7D1F3" w14:textId="77777777" w:rsidR="00026FB4" w:rsidRDefault="00E3162F">
      <w:pPr>
        <w:spacing w:before="120" w:after="120"/>
        <w:jc w:val="center"/>
        <w:rPr>
          <w:b/>
          <w:bCs/>
          <w:sz w:val="20"/>
          <w:szCs w:val="20"/>
        </w:rPr>
      </w:pPr>
      <w:r>
        <w:rPr>
          <w:b/>
          <w:bCs/>
          <w:sz w:val="20"/>
          <w:szCs w:val="20"/>
        </w:rPr>
        <w:t>Table 8.1. Isolation Forest Score Interpretation</w:t>
      </w:r>
    </w:p>
    <w:p w14:paraId="19C393CE" w14:textId="77777777" w:rsidR="00DC6FC1" w:rsidRDefault="00DC6FC1">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026FB4" w14:paraId="2AE7D1F7"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F4" w14:textId="77777777" w:rsidR="00026FB4" w:rsidRDefault="00E3162F">
            <w:pPr>
              <w:jc w:val="center"/>
            </w:pPr>
            <w:r>
              <w:rPr>
                <w:b/>
                <w:bCs/>
                <w:color w:val="FFFFFF"/>
                <w:sz w:val="18"/>
                <w:szCs w:val="18"/>
              </w:rPr>
              <w:t>IF Score Range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F5" w14:textId="77777777" w:rsidR="00026FB4" w:rsidRDefault="00E3162F">
            <w:pPr>
              <w:jc w:val="center"/>
            </w:pPr>
            <w:r>
              <w:rPr>
                <w:b/>
                <w:bCs/>
                <w:color w:val="FFFFFF"/>
                <w:sz w:val="18"/>
                <w:szCs w:val="18"/>
              </w:rPr>
              <w:t>Severity</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1F6" w14:textId="77777777" w:rsidR="00026FB4" w:rsidRDefault="00E3162F">
            <w:pPr>
              <w:jc w:val="center"/>
            </w:pPr>
            <w:r>
              <w:rPr>
                <w:b/>
                <w:bCs/>
                <w:color w:val="FFFFFF"/>
                <w:sz w:val="18"/>
                <w:szCs w:val="18"/>
              </w:rPr>
              <w:t>Interpretation for Auditors</w:t>
            </w:r>
          </w:p>
        </w:tc>
      </w:tr>
      <w:tr w:rsidR="00026FB4" w14:paraId="2AE7D1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F8" w14:textId="77777777" w:rsidR="00026FB4" w:rsidRDefault="00E3162F">
            <w:r>
              <w:rPr>
                <w:sz w:val="18"/>
                <w:szCs w:val="18"/>
              </w:rPr>
              <w:t>0.0 to -0.3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F9" w14:textId="77777777" w:rsidR="00026FB4" w:rsidRDefault="00E3162F">
            <w:r>
              <w:rPr>
                <w:sz w:val="18"/>
                <w:szCs w:val="18"/>
              </w:rPr>
              <w:t>Mild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1FA" w14:textId="25569B63" w:rsidR="00026FB4" w:rsidRDefault="00E3162F">
            <w:r>
              <w:rPr>
                <w:sz w:val="18"/>
                <w:szCs w:val="18"/>
              </w:rPr>
              <w:t>Slight deviation from normal patterns</w:t>
            </w:r>
            <w:r w:rsidR="00E224A0">
              <w:rPr>
                <w:sz w:val="18"/>
                <w:szCs w:val="18"/>
              </w:rPr>
              <w:t>:</w:t>
            </w:r>
            <w:r>
              <w:rPr>
                <w:sz w:val="18"/>
                <w:szCs w:val="18"/>
              </w:rPr>
              <w:t xml:space="preserve"> lowest priority for investigation</w:t>
            </w:r>
          </w:p>
        </w:tc>
      </w:tr>
      <w:tr w:rsidR="00026FB4" w14:paraId="2AE7D1F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FC" w14:textId="77777777" w:rsidR="00026FB4" w:rsidRDefault="00E3162F">
            <w:r>
              <w:rPr>
                <w:sz w:val="18"/>
                <w:szCs w:val="18"/>
              </w:rPr>
              <w:t>-0.3 to -0.5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FD" w14:textId="77777777" w:rsidR="00026FB4" w:rsidRDefault="00E3162F">
            <w:r>
              <w:rPr>
                <w:sz w:val="18"/>
                <w:szCs w:val="18"/>
              </w:rPr>
              <w:t>Moderate</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1FE" w14:textId="54CE2473" w:rsidR="00026FB4" w:rsidRDefault="00E3162F">
            <w:r>
              <w:rPr>
                <w:sz w:val="18"/>
                <w:szCs w:val="18"/>
              </w:rPr>
              <w:t>Notable anomaly signal</w:t>
            </w:r>
            <w:r w:rsidR="00E224A0">
              <w:rPr>
                <w:sz w:val="18"/>
                <w:szCs w:val="18"/>
              </w:rPr>
              <w:t>:</w:t>
            </w:r>
            <w:r>
              <w:rPr>
                <w:sz w:val="18"/>
                <w:szCs w:val="18"/>
              </w:rPr>
              <w:t xml:space="preserve"> review in conjunction with other risk factors</w:t>
            </w:r>
            <w:r w:rsidR="00B03775">
              <w:rPr>
                <w:sz w:val="18"/>
                <w:szCs w:val="18"/>
              </w:rPr>
              <w:t xml:space="preserve"> </w:t>
            </w:r>
            <w:r w:rsidR="00B03775">
              <w:rPr>
                <w:sz w:val="18"/>
                <w:szCs w:val="18"/>
              </w:rPr>
              <w:t>(Herreros-Martinez et al., 2025)</w:t>
            </w:r>
          </w:p>
        </w:tc>
      </w:tr>
      <w:tr w:rsidR="00026FB4" w14:paraId="2AE7D2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00" w14:textId="77777777" w:rsidR="00026FB4" w:rsidRDefault="00E3162F">
            <w:r>
              <w:rPr>
                <w:sz w:val="18"/>
                <w:szCs w:val="18"/>
              </w:rPr>
              <w:t>-0.5 to -0.7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01" w14:textId="77777777" w:rsidR="00026FB4" w:rsidRDefault="00E3162F">
            <w:r>
              <w:rPr>
                <w:sz w:val="18"/>
                <w:szCs w:val="18"/>
              </w:rPr>
              <w:t>Strong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02" w14:textId="399926A8" w:rsidR="00026FB4" w:rsidRDefault="00E3162F">
            <w:r>
              <w:rPr>
                <w:sz w:val="18"/>
                <w:szCs w:val="18"/>
              </w:rPr>
              <w:t>Significant anomaly</w:t>
            </w:r>
            <w:r w:rsidR="00E224A0">
              <w:rPr>
                <w:sz w:val="18"/>
                <w:szCs w:val="18"/>
              </w:rPr>
              <w:t>:</w:t>
            </w:r>
            <w:r>
              <w:rPr>
                <w:sz w:val="18"/>
                <w:szCs w:val="18"/>
              </w:rPr>
              <w:t xml:space="preserve"> recommend detailed review; check vendor history and comparable contracts</w:t>
            </w:r>
          </w:p>
        </w:tc>
      </w:tr>
      <w:tr w:rsidR="00026FB4" w14:paraId="2AE7D20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04" w14:textId="77777777" w:rsidR="00026FB4" w:rsidRDefault="00E3162F">
            <w:r>
              <w:rPr>
                <w:sz w:val="18"/>
                <w:szCs w:val="18"/>
              </w:rPr>
              <w:t>Below -0.7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05" w14:textId="77777777" w:rsidR="00026FB4" w:rsidRDefault="00E3162F">
            <w:r>
              <w:rPr>
                <w:sz w:val="18"/>
                <w:szCs w:val="18"/>
              </w:rPr>
              <w:t>Extreme</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06" w14:textId="0172690E" w:rsidR="00026FB4" w:rsidRDefault="00E3162F">
            <w:r>
              <w:rPr>
                <w:sz w:val="18"/>
                <w:szCs w:val="18"/>
              </w:rPr>
              <w:t>Very strong anomaly signal</w:t>
            </w:r>
            <w:r w:rsidR="00E224A0">
              <w:rPr>
                <w:sz w:val="18"/>
                <w:szCs w:val="18"/>
              </w:rPr>
              <w:t>:</w:t>
            </w:r>
            <w:r>
              <w:rPr>
                <w:sz w:val="18"/>
                <w:szCs w:val="18"/>
              </w:rPr>
              <w:t xml:space="preserve"> highest priority for investigation; escalate to senior auditor</w:t>
            </w:r>
            <w:r w:rsidR="00F271E3">
              <w:rPr>
                <w:sz w:val="18"/>
                <w:szCs w:val="18"/>
              </w:rPr>
              <w:t xml:space="preserve"> </w:t>
            </w:r>
            <w:r w:rsidR="00F271E3">
              <w:rPr>
                <w:sz w:val="18"/>
                <w:szCs w:val="18"/>
              </w:rPr>
              <w:t>(Herreros-Martinez et al., 2025)</w:t>
            </w:r>
          </w:p>
        </w:tc>
      </w:tr>
    </w:tbl>
    <w:p w14:paraId="2AE7D208" w14:textId="77777777" w:rsidR="00026FB4" w:rsidRDefault="00026FB4">
      <w:pPr>
        <w:spacing w:line="480" w:lineRule="auto"/>
      </w:pPr>
    </w:p>
    <w:p w14:paraId="2AE7D209" w14:textId="77777777" w:rsidR="00026FB4" w:rsidRDefault="00E3162F">
      <w:pPr>
        <w:spacing w:before="120" w:after="120"/>
        <w:jc w:val="center"/>
        <w:rPr>
          <w:b/>
          <w:bCs/>
          <w:sz w:val="20"/>
          <w:szCs w:val="20"/>
        </w:rPr>
      </w:pPr>
      <w:r>
        <w:rPr>
          <w:b/>
          <w:bCs/>
          <w:sz w:val="20"/>
          <w:szCs w:val="20"/>
        </w:rPr>
        <w:t>Table 8.2. Z-Score Deviation Interpretation</w:t>
      </w:r>
    </w:p>
    <w:p w14:paraId="3BBFAE78" w14:textId="77777777" w:rsidR="00DC6FC1" w:rsidRDefault="00DC6FC1">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026FB4" w14:paraId="2AE7D20D"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0A" w14:textId="77777777" w:rsidR="00026FB4" w:rsidRDefault="00E3162F">
            <w:pPr>
              <w:jc w:val="center"/>
            </w:pPr>
            <w:r>
              <w:rPr>
                <w:b/>
                <w:bCs/>
                <w:color w:val="FFFFFF"/>
                <w:sz w:val="18"/>
                <w:szCs w:val="18"/>
              </w:rPr>
              <w:t>Z-Score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0B" w14:textId="77777777" w:rsidR="00026FB4" w:rsidRDefault="00E3162F">
            <w:pPr>
              <w:jc w:val="center"/>
            </w:pPr>
            <w:r>
              <w:rPr>
                <w:b/>
                <w:bCs/>
                <w:color w:val="FFFFFF"/>
                <w:sz w:val="18"/>
                <w:szCs w:val="18"/>
              </w:rPr>
              <w:t>Meaning</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0C" w14:textId="77777777" w:rsidR="00026FB4" w:rsidRDefault="00E3162F">
            <w:pPr>
              <w:jc w:val="center"/>
            </w:pPr>
            <w:r>
              <w:rPr>
                <w:b/>
                <w:bCs/>
                <w:color w:val="FFFFFF"/>
                <w:sz w:val="18"/>
                <w:szCs w:val="18"/>
              </w:rPr>
              <w:t>Interpretation for Auditors</w:t>
            </w:r>
          </w:p>
        </w:tc>
      </w:tr>
      <w:tr w:rsidR="00026FB4" w14:paraId="2AE7D2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0E" w14:textId="77777777" w:rsidR="00026FB4" w:rsidRDefault="00E3162F">
            <w:r>
              <w:rPr>
                <w:sz w:val="18"/>
                <w:szCs w:val="18"/>
              </w:rPr>
              <w:t>0 to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0F" w14:textId="77777777" w:rsidR="00026FB4" w:rsidRDefault="00E3162F">
            <w:r>
              <w:rPr>
                <w:sz w:val="18"/>
                <w:szCs w:val="18"/>
              </w:rPr>
              <w:t>Normal range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10" w14:textId="160E5AE5" w:rsidR="00026FB4" w:rsidRDefault="00E3162F">
            <w:r>
              <w:rPr>
                <w:sz w:val="18"/>
                <w:szCs w:val="18"/>
              </w:rPr>
              <w:t>Contract value within expected range for this industry category</w:t>
            </w:r>
            <w:r w:rsidR="001122A3">
              <w:rPr>
                <w:sz w:val="18"/>
                <w:szCs w:val="18"/>
              </w:rPr>
              <w:t>;</w:t>
            </w:r>
            <w:r>
              <w:rPr>
                <w:sz w:val="18"/>
                <w:szCs w:val="18"/>
              </w:rPr>
              <w:t xml:space="preserve"> not a price outlier</w:t>
            </w:r>
            <w:r w:rsidR="00387116">
              <w:rPr>
                <w:sz w:val="18"/>
                <w:szCs w:val="18"/>
              </w:rPr>
              <w:t xml:space="preserve"> </w:t>
            </w:r>
            <w:r w:rsidR="00387116">
              <w:rPr>
                <w:sz w:val="18"/>
                <w:szCs w:val="18"/>
              </w:rPr>
              <w:t>(Letaw, 2024)</w:t>
            </w:r>
          </w:p>
        </w:tc>
      </w:tr>
      <w:tr w:rsidR="00026FB4" w14:paraId="2AE7D21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12" w14:textId="77777777" w:rsidR="00026FB4" w:rsidRDefault="00E3162F">
            <w:r>
              <w:rPr>
                <w:sz w:val="18"/>
                <w:szCs w:val="18"/>
              </w:rPr>
              <w:t>3 to 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13" w14:textId="77777777" w:rsidR="00026FB4" w:rsidRDefault="00E3162F">
            <w:r>
              <w:rPr>
                <w:sz w:val="18"/>
                <w:szCs w:val="18"/>
              </w:rPr>
              <w:t>Mild outlier</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14" w14:textId="703B4B25" w:rsidR="00026FB4" w:rsidRDefault="00E3162F">
            <w:r>
              <w:rPr>
                <w:sz w:val="18"/>
                <w:szCs w:val="18"/>
              </w:rPr>
              <w:t>Contract value 3-5 standard deviations above category mean</w:t>
            </w:r>
            <w:r w:rsidR="001122A3">
              <w:rPr>
                <w:sz w:val="18"/>
                <w:szCs w:val="18"/>
              </w:rPr>
              <w:t>;</w:t>
            </w:r>
            <w:r>
              <w:rPr>
                <w:sz w:val="18"/>
                <w:szCs w:val="18"/>
              </w:rPr>
              <w:t xml:space="preserve"> notable but not extreme</w:t>
            </w:r>
          </w:p>
        </w:tc>
      </w:tr>
      <w:tr w:rsidR="00026FB4" w14:paraId="2AE7D2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16" w14:textId="77777777" w:rsidR="00026FB4" w:rsidRDefault="00E3162F">
            <w:r>
              <w:rPr>
                <w:sz w:val="18"/>
                <w:szCs w:val="18"/>
              </w:rPr>
              <w:t>5 to 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17" w14:textId="77777777" w:rsidR="00026FB4" w:rsidRDefault="00E3162F">
            <w:r>
              <w:rPr>
                <w:sz w:val="18"/>
                <w:szCs w:val="18"/>
              </w:rPr>
              <w:t>Significant outlier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18" w14:textId="16AF4324" w:rsidR="00026FB4" w:rsidRDefault="00E3162F">
            <w:r>
              <w:rPr>
                <w:sz w:val="18"/>
                <w:szCs w:val="18"/>
              </w:rPr>
              <w:t>Contract value 5-10 standard deviations above mean</w:t>
            </w:r>
            <w:r w:rsidR="001122A3">
              <w:rPr>
                <w:sz w:val="18"/>
                <w:szCs w:val="18"/>
              </w:rPr>
              <w:t>;</w:t>
            </w:r>
            <w:r>
              <w:rPr>
                <w:sz w:val="18"/>
                <w:szCs w:val="18"/>
              </w:rPr>
              <w:t xml:space="preserve"> significant price premium requiring explanation</w:t>
            </w:r>
            <w:r w:rsidR="004C5A79">
              <w:rPr>
                <w:sz w:val="18"/>
                <w:szCs w:val="18"/>
              </w:rPr>
              <w:t xml:space="preserve"> </w:t>
            </w:r>
            <w:r w:rsidR="004C5A79">
              <w:rPr>
                <w:sz w:val="18"/>
                <w:szCs w:val="18"/>
              </w:rPr>
              <w:t>(OECD, 2025)</w:t>
            </w:r>
          </w:p>
        </w:tc>
      </w:tr>
      <w:tr w:rsidR="00026FB4" w14:paraId="2AE7D21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1A" w14:textId="77777777" w:rsidR="00026FB4" w:rsidRDefault="00E3162F">
            <w:r>
              <w:rPr>
                <w:sz w:val="18"/>
                <w:szCs w:val="18"/>
              </w:rPr>
              <w:t>Above 10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1B" w14:textId="77777777" w:rsidR="00026FB4" w:rsidRDefault="00E3162F">
            <w:r>
              <w:rPr>
                <w:sz w:val="18"/>
                <w:szCs w:val="18"/>
              </w:rPr>
              <w:t>Extreme outlier</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1C" w14:textId="062A4861" w:rsidR="00026FB4" w:rsidRDefault="00E3162F">
            <w:r>
              <w:rPr>
                <w:sz w:val="18"/>
                <w:szCs w:val="18"/>
              </w:rPr>
              <w:t>Contract value more than 10 standard deviations above mean</w:t>
            </w:r>
            <w:r w:rsidR="001122A3">
              <w:rPr>
                <w:sz w:val="18"/>
                <w:szCs w:val="18"/>
              </w:rPr>
              <w:t>;</w:t>
            </w:r>
            <w:r>
              <w:rPr>
                <w:sz w:val="18"/>
                <w:szCs w:val="18"/>
              </w:rPr>
              <w:t xml:space="preserve"> extremely unusual; highest priority</w:t>
            </w:r>
          </w:p>
        </w:tc>
      </w:tr>
    </w:tbl>
    <w:p w14:paraId="2AE7D21E" w14:textId="77777777" w:rsidR="00026FB4" w:rsidRDefault="00026FB4">
      <w:pPr>
        <w:spacing w:line="480" w:lineRule="auto"/>
      </w:pPr>
    </w:p>
    <w:p w14:paraId="2AE7D21F" w14:textId="77777777" w:rsidR="00026FB4" w:rsidRDefault="00E3162F">
      <w:pPr>
        <w:spacing w:line="480" w:lineRule="auto"/>
        <w:ind w:firstLine="720"/>
        <w:jc w:val="both"/>
      </w:pPr>
      <w:r>
        <w:t>Important: These scores must always be interpreted together with the plain-language risk factor explanation displayed in the expandable panel on the dashboard. A high z-score combined with a low Isolation Forest score may reflect a legitimate large contract in a category with high variance. A moderate Isolation Forest score combined with a year-end timing flag may represent a higher risk than the individual scores suggest. No single score should be treated as definitive in isolation.</w:t>
      </w:r>
    </w:p>
    <w:p w14:paraId="6EDAC63A" w14:textId="77777777" w:rsidR="00073326" w:rsidRDefault="00073326">
      <w:pPr>
        <w:spacing w:before="480" w:after="240" w:line="480" w:lineRule="auto"/>
        <w:rPr>
          <w:b/>
          <w:bCs/>
        </w:rPr>
      </w:pPr>
    </w:p>
    <w:p w14:paraId="6EB41A52" w14:textId="77777777" w:rsidR="00073326" w:rsidRDefault="00073326">
      <w:pPr>
        <w:spacing w:before="480" w:after="240" w:line="480" w:lineRule="auto"/>
        <w:rPr>
          <w:b/>
          <w:bCs/>
        </w:rPr>
      </w:pPr>
    </w:p>
    <w:p w14:paraId="2AE7D220" w14:textId="59F387F8" w:rsidR="00026FB4" w:rsidRDefault="00E3162F">
      <w:pPr>
        <w:spacing w:before="480" w:after="240" w:line="480" w:lineRule="auto"/>
      </w:pPr>
      <w:r>
        <w:rPr>
          <w:b/>
          <w:bCs/>
        </w:rPr>
        <w:t>9. Policy Governance and Review Schedule</w:t>
      </w:r>
    </w:p>
    <w:p w14:paraId="2AE7D221" w14:textId="2345B222" w:rsidR="00026FB4" w:rsidRDefault="009C6AD8">
      <w:pPr>
        <w:spacing w:line="480" w:lineRule="auto"/>
        <w:ind w:firstLine="720"/>
        <w:jc w:val="both"/>
      </w:pPr>
      <w:r w:rsidRPr="009C6AD8">
        <w:t>This policy must be updated whenever significant changes are made to the IntegriScan system's detection algorithms, data sources, user roles, or deployment environment, consistent with the ongoing monitoring requirements of the National Institute of Standards and Technology (2023) AI Risk Management Framework MANAGE function. The OECD (2025) recommends that procurement oversight bodies establish formal review cycles for their analytical tools to ensure alignment with evolving procurement risk patterns</w:t>
      </w:r>
      <w:r w:rsidR="00E3162F">
        <w:t>.</w:t>
      </w:r>
    </w:p>
    <w:p w14:paraId="2AE7D222" w14:textId="77777777" w:rsidR="00026FB4" w:rsidRDefault="00026FB4">
      <w:pPr>
        <w:spacing w:line="480" w:lineRule="auto"/>
      </w:pPr>
    </w:p>
    <w:p w14:paraId="2AE7D223" w14:textId="77777777" w:rsidR="00026FB4" w:rsidRDefault="00E3162F">
      <w:pPr>
        <w:spacing w:before="120" w:after="120"/>
        <w:jc w:val="center"/>
        <w:rPr>
          <w:b/>
          <w:bCs/>
          <w:sz w:val="20"/>
          <w:szCs w:val="20"/>
        </w:rPr>
      </w:pPr>
      <w:r>
        <w:rPr>
          <w:b/>
          <w:bCs/>
          <w:sz w:val="20"/>
          <w:szCs w:val="20"/>
        </w:rPr>
        <w:t>Table 9.1. Policy Review Schedule</w:t>
      </w:r>
    </w:p>
    <w:p w14:paraId="6D118499" w14:textId="77777777" w:rsidR="00EA6CBF" w:rsidRDefault="00EA6CBF">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026FB4" w14:paraId="2AE7D228"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24" w14:textId="77777777" w:rsidR="00026FB4" w:rsidRDefault="00E3162F">
            <w:pPr>
              <w:jc w:val="center"/>
            </w:pPr>
            <w:r>
              <w:rPr>
                <w:b/>
                <w:bCs/>
                <w:color w:val="FFFFFF"/>
                <w:sz w:val="18"/>
                <w:szCs w:val="18"/>
              </w:rPr>
              <w:t>Frequency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25" w14:textId="77777777" w:rsidR="00026FB4" w:rsidRDefault="00E3162F">
            <w:pPr>
              <w:jc w:val="center"/>
            </w:pPr>
            <w:r>
              <w:rPr>
                <w:b/>
                <w:bCs/>
                <w:color w:val="FFFFFF"/>
                <w:sz w:val="18"/>
                <w:szCs w:val="18"/>
              </w:rPr>
              <w:t>Review Type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26" w14:textId="77777777" w:rsidR="00026FB4" w:rsidRDefault="00E3162F">
            <w:pPr>
              <w:jc w:val="center"/>
            </w:pPr>
            <w:r>
              <w:rPr>
                <w:b/>
                <w:bCs/>
                <w:color w:val="FFFFFF"/>
                <w:sz w:val="18"/>
                <w:szCs w:val="18"/>
              </w:rPr>
              <w:t>Conducted By</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27" w14:textId="77777777" w:rsidR="00026FB4" w:rsidRDefault="00E3162F">
            <w:pPr>
              <w:jc w:val="center"/>
            </w:pPr>
            <w:r>
              <w:rPr>
                <w:b/>
                <w:bCs/>
                <w:color w:val="FFFFFF"/>
                <w:sz w:val="18"/>
                <w:szCs w:val="18"/>
              </w:rPr>
              <w:t>Output</w:t>
            </w:r>
          </w:p>
        </w:tc>
      </w:tr>
      <w:tr w:rsidR="00026FB4" w14:paraId="2AE7D2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29" w14:textId="77777777" w:rsidR="00026FB4" w:rsidRDefault="00E3162F">
            <w:r>
              <w:rPr>
                <w:sz w:val="18"/>
                <w:szCs w:val="18"/>
              </w:rPr>
              <w:t>Quarterly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2A" w14:textId="77777777" w:rsidR="00026FB4" w:rsidRDefault="00E3162F">
            <w:r>
              <w:rPr>
                <w:sz w:val="18"/>
                <w:szCs w:val="18"/>
              </w:rPr>
              <w:t>Actionability rate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2B" w14:textId="77777777" w:rsidR="00026FB4" w:rsidRDefault="00E3162F">
            <w:r>
              <w:rPr>
                <w:sz w:val="18"/>
                <w:szCs w:val="18"/>
              </w:rPr>
              <w:t>Administrator + Auditor Lead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2C" w14:textId="0EABBEC0" w:rsidR="00026FB4" w:rsidRDefault="00E3162F">
            <w:r>
              <w:rPr>
                <w:sz w:val="18"/>
                <w:szCs w:val="18"/>
              </w:rPr>
              <w:t>Flag type performance report; threshold adjustment if needed</w:t>
            </w:r>
            <w:r w:rsidR="005B491C">
              <w:rPr>
                <w:sz w:val="18"/>
                <w:szCs w:val="18"/>
              </w:rPr>
              <w:t xml:space="preserve"> </w:t>
            </w:r>
            <w:r w:rsidR="005B491C">
              <w:rPr>
                <w:sz w:val="18"/>
                <w:szCs w:val="18"/>
              </w:rPr>
              <w:t>(Herreros-Martinez et al., 2025)</w:t>
            </w:r>
          </w:p>
        </w:tc>
      </w:tr>
      <w:tr w:rsidR="00026FB4" w14:paraId="2AE7D23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2E" w14:textId="77777777" w:rsidR="00026FB4" w:rsidRDefault="00E3162F">
            <w:r>
              <w:rPr>
                <w:sz w:val="18"/>
                <w:szCs w:val="18"/>
              </w:rPr>
              <w:t>Quarterly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2F" w14:textId="77777777" w:rsidR="00026FB4" w:rsidRDefault="00E3162F">
            <w:r>
              <w:rPr>
                <w:sz w:val="18"/>
                <w:szCs w:val="18"/>
              </w:rPr>
              <w:t>Bias audit by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30" w14:textId="77777777" w:rsidR="00026FB4" w:rsidRDefault="00E3162F">
            <w:r>
              <w:rPr>
                <w:sz w:val="18"/>
                <w:szCs w:val="18"/>
              </w:rPr>
              <w:t>Administrator</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31" w14:textId="3288AF41" w:rsidR="00026FB4" w:rsidRDefault="002B7F3F">
            <w:r>
              <w:rPr>
                <w:sz w:val="18"/>
                <w:szCs w:val="18"/>
              </w:rPr>
              <w:t>Flag rate by NAICS, agency, region (National Institute of Standards and Technology, 2023)</w:t>
            </w:r>
          </w:p>
        </w:tc>
      </w:tr>
      <w:tr w:rsidR="00026FB4" w14:paraId="2AE7D2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33" w14:textId="77777777" w:rsidR="00026FB4" w:rsidRDefault="00E3162F">
            <w:r>
              <w:rPr>
                <w:sz w:val="18"/>
                <w:szCs w:val="18"/>
              </w:rPr>
              <w:t>Annually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34" w14:textId="77777777" w:rsidR="00026FB4" w:rsidRDefault="00E3162F">
            <w:r>
              <w:rPr>
                <w:sz w:val="18"/>
                <w:szCs w:val="18"/>
              </w:rPr>
              <w:t>Full policy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35" w14:textId="77777777" w:rsidR="00026FB4" w:rsidRDefault="00E3162F">
            <w:r>
              <w:rPr>
                <w:sz w:val="18"/>
                <w:szCs w:val="18"/>
              </w:rPr>
              <w:t>Oversight Body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36" w14:textId="2170B1B5" w:rsidR="00026FB4" w:rsidRDefault="00E3162F">
            <w:r>
              <w:rPr>
                <w:sz w:val="18"/>
                <w:szCs w:val="18"/>
              </w:rPr>
              <w:t>Updated policy version; user re-acknowledgement required</w:t>
            </w:r>
            <w:r w:rsidR="00A71C87">
              <w:rPr>
                <w:sz w:val="18"/>
                <w:szCs w:val="18"/>
              </w:rPr>
              <w:t xml:space="preserve"> </w:t>
            </w:r>
            <w:r w:rsidR="00A71C87">
              <w:rPr>
                <w:sz w:val="18"/>
                <w:szCs w:val="18"/>
              </w:rPr>
              <w:t>(OECD, 2025)</w:t>
            </w:r>
          </w:p>
        </w:tc>
      </w:tr>
      <w:tr w:rsidR="00026FB4" w14:paraId="2AE7D23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38" w14:textId="77777777" w:rsidR="00026FB4" w:rsidRDefault="00E3162F">
            <w:r>
              <w:rPr>
                <w:sz w:val="18"/>
                <w:szCs w:val="18"/>
              </w:rPr>
              <w:t>On change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39" w14:textId="77777777" w:rsidR="00026FB4" w:rsidRDefault="00E3162F">
            <w:r>
              <w:rPr>
                <w:sz w:val="18"/>
                <w:szCs w:val="18"/>
              </w:rPr>
              <w:t>Algorithm change review</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3A" w14:textId="77777777" w:rsidR="00026FB4" w:rsidRDefault="00E3162F">
            <w:r>
              <w:rPr>
                <w:sz w:val="18"/>
                <w:szCs w:val="18"/>
              </w:rPr>
              <w:t>Developer + Oversight Body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3B" w14:textId="4D25DE7C" w:rsidR="00026FB4" w:rsidRDefault="003C094A">
            <w:r>
              <w:rPr>
                <w:sz w:val="18"/>
                <w:szCs w:val="18"/>
              </w:rPr>
              <w:t>Updated policy sections; new bias analysis (Letaw, 2024)</w:t>
            </w:r>
          </w:p>
        </w:tc>
      </w:tr>
      <w:tr w:rsidR="00026FB4" w14:paraId="2AE7D2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3D" w14:textId="77777777" w:rsidR="00026FB4" w:rsidRDefault="00E3162F">
            <w:r>
              <w:rPr>
                <w:sz w:val="18"/>
                <w:szCs w:val="18"/>
              </w:rPr>
              <w:t>On incident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3E" w14:textId="77777777" w:rsidR="00026FB4" w:rsidRDefault="00E3162F">
            <w:r>
              <w:rPr>
                <w:sz w:val="18"/>
                <w:szCs w:val="18"/>
              </w:rPr>
              <w:t>False positive incident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3F" w14:textId="77777777" w:rsidR="00026FB4" w:rsidRDefault="00E3162F">
            <w:r>
              <w:rPr>
                <w:sz w:val="18"/>
                <w:szCs w:val="18"/>
              </w:rPr>
              <w:t>Administrator + Analyst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40" w14:textId="79768EEE" w:rsidR="00026FB4" w:rsidRDefault="00B84826">
            <w:r>
              <w:rPr>
                <w:sz w:val="18"/>
                <w:szCs w:val="18"/>
              </w:rPr>
              <w:t>Incident report; policy update if systemic bias identified (National Institute of Standards and Technology, 2023)</w:t>
            </w:r>
          </w:p>
        </w:tc>
      </w:tr>
    </w:tbl>
    <w:p w14:paraId="2AE7D242" w14:textId="77777777" w:rsidR="00026FB4" w:rsidRDefault="00E3162F">
      <w:pPr>
        <w:spacing w:before="480" w:after="240" w:line="480" w:lineRule="auto"/>
      </w:pPr>
      <w:r>
        <w:rPr>
          <w:b/>
          <w:bCs/>
        </w:rPr>
        <w:t>10. User Acknowledgement</w:t>
      </w:r>
    </w:p>
    <w:p w14:paraId="2AE7D243" w14:textId="49C9EF39" w:rsidR="00026FB4" w:rsidRDefault="009E2B96">
      <w:pPr>
        <w:spacing w:line="480" w:lineRule="auto"/>
        <w:ind w:firstLine="720"/>
        <w:jc w:val="both"/>
      </w:pPr>
      <w:r w:rsidRPr="009E2B96">
        <w:t xml:space="preserve">All users of the IntegriScan Government Procurement Anomaly Detection System must read, understand, and acknowledge this Ethical Use and Data Governance Policy before accessing </w:t>
      </w:r>
      <w:r w:rsidRPr="009E2B96">
        <w:lastRenderedPageBreak/>
        <w:t>the system. By accessing the dashboard, users confirm they have read and understood this policy and agree to use the system only for the acceptable uses defined in Section 6, consistent with the accountability requirements of the National Institute of Standards and Technology (2023) AI Risk Management Framework</w:t>
      </w:r>
      <w:r w:rsidR="00E3162F">
        <w:t>.</w:t>
      </w:r>
    </w:p>
    <w:p w14:paraId="2AE7D244" w14:textId="77777777" w:rsidR="00026FB4" w:rsidRDefault="00026FB4">
      <w:pPr>
        <w:spacing w:line="480" w:lineRule="auto"/>
      </w:pPr>
    </w:p>
    <w:p w14:paraId="2AE7D245" w14:textId="77777777" w:rsidR="00026FB4" w:rsidRDefault="00E3162F">
      <w:pPr>
        <w:spacing w:before="120" w:after="120"/>
        <w:jc w:val="center"/>
        <w:rPr>
          <w:b/>
          <w:bCs/>
          <w:sz w:val="20"/>
          <w:szCs w:val="20"/>
        </w:rPr>
      </w:pPr>
      <w:r>
        <w:rPr>
          <w:b/>
          <w:bCs/>
          <w:sz w:val="20"/>
          <w:szCs w:val="20"/>
        </w:rPr>
        <w:t>Table 10.1. Acknowledgement Record</w:t>
      </w:r>
    </w:p>
    <w:p w14:paraId="549007E8" w14:textId="77777777" w:rsidR="00EA6CBF" w:rsidRDefault="00EA6CBF">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440"/>
        <w:gridCol w:w="2400"/>
        <w:gridCol w:w="2400"/>
      </w:tblGrid>
      <w:tr w:rsidR="00026FB4" w14:paraId="2AE7D24A" w14:textId="77777777">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46" w14:textId="77777777" w:rsidR="00026FB4" w:rsidRDefault="00E3162F">
            <w:pPr>
              <w:jc w:val="center"/>
            </w:pPr>
            <w:r>
              <w:rPr>
                <w:b/>
                <w:bCs/>
                <w:color w:val="FFFFFF"/>
                <w:sz w:val="18"/>
                <w:szCs w:val="18"/>
              </w:rPr>
              <w:t>User Name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47" w14:textId="77777777" w:rsidR="00026FB4" w:rsidRDefault="00E3162F">
            <w:pPr>
              <w:jc w:val="center"/>
            </w:pPr>
            <w:r>
              <w:rPr>
                <w:b/>
                <w:bCs/>
                <w:color w:val="FFFFFF"/>
                <w:sz w:val="18"/>
                <w:szCs w:val="18"/>
              </w:rPr>
              <w:t>Role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48" w14:textId="77777777" w:rsidR="00026FB4" w:rsidRDefault="00E3162F">
            <w:pPr>
              <w:jc w:val="center"/>
            </w:pPr>
            <w:r>
              <w:rPr>
                <w:b/>
                <w:bCs/>
                <w:color w:val="FFFFFF"/>
                <w:sz w:val="18"/>
                <w:szCs w:val="18"/>
              </w:rPr>
              <w:t>Date Acknowledged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E7D249" w14:textId="77777777" w:rsidR="00026FB4" w:rsidRDefault="00E3162F">
            <w:pPr>
              <w:jc w:val="center"/>
            </w:pPr>
            <w:r>
              <w:rPr>
                <w:b/>
                <w:bCs/>
                <w:color w:val="FFFFFF"/>
                <w:sz w:val="18"/>
                <w:szCs w:val="18"/>
              </w:rPr>
              <w:t>Signature</w:t>
            </w:r>
          </w:p>
        </w:tc>
      </w:tr>
      <w:tr w:rsidR="00026FB4" w14:paraId="2AE7D24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4B" w14:textId="1F55198F" w:rsidR="00026FB4" w:rsidRDefault="003B0B1E">
            <w:r>
              <w:rPr>
                <w:sz w:val="18"/>
                <w:szCs w:val="18"/>
              </w:rPr>
              <w:t>Edrissa Sarr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4C" w14:textId="77777777" w:rsidR="00026FB4" w:rsidRDefault="00E3162F">
            <w:r>
              <w:rPr>
                <w:sz w:val="18"/>
                <w:szCs w:val="18"/>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4D" w14:textId="4D143060" w:rsidR="00026FB4" w:rsidRDefault="00BE6756">
            <w:r>
              <w:rPr>
                <w:sz w:val="18"/>
                <w:szCs w:val="18"/>
              </w:rPr>
              <w:t>Octo</w:t>
            </w:r>
            <w:r w:rsidR="00E3162F">
              <w:rPr>
                <w:sz w:val="18"/>
                <w:szCs w:val="18"/>
              </w:rPr>
              <w:t>ber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4E" w14:textId="5D43CE46" w:rsidR="00026FB4" w:rsidRDefault="00E3162F">
            <w:r>
              <w:rPr>
                <w:sz w:val="18"/>
                <w:szCs w:val="18"/>
              </w:rPr>
              <w:t>___</w:t>
            </w:r>
            <w:r w:rsidR="001009A3">
              <w:rPr>
                <w:sz w:val="18"/>
                <w:szCs w:val="18"/>
              </w:rPr>
              <w:t>Edrissa Sarr</w:t>
            </w:r>
            <w:r>
              <w:rPr>
                <w:sz w:val="18"/>
                <w:szCs w:val="18"/>
              </w:rPr>
              <w:t>___</w:t>
            </w:r>
          </w:p>
        </w:tc>
      </w:tr>
      <w:tr w:rsidR="00026FB4" w14:paraId="2AE7D25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0" w14:textId="77777777" w:rsidR="00026FB4" w:rsidRDefault="00026FB4"/>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1" w14:textId="77777777" w:rsidR="00026FB4" w:rsidRDefault="00026FB4"/>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2" w14:textId="77777777" w:rsidR="00026FB4" w:rsidRDefault="00026FB4"/>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3" w14:textId="77777777" w:rsidR="00026FB4" w:rsidRDefault="00026FB4"/>
        </w:tc>
      </w:tr>
      <w:tr w:rsidR="00026FB4" w14:paraId="2AE7D2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55" w14:textId="77777777" w:rsidR="00026FB4" w:rsidRDefault="00026FB4"/>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56" w14:textId="77777777" w:rsidR="00026FB4" w:rsidRDefault="00026FB4"/>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57" w14:textId="77777777" w:rsidR="00026FB4" w:rsidRDefault="00026FB4"/>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D258" w14:textId="77777777" w:rsidR="00026FB4" w:rsidRDefault="00026FB4"/>
        </w:tc>
      </w:tr>
      <w:tr w:rsidR="00026FB4" w14:paraId="2AE7D25E"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A" w14:textId="77777777" w:rsidR="00026FB4" w:rsidRDefault="00026FB4"/>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B" w14:textId="77777777" w:rsidR="00026FB4" w:rsidRDefault="00026FB4"/>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C" w14:textId="77777777" w:rsidR="00026FB4" w:rsidRDefault="00026FB4"/>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AE7D25D" w14:textId="77777777" w:rsidR="00026FB4" w:rsidRDefault="00026FB4"/>
        </w:tc>
      </w:tr>
    </w:tbl>
    <w:p w14:paraId="2AE7D25F" w14:textId="77777777" w:rsidR="00026FB4" w:rsidRDefault="00E3162F">
      <w:pPr>
        <w:pageBreakBefore/>
      </w:pPr>
      <w:r>
        <w:lastRenderedPageBreak/>
        <w:br/>
      </w:r>
    </w:p>
    <w:p w14:paraId="2AE7D260" w14:textId="77777777" w:rsidR="00026FB4" w:rsidRDefault="00E3162F">
      <w:pPr>
        <w:spacing w:before="480" w:after="240" w:line="480" w:lineRule="auto"/>
      </w:pPr>
      <w:r>
        <w:rPr>
          <w:b/>
          <w:bCs/>
        </w:rPr>
        <w:t>References</w:t>
      </w:r>
    </w:p>
    <w:p w14:paraId="2AE7D261" w14:textId="77777777" w:rsidR="00026FB4" w:rsidRPr="009E1F95" w:rsidRDefault="00E3162F" w:rsidP="00705EFD">
      <w:pPr>
        <w:spacing w:line="480" w:lineRule="auto"/>
        <w:ind w:left="720" w:hanging="720"/>
        <w:jc w:val="both"/>
        <w:rPr>
          <w:lang w:val="fr-BE" w:eastAsia="fr-BE"/>
        </w:rPr>
      </w:pPr>
      <w:r>
        <w:rPr>
          <w:lang w:eastAsia="fr-BE"/>
        </w:rPr>
        <w:t xml:space="preserve">European Parliament and Council of the European Union. (2016). </w:t>
      </w:r>
      <w:r w:rsidRPr="00705EFD">
        <w:rPr>
          <w:i/>
          <w:iCs/>
          <w:lang w:eastAsia="fr-BE"/>
        </w:rPr>
        <w:t>Regulation (EU) 2016/679 (General Data Protection Regulation).</w:t>
      </w:r>
      <w:r>
        <w:rPr>
          <w:lang w:eastAsia="fr-BE"/>
        </w:rPr>
        <w:t xml:space="preserve"> </w:t>
      </w:r>
      <w:r w:rsidRPr="009E1F95">
        <w:rPr>
          <w:lang w:val="fr-BE" w:eastAsia="fr-BE"/>
        </w:rPr>
        <w:t>EUR-Lex. https://eur-lex.europa.eu/legal-content/EN/TXT/?uri=CELEX:32016R0679</w:t>
      </w:r>
    </w:p>
    <w:p w14:paraId="2AE7D262" w14:textId="77777777" w:rsidR="00026FB4" w:rsidRPr="009E1F95" w:rsidRDefault="00026FB4" w:rsidP="00705EFD">
      <w:pPr>
        <w:spacing w:line="480" w:lineRule="auto"/>
        <w:ind w:left="720" w:hanging="720"/>
        <w:jc w:val="both"/>
        <w:rPr>
          <w:lang w:val="fr-BE" w:eastAsia="fr-BE"/>
        </w:rPr>
      </w:pPr>
    </w:p>
    <w:p w14:paraId="2AE7D263" w14:textId="77777777" w:rsidR="00026FB4" w:rsidRDefault="00E3162F" w:rsidP="00705EFD">
      <w:pPr>
        <w:spacing w:line="480" w:lineRule="auto"/>
        <w:ind w:left="720" w:hanging="720"/>
        <w:jc w:val="both"/>
        <w:rPr>
          <w:lang w:eastAsia="fr-BE"/>
        </w:rPr>
      </w:pPr>
      <w:r w:rsidRPr="009E1F95">
        <w:rPr>
          <w:lang w:val="fr-BE" w:eastAsia="fr-BE"/>
        </w:rPr>
        <w:t xml:space="preserve">Herreros-Martinez, A., Magdalena-Benedicto, R., Vila-Frances, J., Serrano-Lopez, A. J., Perez-Diaz, S., &amp; Martinez-Herraiz, J. J. (2025). </w:t>
      </w:r>
      <w:r>
        <w:rPr>
          <w:lang w:eastAsia="fr-BE"/>
        </w:rPr>
        <w:t xml:space="preserve">Applied machine learning to anomaly detection in enterprise purchase processes: A hybrid approach using clustering and Isolation Forest. </w:t>
      </w:r>
      <w:r w:rsidRPr="00705EFD">
        <w:rPr>
          <w:i/>
          <w:iCs/>
          <w:lang w:eastAsia="fr-BE"/>
        </w:rPr>
        <w:t>Information, 16</w:t>
      </w:r>
      <w:r>
        <w:rPr>
          <w:lang w:eastAsia="fr-BE"/>
        </w:rPr>
        <w:t>(3), 177. https://doi.org/10.3390/info16030177</w:t>
      </w:r>
    </w:p>
    <w:p w14:paraId="2AE7D264" w14:textId="77777777" w:rsidR="00026FB4" w:rsidRDefault="00026FB4" w:rsidP="00705EFD">
      <w:pPr>
        <w:spacing w:line="480" w:lineRule="auto"/>
        <w:ind w:left="720" w:hanging="720"/>
        <w:jc w:val="both"/>
        <w:rPr>
          <w:lang w:eastAsia="fr-BE"/>
        </w:rPr>
      </w:pPr>
    </w:p>
    <w:p w14:paraId="2AE7D265" w14:textId="77777777" w:rsidR="00026FB4" w:rsidRDefault="00E3162F" w:rsidP="00705EFD">
      <w:pPr>
        <w:spacing w:line="480" w:lineRule="auto"/>
        <w:ind w:left="720" w:hanging="720"/>
        <w:jc w:val="both"/>
        <w:rPr>
          <w:lang w:eastAsia="fr-BE"/>
        </w:rPr>
      </w:pPr>
      <w:r>
        <w:rPr>
          <w:lang w:eastAsia="fr-BE"/>
        </w:rPr>
        <w:t xml:space="preserve">Letaw, L. (2024). </w:t>
      </w:r>
      <w:r w:rsidRPr="00705EFD">
        <w:rPr>
          <w:i/>
          <w:iCs/>
          <w:lang w:eastAsia="fr-BE"/>
        </w:rPr>
        <w:t>Handbook of software engineering methods</w:t>
      </w:r>
      <w:r>
        <w:rPr>
          <w:lang w:eastAsia="fr-BE"/>
        </w:rPr>
        <w:t>. Oregon State University. https://open.oregonstate.education/setextbook/</w:t>
      </w:r>
    </w:p>
    <w:p w14:paraId="2AE7D266" w14:textId="77777777" w:rsidR="00026FB4" w:rsidRDefault="00026FB4" w:rsidP="00705EFD">
      <w:pPr>
        <w:spacing w:line="480" w:lineRule="auto"/>
        <w:ind w:left="720" w:hanging="720"/>
        <w:jc w:val="both"/>
        <w:rPr>
          <w:lang w:eastAsia="fr-BE"/>
        </w:rPr>
      </w:pPr>
    </w:p>
    <w:p w14:paraId="2AE7D267" w14:textId="77777777" w:rsidR="00026FB4" w:rsidRDefault="00E3162F" w:rsidP="00705EFD">
      <w:pPr>
        <w:spacing w:line="480" w:lineRule="auto"/>
        <w:ind w:left="720" w:hanging="720"/>
        <w:jc w:val="both"/>
        <w:rPr>
          <w:lang w:eastAsia="fr-BE"/>
        </w:rPr>
      </w:pPr>
      <w:r>
        <w:rPr>
          <w:lang w:eastAsia="fr-BE"/>
        </w:rPr>
        <w:t>National Institute of Standards and Technology. (2023</w:t>
      </w:r>
      <w:r w:rsidRPr="00705EFD">
        <w:rPr>
          <w:i/>
          <w:iCs/>
          <w:lang w:eastAsia="fr-BE"/>
        </w:rPr>
        <w:t>). Artificial intelligence risk management framework (AI RMF 1.0) (NIST AI 100-1).</w:t>
      </w:r>
      <w:r>
        <w:rPr>
          <w:lang w:eastAsia="fr-BE"/>
        </w:rPr>
        <w:t xml:space="preserve"> U.S. Department of Commerce. https://doi.org/10.6028/NIST.AI.100-1</w:t>
      </w:r>
    </w:p>
    <w:p w14:paraId="2AE7D268" w14:textId="77777777" w:rsidR="00026FB4" w:rsidRDefault="00026FB4" w:rsidP="00705EFD">
      <w:pPr>
        <w:spacing w:line="480" w:lineRule="auto"/>
        <w:ind w:left="720" w:hanging="720"/>
        <w:jc w:val="both"/>
        <w:rPr>
          <w:lang w:eastAsia="fr-BE"/>
        </w:rPr>
      </w:pPr>
    </w:p>
    <w:p w14:paraId="2AE7D269" w14:textId="77777777" w:rsidR="00026FB4" w:rsidRDefault="00E3162F" w:rsidP="00705EFD">
      <w:pPr>
        <w:spacing w:line="480" w:lineRule="auto"/>
        <w:ind w:left="720" w:hanging="720"/>
        <w:jc w:val="both"/>
        <w:rPr>
          <w:lang w:eastAsia="fr-BE"/>
        </w:rPr>
      </w:pPr>
      <w:r>
        <w:rPr>
          <w:lang w:eastAsia="fr-BE"/>
        </w:rPr>
        <w:t xml:space="preserve">OECD. (2025). </w:t>
      </w:r>
      <w:r w:rsidRPr="00705EFD">
        <w:rPr>
          <w:i/>
          <w:iCs/>
          <w:lang w:eastAsia="fr-BE"/>
        </w:rPr>
        <w:t>Integrity in public procurement</w:t>
      </w:r>
      <w:r>
        <w:rPr>
          <w:lang w:eastAsia="fr-BE"/>
        </w:rPr>
        <w:t>. https://www.oecd.org/en/topics/sub-issues/integrity-in-public-procurement.html</w:t>
      </w:r>
    </w:p>
    <w:p w14:paraId="2AE7D26A" w14:textId="77777777" w:rsidR="00026FB4" w:rsidRDefault="00026FB4" w:rsidP="00705EFD">
      <w:pPr>
        <w:spacing w:line="480" w:lineRule="auto"/>
        <w:ind w:left="720" w:hanging="720"/>
        <w:jc w:val="both"/>
        <w:rPr>
          <w:lang w:eastAsia="fr-BE"/>
        </w:rPr>
      </w:pPr>
    </w:p>
    <w:p w14:paraId="2AE7D26B" w14:textId="77777777" w:rsidR="00026FB4" w:rsidRDefault="00E3162F" w:rsidP="00705EFD">
      <w:pPr>
        <w:spacing w:line="480" w:lineRule="auto"/>
        <w:ind w:left="720" w:hanging="720"/>
        <w:jc w:val="both"/>
        <w:rPr>
          <w:lang w:eastAsia="fr-BE"/>
        </w:rPr>
      </w:pPr>
      <w:r>
        <w:rPr>
          <w:lang w:eastAsia="fr-BE"/>
        </w:rPr>
        <w:t xml:space="preserve">OWASP Foundation. (2026). </w:t>
      </w:r>
      <w:r w:rsidRPr="00705EFD">
        <w:rPr>
          <w:i/>
          <w:iCs/>
          <w:lang w:eastAsia="fr-BE"/>
        </w:rPr>
        <w:t>OWASP Top 10:2025</w:t>
      </w:r>
      <w:r>
        <w:rPr>
          <w:lang w:eastAsia="fr-BE"/>
        </w:rPr>
        <w:t>. https://owasp.org/Top10/2025/</w:t>
      </w:r>
    </w:p>
    <w:p w14:paraId="2AE7D26C" w14:textId="77777777" w:rsidR="00026FB4" w:rsidRDefault="00026FB4" w:rsidP="00705EFD">
      <w:pPr>
        <w:spacing w:line="480" w:lineRule="auto"/>
        <w:ind w:left="720" w:hanging="720"/>
        <w:jc w:val="both"/>
        <w:rPr>
          <w:lang w:eastAsia="fr-BE"/>
        </w:rPr>
      </w:pPr>
    </w:p>
    <w:p w14:paraId="2AE7D26D" w14:textId="77777777" w:rsidR="00026FB4" w:rsidRDefault="00E3162F" w:rsidP="00705EFD">
      <w:pPr>
        <w:spacing w:line="480" w:lineRule="auto"/>
        <w:ind w:left="720" w:hanging="720"/>
        <w:jc w:val="both"/>
        <w:rPr>
          <w:lang w:eastAsia="fr-BE"/>
        </w:rPr>
      </w:pPr>
      <w:r>
        <w:rPr>
          <w:lang w:eastAsia="fr-BE"/>
        </w:rPr>
        <w:t xml:space="preserve">University of the People. (2026). </w:t>
      </w:r>
      <w:r w:rsidRPr="00705EFD">
        <w:rPr>
          <w:i/>
          <w:iCs/>
          <w:lang w:eastAsia="fr-BE"/>
        </w:rPr>
        <w:t>BUS 5115 — Business Law and Ethics course materials</w:t>
      </w:r>
      <w:r>
        <w:rPr>
          <w:lang w:eastAsia="fr-BE"/>
        </w:rPr>
        <w:t>. University of the People.</w:t>
      </w:r>
    </w:p>
    <w:sectPr w:rsidR="00026F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688B" w14:textId="77777777" w:rsidR="001F253C" w:rsidRDefault="001F253C">
      <w:r>
        <w:separator/>
      </w:r>
    </w:p>
  </w:endnote>
  <w:endnote w:type="continuationSeparator" w:id="0">
    <w:p w14:paraId="7EB4E4C2" w14:textId="77777777" w:rsidR="001F253C" w:rsidRDefault="001F2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D26F" w14:textId="7B82A064" w:rsidR="00026FB4" w:rsidRDefault="00E3162F">
    <w:pPr>
      <w:jc w:val="center"/>
    </w:pPr>
    <w:r>
      <w:rPr>
        <w:color w:val="888888"/>
        <w:sz w:val="18"/>
        <w:szCs w:val="18"/>
      </w:rPr>
      <w:t xml:space="preserve">IntegriScan Ethical Use Policy v1.0 — 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B5E1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C184C" w14:textId="77777777" w:rsidR="001F253C" w:rsidRDefault="001F253C">
      <w:r>
        <w:separator/>
      </w:r>
    </w:p>
  </w:footnote>
  <w:footnote w:type="continuationSeparator" w:id="0">
    <w:p w14:paraId="2AD4DCAD" w14:textId="77777777" w:rsidR="001F253C" w:rsidRDefault="001F2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D26E" w14:textId="77777777" w:rsidR="00026FB4" w:rsidRDefault="00E3162F">
    <w:pPr>
      <w:jc w:val="right"/>
    </w:pPr>
    <w:r>
      <w:rPr>
        <w:color w:val="888888"/>
        <w:sz w:val="18"/>
        <w:szCs w:val="18"/>
      </w:rPr>
      <w:t>IntegriScan — Ethical Use &amp; Data Governance Policy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72929"/>
    <w:multiLevelType w:val="hybridMultilevel"/>
    <w:tmpl w:val="19E25A5A"/>
    <w:lvl w:ilvl="0" w:tplc="913417A8">
      <w:start w:val="1"/>
      <w:numFmt w:val="bullet"/>
      <w:lvlText w:val="●"/>
      <w:lvlJc w:val="left"/>
      <w:pPr>
        <w:ind w:left="720" w:hanging="360"/>
      </w:pPr>
    </w:lvl>
    <w:lvl w:ilvl="1" w:tplc="D568B354">
      <w:start w:val="1"/>
      <w:numFmt w:val="bullet"/>
      <w:lvlText w:val="○"/>
      <w:lvlJc w:val="left"/>
      <w:pPr>
        <w:ind w:left="1440" w:hanging="360"/>
      </w:pPr>
    </w:lvl>
    <w:lvl w:ilvl="2" w:tplc="31781968">
      <w:start w:val="1"/>
      <w:numFmt w:val="bullet"/>
      <w:lvlText w:val="■"/>
      <w:lvlJc w:val="left"/>
      <w:pPr>
        <w:ind w:left="2160" w:hanging="360"/>
      </w:pPr>
    </w:lvl>
    <w:lvl w:ilvl="3" w:tplc="1AD23DA8">
      <w:start w:val="1"/>
      <w:numFmt w:val="bullet"/>
      <w:lvlText w:val="●"/>
      <w:lvlJc w:val="left"/>
      <w:pPr>
        <w:ind w:left="2880" w:hanging="360"/>
      </w:pPr>
    </w:lvl>
    <w:lvl w:ilvl="4" w:tplc="CD32A5C2">
      <w:start w:val="1"/>
      <w:numFmt w:val="bullet"/>
      <w:lvlText w:val="○"/>
      <w:lvlJc w:val="left"/>
      <w:pPr>
        <w:ind w:left="3600" w:hanging="360"/>
      </w:pPr>
    </w:lvl>
    <w:lvl w:ilvl="5" w:tplc="A7EA33B4">
      <w:start w:val="1"/>
      <w:numFmt w:val="bullet"/>
      <w:lvlText w:val="■"/>
      <w:lvlJc w:val="left"/>
      <w:pPr>
        <w:ind w:left="4320" w:hanging="360"/>
      </w:pPr>
    </w:lvl>
    <w:lvl w:ilvl="6" w:tplc="CC00AC08">
      <w:start w:val="1"/>
      <w:numFmt w:val="bullet"/>
      <w:lvlText w:val="●"/>
      <w:lvlJc w:val="left"/>
      <w:pPr>
        <w:ind w:left="5040" w:hanging="360"/>
      </w:pPr>
    </w:lvl>
    <w:lvl w:ilvl="7" w:tplc="35882E60">
      <w:start w:val="1"/>
      <w:numFmt w:val="bullet"/>
      <w:lvlText w:val="●"/>
      <w:lvlJc w:val="left"/>
      <w:pPr>
        <w:ind w:left="5760" w:hanging="360"/>
      </w:pPr>
    </w:lvl>
    <w:lvl w:ilvl="8" w:tplc="86667626">
      <w:start w:val="1"/>
      <w:numFmt w:val="bullet"/>
      <w:lvlText w:val="●"/>
      <w:lvlJc w:val="left"/>
      <w:pPr>
        <w:ind w:left="6480" w:hanging="360"/>
      </w:pPr>
    </w:lvl>
  </w:abstractNum>
  <w:num w:numId="1" w16cid:durableId="1443304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FB4"/>
    <w:rsid w:val="00006499"/>
    <w:rsid w:val="00026FB4"/>
    <w:rsid w:val="000356B3"/>
    <w:rsid w:val="00041227"/>
    <w:rsid w:val="00067B20"/>
    <w:rsid w:val="00073326"/>
    <w:rsid w:val="00074F90"/>
    <w:rsid w:val="000A793B"/>
    <w:rsid w:val="000D09A4"/>
    <w:rsid w:val="000E6D69"/>
    <w:rsid w:val="001009A3"/>
    <w:rsid w:val="001122A3"/>
    <w:rsid w:val="001303D2"/>
    <w:rsid w:val="001C09F0"/>
    <w:rsid w:val="001D5E30"/>
    <w:rsid w:val="001F253C"/>
    <w:rsid w:val="00200B2F"/>
    <w:rsid w:val="00210F27"/>
    <w:rsid w:val="00224F81"/>
    <w:rsid w:val="002543A9"/>
    <w:rsid w:val="00261E60"/>
    <w:rsid w:val="002B7F3F"/>
    <w:rsid w:val="002F240E"/>
    <w:rsid w:val="00303CF7"/>
    <w:rsid w:val="00313AC9"/>
    <w:rsid w:val="00331C73"/>
    <w:rsid w:val="00336EEE"/>
    <w:rsid w:val="003603EE"/>
    <w:rsid w:val="00363459"/>
    <w:rsid w:val="00387116"/>
    <w:rsid w:val="003A4D7F"/>
    <w:rsid w:val="003B0B1E"/>
    <w:rsid w:val="003C094A"/>
    <w:rsid w:val="004243C8"/>
    <w:rsid w:val="004743CB"/>
    <w:rsid w:val="004C5A79"/>
    <w:rsid w:val="004D166A"/>
    <w:rsid w:val="004D3188"/>
    <w:rsid w:val="00501AA8"/>
    <w:rsid w:val="0050427C"/>
    <w:rsid w:val="00566170"/>
    <w:rsid w:val="00585108"/>
    <w:rsid w:val="005B491C"/>
    <w:rsid w:val="00611142"/>
    <w:rsid w:val="00631965"/>
    <w:rsid w:val="006415BB"/>
    <w:rsid w:val="0069535B"/>
    <w:rsid w:val="006D0682"/>
    <w:rsid w:val="00705EFD"/>
    <w:rsid w:val="007114B9"/>
    <w:rsid w:val="00771FF6"/>
    <w:rsid w:val="00787C4D"/>
    <w:rsid w:val="007F4130"/>
    <w:rsid w:val="007F4C41"/>
    <w:rsid w:val="00822CCE"/>
    <w:rsid w:val="00852BE7"/>
    <w:rsid w:val="0089065B"/>
    <w:rsid w:val="008A02C3"/>
    <w:rsid w:val="008A63F2"/>
    <w:rsid w:val="008B524F"/>
    <w:rsid w:val="008F3E9D"/>
    <w:rsid w:val="009014E1"/>
    <w:rsid w:val="00910D84"/>
    <w:rsid w:val="00952AC8"/>
    <w:rsid w:val="009A0223"/>
    <w:rsid w:val="009B5E14"/>
    <w:rsid w:val="009C12FC"/>
    <w:rsid w:val="009C6AD8"/>
    <w:rsid w:val="009D6845"/>
    <w:rsid w:val="009E1F95"/>
    <w:rsid w:val="009E2B96"/>
    <w:rsid w:val="00A37F56"/>
    <w:rsid w:val="00A506BF"/>
    <w:rsid w:val="00A71C87"/>
    <w:rsid w:val="00A74B50"/>
    <w:rsid w:val="00A75D61"/>
    <w:rsid w:val="00A83E1E"/>
    <w:rsid w:val="00A97C1B"/>
    <w:rsid w:val="00AB3743"/>
    <w:rsid w:val="00B0342B"/>
    <w:rsid w:val="00B03775"/>
    <w:rsid w:val="00B146E4"/>
    <w:rsid w:val="00B30416"/>
    <w:rsid w:val="00B31E3A"/>
    <w:rsid w:val="00B82F74"/>
    <w:rsid w:val="00B84826"/>
    <w:rsid w:val="00BA1CC8"/>
    <w:rsid w:val="00BE6756"/>
    <w:rsid w:val="00BF0999"/>
    <w:rsid w:val="00BF5B6C"/>
    <w:rsid w:val="00C1016C"/>
    <w:rsid w:val="00C866F2"/>
    <w:rsid w:val="00CB07EF"/>
    <w:rsid w:val="00CB7FA5"/>
    <w:rsid w:val="00CC3408"/>
    <w:rsid w:val="00CF1F6E"/>
    <w:rsid w:val="00D00DE4"/>
    <w:rsid w:val="00D165BA"/>
    <w:rsid w:val="00D47B4F"/>
    <w:rsid w:val="00DB6B4A"/>
    <w:rsid w:val="00DC6FC1"/>
    <w:rsid w:val="00DD1DFF"/>
    <w:rsid w:val="00DF1561"/>
    <w:rsid w:val="00E224A0"/>
    <w:rsid w:val="00E3162F"/>
    <w:rsid w:val="00E45B42"/>
    <w:rsid w:val="00E767E0"/>
    <w:rsid w:val="00EA6CBF"/>
    <w:rsid w:val="00EB2F49"/>
    <w:rsid w:val="00EB356A"/>
    <w:rsid w:val="00F04D1E"/>
    <w:rsid w:val="00F2310B"/>
    <w:rsid w:val="00F27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D15C"/>
  <w15:docId w15:val="{AC40A8B0-1694-4FEE-9A3B-A96D6968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18</Pages>
  <Words>3387</Words>
  <Characters>19312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Edrissa Sarr</dc:creator>
  <cp:lastModifiedBy>Edrissa Sarr</cp:lastModifiedBy>
  <cp:revision>96</cp:revision>
  <dcterms:created xsi:type="dcterms:W3CDTF">2026-09-22T16:31:00Z</dcterms:created>
  <dcterms:modified xsi:type="dcterms:W3CDTF">2026-10-17T07:58:00Z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b1b26153-a5b6-4e78-97f5-4b225292c02c</vt:lpwstr>
  </property>
</Properties>
</file>