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he-250-page-spec-nobody-read"/>
    <w:bookmarkStart w:id="29" w:name="fluent-is-not-the-same-as-verified"/>
    <w:bookmarkEnd w:id="29"/>
    <w:bookmarkStart w:id="30" w:name="X5d00add2f3c1519d7807a9e9920e75fc8920efe"/>
    <w:bookmarkEnd w:id="30"/>
    <w:bookmarkStart w:id="34" w:name="how-we-keep-the-machine-on-a-leash"/>
    <w:bookmarkEnd w:id="34"/>
    <w:bookmarkStart w:id="35" w:name="what-i-take-from-it"/>
    <w:bookmarkEnd w:id="35"/>
    <w:bookmarkEnd w:id="36"/>
    <w:p>
      <w:pPr>
        <w:pStyle w:val="Heading1"/>
      </w:pPr>
      <w:r>
        <w:t>Ninety-six emails, one report</w:t>
      </w:r>
    </w:p>
    <w:p>
      <w:pPr>
        <w:pStyle w:val="ImageCaption"/>
      </w:pPr>
      <w:r>
        <w:t>Cover image — upload as the article cover (visuals/01-cover-light.png)</w:t>
      </w:r>
    </w:p>
    <w:p>
      <w:pPr>
        <w:pStyle w:val="BodyText"/>
      </w:pPr>
      <w:r>
        <w:t>Between 15 June and 18 September this year I was copied on ninety-six emails, in eleven threads, about a single SOC 2 Type 1 report for one client. I wrote none of them. Artem, our head of delivery, wrote about half; the client's founder wrote much of the rest; an audit firm and a compliance platform's weekly digest supplied the remainder. Last week I read all of them in one sitting, and they tell a more useful story than the one I would have told you from memory.</w:t>
      </w:r>
    </w:p>
    <w:p>
      <w:pPr>
        <w:pStyle w:val="BodyText"/>
      </w:pPr>
      <w:r>
        <w:t>Every two to four weeks a group of us at Brocoders gets on a call with no agenda beyond three questions: what's new, what hurts, what did you learn since last time. We call it the AI Insights club; I wrote up the last one here. This session went sideways because two of our clients hit SOC 2 in the same fortnight — Artem was finishing one, Anton was about to start another. What follows is Artem's walkthrough, checked against the emails, written for founders rather than engineers.</w:t>
      </w:r>
    </w:p>
    <w:p>
      <w:pPr>
        <w:pStyle w:val="BodyText"/>
      </w:pPr>
      <w:r>
        <w:t>One boundary before I start. This is one client, one Type 1 report, security scope only, and the report itself is not issued yet. Where I give a number it comes from an email with a date on it; where I'm generalising, I say so.</w:t>
      </w:r>
    </w:p>
    <w:p>
      <w:pPr>
        <w:pStyle w:val="Heading2"/>
      </w:pPr>
      <w:r>
        <w:t>1. It is a sales instrument, and the platform sets the tempo</w:t>
      </w:r>
    </w:p>
    <w:p>
      <w:pPr>
        <w:pStyle w:val="FirstParagraph"/>
      </w:pPr>
      <w:r>
        <w:t>Start with why anyone does this. At this size, SOC 2 is not a security programme. It is the thing that gets you through enterprise procurement — the report a large buyer's vendor-risk team wants before your deal moves. Budget it as a sales cost with engineering side effects and the numbers below will make sense.</w:t>
      </w:r>
    </w:p>
    <w:p>
      <w:pPr>
        <w:pStyle w:val="BodyText"/>
      </w:pPr>
      <w:r>
        <w:t>The founder in this story understood that. He sent Artem a scoping email on a Monday. Artem replied on the Tuesday; about three hours later the founder had signed with the compliance platform and written back: “How soon can DevOps get started?”</w:t>
      </w:r>
    </w:p>
    <w:p>
      <w:pPr>
        <w:pStyle w:val="BodyText"/>
      </w:pPr>
      <w:r>
        <w:t>Mechanically it is simpler than its reputation. You connect the platform to your repositories, your cloud account and your workspace. It runs its tests and hands you a list. His had 44 failing automated tests. Artem split them into 21 that had to be fixed and 23 that could be scoped out, justified or risk-accepted — with a line I'd underline for any founder: “Scope-out, compensating-control, and risk-acceptance decisions are the auditor's call.” Full list: 110–130 hours. Must-fix only: 65–70. The founder approved the must-fix tranche the same day. “Ok, thanks. Godspeed!”</w:t>
      </w:r>
    </w:p>
    <w:p>
      <w:pPr>
        <w:pStyle w:val="BodyText"/>
      </w:pPr>
      <w:r>
        <w:t>Then the weekly digest. The platform emails a summary every Tuesday or Wednesday, the founder forwards it, and the next day is spent answering it. Four of our eleven threads carry that digest's subject line. On the day of the audit itself one arrived with a single line above the forward asking for help “asap” — the engineering summary had, in his words, smoked us. The tool, not the auditor, sets the emotional tempo of the whole exercise.</w:t>
      </w:r>
    </w:p>
    <w:p>
      <w:pPr>
        <w:pStyle w:val="BodyText"/>
      </w:pPr>
      <w:r>
        <w:t>And two months in, the founder wrote the sentence every vendor eventually reads: “I appreciate the work you guys have put in but it's already quite a ways over my estimated budget for this project so want to make sure we stop the bleeding here.” Fair. Nobody had told him what a SOC 2 actually costs in attention, and that is on us as much as on the platform. That gap is the real cost of SOC 2, and it is the reason for the rest of this article.</w:t>
      </w:r>
    </w:p>
    <w:p>
      <w:pPr>
        <w:pStyle w:val="ImageCaption"/>
      </w:pPr>
      <w:r>
        <w:t>Insert here (visuals/02-timeline-96-emails.png) — the eleven threads on a calendar, Jun 15 → Sep 18, with the weekly digest spikes</w:t>
      </w:r>
    </w:p>
    <w:p>
      <w:pPr>
        <w:pStyle w:val="Heading2"/>
      </w:pPr>
      <w:r>
        <w:t>2. You are not supposed to fix everything</w:t>
      </w:r>
    </w:p>
    <w:p>
      <w:pPr>
        <w:pStyle w:val="FirstParagraph"/>
      </w:pPr>
      <w:r>
        <w:t>The product has a machine-learning feature that processes images and ships as a handful of container images. When the scanner first looked at them, each carried 90 to 98 critical findings. Nobody fixes that list.</w:t>
      </w:r>
    </w:p>
    <w:p>
      <w:pPr>
        <w:pStyle w:val="BodyText"/>
      </w:pPr>
      <w:r>
        <w:t>Rebuilding the images on current dependencies removed about 90% of the criticals in one step — down to eight to ten per image. A CTO reading this will ask why base images on a product we maintain were that stale, and the honest answer is that keeping them current was ours to do and we hadn't. Then Artem counted. The dashboard said roughly seventy open findings; he wrote them up as 39 distinct issues, each repeated across images, none in code we wrote. Per image: two that were genuinely fixable; ten that were scanner mistakes — nine for optional add-ons that weren't installed, one for a defect that only exists in a 32-bit build; six in an image-format library the application never calls; twenty for which no fix exists anywhere, because the operating system vendor has formally marked each one “no security update for the current release for now”; and one he couldn't yet explain, and said so.</w:t>
      </w:r>
    </w:p>
    <w:p>
      <w:pPr>
        <w:pStyle w:val="BodyText"/>
      </w:pPr>
      <w:r>
        <w:t>So the deliverable is not a clean dashboard. It is a written judgement someone is willing to defend — “deactivated all remaining tests with specific reasons” — filed where the auditor can read it. The auditor can accept that. Most founders don't know to ask.</w:t>
      </w:r>
    </w:p>
    <w:p>
      <w:pPr>
        <w:pStyle w:val="BodyText"/>
      </w:pPr>
      <w:r>
        <w:t>Before that write-up was filed, the founder had made a scoping decision. Six days after the audit fieldwork closed, with the report still six weeks away and the dashboard still red, he asked whether the feature behind those images should simply be taken out of service until the report was issued, since a Type 1 attests to a point in time. Two hours to remove the images, eight to restore them, restoration booked for October, and Artem's one condition: tell your customers the feature will be down. That is not a trick; it is what a Type 1 is. The report attests to the system as described on one date. Narrowing what sits inside the boundary is a legitimate decision — as long as the system description the auditor signs matches what is actually running, and your customers know. Hiding the boundary is a different thing, and it is the thing that ends careers.</w:t>
      </w:r>
    </w:p>
    <w:p>
      <w:pPr>
        <w:pStyle w:val="BlockText"/>
      </w:pPr>
      <w:r>
        <w:t>A Type 1 attests to the system as described on one date. Decide the boundary honestly, write it down, and make sure the auditor's description matches what is running.</w:t>
      </w:r>
    </w:p>
    <w:p>
      <w:pPr>
        <w:pStyle w:val="BodyText"/>
      </w:pPr>
      <w:r>
        <w:t>One more, because I'd have got it wrong from memory. The cloud root account has to go unused for thirty days. Our team had said so in July; the founder's reply was candid — he rarely logged into the cloud console, and when he did, it was as root. In late August he granted a new team member access from that account. The thirty-day countdown reset to zero. I had remembered this as “the audit date moved”. It didn't; the date moved once, earlier, for an employee's holiday. What happened: a test that was about to go green went red for another month, in the reporting phase, because of one well-intentioned access grant made from the one login no vendor can take away from a founder.</w:t>
      </w:r>
    </w:p>
    <w:p>
      <w:pPr>
        <w:pStyle w:val="Heading2"/>
      </w:pPr>
      <w:r>
        <w:t>3. The platform generates demands. The auditor decides.</w:t>
      </w:r>
    </w:p>
    <w:p>
      <w:pPr>
        <w:pStyle w:val="FirstParagraph"/>
      </w:pPr>
      <w:r>
        <w:t>In mid-September, almost a month after the audit fieldwork had closed, the platform was still asking for more: multi-availability-zone databases, cross-region replication, object-lock on storage, DNS query logging, a stricter encryption standard. Artem priced the lot — 60–90 hours plus about $730 a month in new cloud spend, roughly $8,800 a year — and then asked the question that mattered:</w:t>
      </w:r>
    </w:p>
    <w:p>
      <w:pPr>
        <w:pStyle w:val="BodyText"/>
      </w:pPr>
      <w:r>
        <w:t>“Which Trust Services Categories does the report cover? If it's Security only… Multi-AZ and cross-region replication are Availability controls and aren't in the report at all. That answer removes $8,800/yr and about a third of the hours.”</w:t>
      </w:r>
    </w:p>
    <w:p>
      <w:pPr>
        <w:pStyle w:val="BodyText"/>
      </w:pPr>
      <w:r>
        <w:t>The question went to the audit firm. The next day: “Your audit scope is Security only … you can safely mark those … as Out of Scope or Disabled.” Artem sent four more questions — are dev and staging in scope, is object-lock required, is DNS logging required, is a TLS 1.2 minimum acceptable — and all four came back in our favour within a day. The remaining work went from 60–90 hours to 40–50 to 25–40, and $8,800 a year of infrastructure that would have been bought to satisfy a dashboard was never bought. Two emails to the auditor.</w:t>
      </w:r>
    </w:p>
    <w:p>
      <w:pPr>
        <w:pStyle w:val="BodyText"/>
      </w:pPr>
      <w:r>
        <w:t>The general lesson I'd stand behind: the compliance platform and the auditor are two different authorities, and the distance between them is measured in money. Ask the auditor, in writing, using the platform's own test names, before you pay anyone to make something green.</w:t>
      </w:r>
    </w:p>
    <w:p>
      <w:pPr>
        <w:pStyle w:val="BodyText"/>
      </w:pPr>
      <w:r>
        <w:t>And now the part where the AI club earns its name, because it is the one place our own tooling let us down. In the reporting phase the audit firm asked for a penetration test report. We had produced a vulnerability assessment with Claude, and the auditor asked for a third-party penetration test instead. Not because ours was wrong — because it was ours. Artem's note to the client was as honest as I'd want it: “We did testing using Claude and assumed that it can work, but as we see, it doesn't. They want to have an external company do that type of testing.” Some artefacts are defined by who produced them, not by what they contain.</w:t>
      </w:r>
    </w:p>
    <w:p>
      <w:pPr>
        <w:pStyle w:val="BodyText"/>
      </w:pPr>
      <w:r>
        <w:t>The room pushed back on one thing. Anton's point was commercial, not technical: nowhere in the engagement did we promise the client a report — we promised the engineering inside it — and the trail above shows why that distinction matters. Root usage, policy sign-offs, employee training, the platform invoice, the scope of the system being described: all on the client's side. If you are buying development services and SOC 2 is coming, write down which of you owns the report and which owns the fixes. Leaving it unsaid is what “stop the bleeding” sounds like two months later.</w:t>
      </w:r>
    </w:p>
    <w:p>
      <w:pPr>
        <w:pStyle w:val="ImageCaption"/>
      </w:pPr>
      <w:r>
        <w:t>Insert here (visuals/03-quote-auditor.png) — “Two emails to the auditor. 60–90 hours became 25–40. $8,800 a year never spent.”</w:t>
      </w:r>
    </w:p>
    <w:p>
      <w:pPr>
        <w:pStyle w:val="Heading2"/>
      </w:pPr>
      <w:r>
        <w:t>What I take from it</w:t>
      </w:r>
    </w:p>
    <w:p>
      <w:pPr>
        <w:pStyle w:val="FirstParagraph"/>
      </w:pPr>
      <w:r>
        <w:t>If you are a founder or a product leader with SOC 2 on the horizon, the practical version is short, and every line of it came out of that inbox.</w:t>
      </w:r>
    </w:p>
    <w:p>
      <w:pPr>
        <w:pStyle w:val="BodyText"/>
      </w:pPr>
      <w:r>
        <w:t>Settle the Trust Services scope with your auditor before anyone opens the platform — “Security only” was worth $8,800 a year here. Find out who still uses root, and assume it's you. When the dashboard says seventy, ask how many distinct issues that is, and for how many a fix even exists. And know which documents must come from an outside party, because your very capable AI cannot be one.</w:t>
      </w:r>
    </w:p>
    <w:p>
      <w:pPr>
        <w:pStyle w:val="BodyText"/>
      </w:pPr>
      <w:r>
        <w:t>Our club meets again in a couple of weeks. If this was useful, I'll keep writing them up.</w:t>
      </w:r>
    </w:p>
    <w:p>
      <w:pPr>
        <w:pStyle w:val="BodyText"/>
      </w:pPr>
      <w:r>
        <w:t>And a word about who “we” are, since I've said it a few times. We're Brocoders — about fifty engineers, designers and managers who have been building software for clients for over a decade. If an enterprise prospect has just asked you for SOC 2 and you'd like to talk to someone who has read all ninety-six emails so you don't have to, write to me. And if you've been through it and my numbers look wrong, I'd rather hear it than not.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2026-09-20T15:55:31Z</dcterms:created>
  <dcterms:modified xsi:type="dcterms:W3CDTF">2026-09-20T15:55:31Z</dcterms:modified>
</cp:coreProperties>
</file>

<file path=docProps/custom.xml><?xml version="1.0" encoding="utf-8"?>
<Properties xmlns="http://schemas.openxmlformats.org/officeDocument/2006/custom-properties" xmlns:vt="http://schemas.openxmlformats.org/officeDocument/2006/docPropsVTypes"/>
</file>