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28.png" ContentType="image/png"/>
  <Override PartName="/word/media/rId29.png" ContentType="image/png"/>
  <Override PartName="/word/media/rId40.png" ContentType="image/png"/>
  <Override PartName="/word/media/rId37.png" ContentType="image/png"/>
  <Override PartName="/word/media/rId32.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Phylodynamic</w:t>
      </w:r>
      <w:r>
        <w:t xml:space="preserve"> </w:t>
      </w:r>
      <w:r>
        <w:t xml:space="preserve">Analysis:</w:t>
      </w:r>
      <w:r>
        <w:t xml:space="preserve"> </w:t>
      </w:r>
      <w:r>
        <w:t xml:space="preserve">Portugal,:</w:t>
      </w:r>
      <w:r>
        <w:t xml:space="preserve"> </w:t>
      </w:r>
      <w:r>
        <w:t xml:space="preserve">2020-05-04</w:t>
      </w:r>
    </w:p>
    <w:p>
      <w:pPr>
        <w:pStyle w:val="Date"/>
      </w:pPr>
      <w:r>
        <w:t xml:space="preserve">June</w:t>
      </w:r>
      <w:r>
        <w:t xml:space="preserve"> </w:t>
      </w:r>
      <w:r>
        <w:t xml:space="preserve">02,</w:t>
      </w:r>
      <w:r>
        <w:t xml:space="preserve"> </w:t>
      </w:r>
      <w:r>
        <w:t xml:space="preserve">2020</w:t>
      </w:r>
    </w:p>
    <w:p>
      <w:pPr>
        <w:pStyle w:val="Heading3"/>
      </w:pPr>
      <w:bookmarkStart w:id="20" w:name="primary-author-manon-ragonnet"/>
      <w:r>
        <w:t xml:space="preserve">Primary author: Manon Ragonnet</w:t>
      </w:r>
      <w:bookmarkEnd w:id="20"/>
    </w:p>
    <w:p>
      <w:pPr>
        <w:pStyle w:val="Heading4"/>
      </w:pPr>
      <w:bookmarkStart w:id="22" w:name="X015a56615a77a5a1608a717175cd7ff29e78bce"/>
      <w:r>
        <w:t xml:space="preserve">Olivia Boyd, Lily Geidelberg, David Jorgensen, Manon Ragonnet, Igor Siveroni, Erik Volz and the</w:t>
      </w:r>
      <w:r>
        <w:t xml:space="preserve"> </w:t>
      </w:r>
      <w:hyperlink r:id="rId21">
        <w:r>
          <w:rPr>
            <w:rStyle w:val="Hyperlink"/>
          </w:rPr>
          <w:t xml:space="preserve">Imperial College COVID-19 Response Team</w:t>
        </w:r>
      </w:hyperlink>
      <w:bookmarkEnd w:id="22"/>
    </w:p>
    <w:p>
      <w:pPr>
        <w:pStyle w:val="Heading3"/>
      </w:pPr>
      <w:bookmarkStart w:id="23" w:name="report-prepared-on-2020-06-02"/>
      <w:r>
        <w:t xml:space="preserve">Report prepared on 2020-06-02</w:t>
      </w:r>
      <w:bookmarkEnd w:id="23"/>
    </w:p>
    <w:p>
      <w:pPr>
        <w:pStyle w:val="Heading2"/>
      </w:pPr>
      <w:bookmarkStart w:id="24" w:name="background-information"/>
      <w:r>
        <w:t xml:space="preserve">Background information</w:t>
      </w:r>
      <w:bookmarkEnd w:id="24"/>
    </w:p>
    <w:p>
      <w:pPr>
        <w:pStyle w:val="Heading4"/>
      </w:pPr>
      <w:bookmarkStart w:id="25" w:name="this-is-analysis-is-based-on"/>
      <w:r>
        <w:t xml:space="preserve">This is analysis is based on :</w:t>
      </w:r>
      <w:bookmarkEnd w:id="25"/>
    </w:p>
    <w:p>
      <w:pPr>
        <w:pStyle w:val="Compact"/>
        <w:numPr>
          <w:numId w:val="1001"/>
          <w:ilvl w:val="0"/>
        </w:numPr>
      </w:pPr>
      <w:r>
        <w:rPr>
          <w:b/>
        </w:rPr>
        <w:t xml:space="preserve">59 whole genomes</w:t>
      </w:r>
      <w:r>
        <w:t xml:space="preserve"> </w:t>
      </w:r>
      <w:r>
        <w:t xml:space="preserve">sampled from</w:t>
      </w:r>
      <w:r>
        <w:t xml:space="preserve"> </w:t>
      </w:r>
      <w:r>
        <w:rPr>
          <w:b/>
        </w:rPr>
        <w:t xml:space="preserve">within Portugal</w:t>
      </w:r>
    </w:p>
    <w:p>
      <w:pPr>
        <w:pStyle w:val="Compact"/>
        <w:numPr>
          <w:numId w:val="1001"/>
          <w:ilvl w:val="0"/>
        </w:numPr>
      </w:pPr>
      <w:r>
        <w:rPr>
          <w:b/>
        </w:rPr>
        <w:t xml:space="preserve">43 whole genomes</w:t>
      </w:r>
      <w:r>
        <w:t xml:space="preserve"> </w:t>
      </w:r>
      <w:r>
        <w:t xml:space="preserve">sampled from outside of</w:t>
      </w:r>
      <w:r>
        <w:t xml:space="preserve"> </w:t>
      </w:r>
      <w:r>
        <w:rPr>
          <w:b/>
        </w:rPr>
        <w:t xml:space="preserve">Portugal</w:t>
      </w:r>
    </w:p>
    <w:p>
      <w:pPr>
        <w:pStyle w:val="Compact"/>
        <w:numPr>
          <w:numId w:val="1001"/>
          <w:ilvl w:val="0"/>
        </w:numPr>
      </w:pPr>
      <w:r>
        <w:t xml:space="preserve">Samples within Portugal were collected between</w:t>
      </w:r>
      <w:r>
        <w:t xml:space="preserve"> </w:t>
      </w:r>
      <w:r>
        <w:rPr>
          <w:b/>
        </w:rPr>
        <w:t xml:space="preserve">2020-03-03</w:t>
      </w:r>
      <w:r>
        <w:t xml:space="preserve"> </w:t>
      </w:r>
      <w:r>
        <w:t xml:space="preserve">and</w:t>
      </w:r>
      <w:r>
        <w:t xml:space="preserve"> </w:t>
      </w:r>
      <w:r>
        <w:rPr>
          <w:b/>
        </w:rPr>
        <w:t xml:space="preserve">2020-05-04</w:t>
      </w:r>
    </w:p>
    <w:p>
      <w:pPr>
        <w:pStyle w:val="FirstParagraph"/>
      </w:pPr>
      <w:r>
        <w:drawing>
          <wp:inline>
            <wp:extent cx="5486400" cy="3916244"/>
            <wp:effectExtent b="0" l="0" r="0" t="0"/>
            <wp:docPr descr="" title="" id="1" name="Picture"/>
            <a:graphic>
              <a:graphicData uri="http://schemas.openxmlformats.org/drawingml/2006/picture">
                <pic:pic>
                  <pic:nvPicPr>
                    <pic:cNvPr descr="sample_distribution.png" id="0" name="Picture"/>
                    <pic:cNvPicPr>
                      <a:picLocks noChangeArrowheads="1" noChangeAspect="1"/>
                    </pic:cNvPicPr>
                  </pic:nvPicPr>
                  <pic:blipFill>
                    <a:blip r:embed="rId26"/>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1: Sampling distributions over time of number of sequences included within the region versus sequences included from the international reservoir.</w:t>
      </w:r>
    </w:p>
    <w:p>
      <w:pPr>
        <w:pStyle w:val="Heading2"/>
      </w:pPr>
      <w:bookmarkStart w:id="27" w:name="how-many-are-infected-in-portugal"/>
      <w:r>
        <w:t xml:space="preserve">How many are infected in Portugal?</w:t>
      </w:r>
      <w:bookmarkEnd w:id="27"/>
    </w:p>
    <w:p>
      <w:pPr>
        <w:pStyle w:val="FirstParagraph"/>
      </w:pPr>
      <w:r>
        <w:drawing>
          <wp:inline>
            <wp:extent cx="5486400" cy="3916244"/>
            <wp:effectExtent b="0" l="0" r="0" t="0"/>
            <wp:docPr descr="" title="" id="1" name="Picture"/>
            <a:graphic>
              <a:graphicData uri="http://schemas.openxmlformats.org/drawingml/2006/picture">
                <pic:pic>
                  <pic:nvPicPr>
                    <pic:cNvPr descr="SEIJR_plot_size.png" id="0" name="Picture"/>
                    <pic:cNvPicPr>
                      <a:picLocks noChangeArrowheads="1" noChangeAspect="1"/>
                    </pic:cNvPicPr>
                  </pic:nvPicPr>
                  <pic:blipFill>
                    <a:blip r:embed="rId28"/>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SEIJR_plot_size_log.png" id="0" name="Picture"/>
                    <pic:cNvPicPr>
                      <a:picLocks noChangeArrowheads="1" noChangeAspect="1"/>
                    </pic:cNvPicPr>
                  </pic:nvPicPr>
                  <pic:blipFill>
                    <a:blip r:embed="rId29"/>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2: Estimated cumulative infections through time represented by solid black line (median) and 95% CrI (ribbon). Black points represent reported cases in Portugal. The dashed line indicates the date of last sample in Portugal in this analysis.</w:t>
      </w:r>
    </w:p>
    <w:p>
      <w:pPr>
        <w:numPr>
          <w:numId w:val="1002"/>
          <w:ilvl w:val="0"/>
        </w:numPr>
      </w:pPr>
      <w:r>
        <w:t xml:space="preserve">Estimated cumulative infections at last sample (2020-05-04):</w:t>
      </w:r>
      <w:r>
        <w:t xml:space="preserve"> </w:t>
      </w:r>
      <w:r>
        <w:rPr>
          <w:b/>
        </w:rPr>
        <w:t xml:space="preserve">35595 [9810-181514]</w:t>
      </w:r>
      <w:r>
        <w:t xml:space="preserve"> </w:t>
      </w:r>
      <w:r>
        <w:t xml:space="preserve">median [95%CI]</w:t>
      </w:r>
    </w:p>
    <w:p>
      <w:pPr>
        <w:numPr>
          <w:numId w:val="1002"/>
          <w:ilvl w:val="0"/>
        </w:numPr>
      </w:pPr>
      <w:r>
        <w:t xml:space="preserve">Cumulative confirmed infections reported at 2020-05-04:</w:t>
      </w:r>
      <w:r>
        <w:t xml:space="preserve"> </w:t>
      </w:r>
      <w:r>
        <w:rPr>
          <w:b/>
        </w:rPr>
        <w:t xml:space="preserve">25524</w:t>
      </w:r>
    </w:p>
    <w:p>
      <w:pPr>
        <w:pStyle w:val="FirstParagraph"/>
      </w:pPr>
      <w:r>
        <w:drawing>
          <wp:inline>
            <wp:extent cx="5486400" cy="3916244"/>
            <wp:effectExtent b="0" l="0" r="0" t="0"/>
            <wp:docPr descr="" title="" id="1" name="Picture"/>
            <a:graphic>
              <a:graphicData uri="http://schemas.openxmlformats.org/drawingml/2006/picture">
                <pic:pic>
                  <pic:nvPicPr>
                    <pic:cNvPr descr="Daily.png" id="0" name="Picture"/>
                    <pic:cNvPicPr>
                      <a:picLocks noChangeArrowheads="1" noChangeAspect="1"/>
                    </pic:cNvPicPr>
                  </pic:nvPicPr>
                  <pic:blipFill>
                    <a:blip r:embed="rId3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Daily_log.png" id="0" name="Picture"/>
                    <pic:cNvPicPr>
                      <a:picLocks noChangeArrowheads="1" noChangeAspect="1"/>
                    </pic:cNvPicPr>
                  </pic:nvPicPr>
                  <pic:blipFill>
                    <a:blip r:embed="rId31"/>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3: Estimated daily infections through time represented by solid black line (median) and 95% CrI (ribbon). Black points represent reported cases in Portugal. The dashed line indicates the date of last sample in Portugal in this analysis.</w:t>
      </w:r>
    </w:p>
    <w:p>
      <w:pPr>
        <w:pStyle w:val="BodyText"/>
      </w:pPr>
      <w:r>
        <w:drawing>
          <wp:inline>
            <wp:extent cx="5486400" cy="3916244"/>
            <wp:effectExtent b="0" l="0" r="0" t="0"/>
            <wp:docPr descr="" title="" id="1" name="Picture"/>
            <a:graphic>
              <a:graphicData uri="http://schemas.openxmlformats.org/drawingml/2006/picture">
                <pic:pic>
                  <pic:nvPicPr>
                    <pic:cNvPr descr="reporting.png" id="0" name="Picture"/>
                    <pic:cNvPicPr>
                      <a:picLocks noChangeArrowheads="1" noChangeAspect="1"/>
                    </pic:cNvPicPr>
                  </pic:nvPicPr>
                  <pic:blipFill>
                    <a:blip r:embed="rId32"/>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4: Estimated percentage of daily cases reported in Portugal. Error bars represent the 95% credible interval.</w:t>
      </w:r>
    </w:p>
    <w:p>
      <w:pPr>
        <w:pStyle w:val="BodyText"/>
      </w:pPr>
      <w:r>
        <w:drawing>
          <wp:inline>
            <wp:extent cx="5486400" cy="3916244"/>
            <wp:effectExtent b="0" l="0" r="0" t="0"/>
            <wp:docPr descr="" title="" id="1" name="Picture"/>
            <a:graphic>
              <a:graphicData uri="http://schemas.openxmlformats.org/drawingml/2006/picture">
                <pic:pic>
                  <pic:nvPicPr>
                    <pic:cNvPr descr="Rt.png" id="0" name="Picture"/>
                    <pic:cNvPicPr>
                      <a:picLocks noChangeArrowheads="1" noChangeAspect="1"/>
                    </pic:cNvPicPr>
                  </pic:nvPicPr>
                  <pic:blipFill>
                    <a:blip r:embed="rId33"/>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5: Reproduction number through time. The black vertical dashed line indicates the date of last sample in Portugal in this analysis. Orange and red dashed lines indicate dates of school closure and general lockdown in Portugal, respectively.</w:t>
      </w:r>
      <w:r>
        <w:rPr>
          <w:i/>
        </w:rPr>
        <w:t xml:space="preserve"> </w:t>
      </w:r>
    </w:p>
    <w:p>
      <w:pPr>
        <w:pStyle w:val="BodyText"/>
      </w:pPr>
      <w:r>
        <w:t xml:space="preserve">Reproduction number at last sample (2020-05-04):</w:t>
      </w:r>
      <w:r>
        <w:t xml:space="preserve"> </w:t>
      </w:r>
      <w:r>
        <w:rPr>
          <w:b/>
        </w:rPr>
        <w:t xml:space="preserve">0.249 [0.0812-0.909]</w:t>
      </w:r>
      <w:r>
        <w:t xml:space="preserve"> </w:t>
      </w:r>
      <w:r>
        <w:t xml:space="preserve">median [95% CrI]</w:t>
      </w:r>
    </w:p>
    <w:p>
      <w:pPr>
        <w:pStyle w:val="Heading2"/>
      </w:pPr>
      <w:bookmarkStart w:id="34" w:name="X72e5addabb02eaa942c3cf28c89cb95175d0015"/>
      <w:r>
        <w:t xml:space="preserve">How quickly has the epidemic in Portugal grown?</w:t>
      </w:r>
      <w:bookmarkEnd w:id="34"/>
    </w:p>
    <w:p>
      <w:pPr>
        <w:pStyle w:val="TableCaption"/>
      </w:pPr>
      <w:r>
        <w:t xml:space="preserve">Table 1: Reproduction number, growth rate and doubling times</w:t>
      </w:r>
    </w:p>
    <w:tbl>
      <w:tblPr>
        <w:tblStyle w:val="Table"/>
        <w:tblW w:type="pct" w:w="5000.0"/>
        <w:tblLook w:firstRow="1"/>
        <w:tblCaption w:val="Table 1: Reproduction number, growth rate and doubling times"/>
      </w:tblPr>
      <w:tblGrid>
        <w:gridCol w:w="1075"/>
        <w:gridCol w:w="2151"/>
        <w:gridCol w:w="2346"/>
        <w:gridCol w:w="2346"/>
      </w:tblGrid>
      <w:tr>
        <w:trPr>
          <w:cnfStyle w:firstRow="1"/>
        </w:trPr>
        <w:tc>
          <w:tcPr>
            <w:tcBorders>
              <w:bottom w:val="single"/>
            </w:tcBorders>
            <w:vAlign w:val="bottom"/>
          </w:tcPr>
          <w:p>
            <w:pPr>
              <w:pStyle w:val="Compact"/>
              <w:jc w:val="center"/>
            </w:pPr>
            <w:r>
              <w:t xml:space="preserve">Quantile</w:t>
            </w:r>
          </w:p>
        </w:tc>
        <w:tc>
          <w:tcPr>
            <w:tcBorders>
              <w:bottom w:val="single"/>
            </w:tcBorders>
            <w:vAlign w:val="bottom"/>
          </w:tcPr>
          <w:p>
            <w:pPr>
              <w:pStyle w:val="Compact"/>
              <w:jc w:val="center"/>
            </w:pPr>
            <w:r>
              <w:t xml:space="preserve">Reproduction number</w:t>
            </w:r>
          </w:p>
        </w:tc>
        <w:tc>
          <w:tcPr>
            <w:tcBorders>
              <w:bottom w:val="single"/>
            </w:tcBorders>
            <w:vAlign w:val="bottom"/>
          </w:tcPr>
          <w:p>
            <w:pPr>
              <w:pStyle w:val="Compact"/>
              <w:jc w:val="center"/>
            </w:pPr>
            <w:r>
              <w:t xml:space="preserve">Growth rate (per day)</w:t>
            </w:r>
          </w:p>
        </w:tc>
        <w:tc>
          <w:tcPr>
            <w:tcBorders>
              <w:bottom w:val="single"/>
            </w:tcBorders>
            <w:vAlign w:val="bottom"/>
          </w:tcPr>
          <w:p>
            <w:pPr>
              <w:pStyle w:val="Compact"/>
              <w:jc w:val="center"/>
            </w:pPr>
            <w:r>
              <w:t xml:space="preserve">Doubling time (days)</w:t>
            </w:r>
          </w:p>
        </w:tc>
      </w:tr>
      <w:tr>
        <w:tc>
          <w:p>
            <w:pPr>
              <w:pStyle w:val="Compact"/>
              <w:jc w:val="center"/>
            </w:pPr>
            <w:r>
              <w:t xml:space="preserve">50%</w:t>
            </w:r>
          </w:p>
        </w:tc>
        <w:tc>
          <w:p>
            <w:pPr>
              <w:pStyle w:val="Compact"/>
              <w:jc w:val="center"/>
            </w:pPr>
            <w:r>
              <w:t xml:space="preserve">2.9</w:t>
            </w:r>
          </w:p>
        </w:tc>
        <w:tc>
          <w:p>
            <w:pPr>
              <w:pStyle w:val="Compact"/>
              <w:jc w:val="center"/>
            </w:pPr>
            <w:r>
              <w:t xml:space="preserve">0.178</w:t>
            </w:r>
          </w:p>
        </w:tc>
        <w:tc>
          <w:p>
            <w:pPr>
              <w:pStyle w:val="Compact"/>
              <w:jc w:val="center"/>
            </w:pPr>
            <w:r>
              <w:t xml:space="preserve">3.9</w:t>
            </w:r>
          </w:p>
        </w:tc>
      </w:tr>
      <w:tr>
        <w:tc>
          <w:p>
            <w:pPr>
              <w:pStyle w:val="Compact"/>
              <w:jc w:val="center"/>
            </w:pPr>
            <w:r>
              <w:t xml:space="preserve">2.5%</w:t>
            </w:r>
          </w:p>
        </w:tc>
        <w:tc>
          <w:p>
            <w:pPr>
              <w:pStyle w:val="Compact"/>
              <w:jc w:val="center"/>
            </w:pPr>
            <w:r>
              <w:t xml:space="preserve">2.18</w:t>
            </w:r>
          </w:p>
        </w:tc>
        <w:tc>
          <w:p>
            <w:pPr>
              <w:pStyle w:val="Compact"/>
              <w:jc w:val="center"/>
            </w:pPr>
            <w:r>
              <w:t xml:space="preserve">0.121</w:t>
            </w:r>
          </w:p>
        </w:tc>
        <w:tc>
          <w:p>
            <w:pPr>
              <w:pStyle w:val="Compact"/>
              <w:jc w:val="center"/>
            </w:pPr>
            <w:r>
              <w:t xml:space="preserve">2.75</w:t>
            </w:r>
          </w:p>
        </w:tc>
      </w:tr>
      <w:tr>
        <w:tc>
          <w:p>
            <w:pPr>
              <w:pStyle w:val="Compact"/>
              <w:jc w:val="center"/>
            </w:pPr>
            <w:r>
              <w:t xml:space="preserve">97.5%</w:t>
            </w:r>
          </w:p>
        </w:tc>
        <w:tc>
          <w:p>
            <w:pPr>
              <w:pStyle w:val="Compact"/>
              <w:jc w:val="center"/>
            </w:pPr>
            <w:r>
              <w:t xml:space="preserve">3.97</w:t>
            </w:r>
          </w:p>
        </w:tc>
        <w:tc>
          <w:p>
            <w:pPr>
              <w:pStyle w:val="Compact"/>
              <w:jc w:val="center"/>
            </w:pPr>
            <w:r>
              <w:t xml:space="preserve">0.252</w:t>
            </w:r>
          </w:p>
        </w:tc>
        <w:tc>
          <w:p>
            <w:pPr>
              <w:pStyle w:val="Compact"/>
              <w:jc w:val="center"/>
            </w:pPr>
            <w:r>
              <w:t xml:space="preserve">5.75</w:t>
            </w:r>
          </w:p>
        </w:tc>
      </w:tr>
    </w:tbl>
    <w:p>
      <w:pPr>
        <w:pStyle w:val="Heading2"/>
      </w:pPr>
      <w:bookmarkStart w:id="35" w:name="how-has-sars-cov-2-evolved-in-portugal"/>
      <w:r>
        <w:t xml:space="preserve">How has SARS-CoV 2 evolved in Portugal?</w:t>
      </w:r>
      <w:bookmarkEnd w:id="35"/>
    </w:p>
    <w:p>
      <w:pPr>
        <w:pStyle w:val="Heading2"/>
      </w:pPr>
      <w:bookmarkStart w:id="36" w:name="placeholder-for-ml-tree"/>
      <w:r>
        <w:rPr>
          <w:i/>
        </w:rPr>
        <w:t xml:space="preserve">[placeholder for ML tree]</w:t>
      </w:r>
      <w:bookmarkEnd w:id="36"/>
    </w:p>
    <w:p>
      <w:pPr>
        <w:pStyle w:val="FirstParagraph"/>
      </w:pPr>
      <w:r>
        <w:rPr>
          <w:i/>
        </w:rPr>
        <w:t xml:space="preserve">Figure 6: Maximum likelihood phylogeny with the x-axis representing NT substitutions per site. The colour of the tips corresponds to sampling location; red tips were sampled from within the region, grey tips from outside</w:t>
      </w:r>
    </w:p>
    <w:p>
      <w:pPr>
        <w:pStyle w:val="BodyText"/>
      </w:pPr>
      <w:r>
        <w:drawing>
          <wp:inline>
            <wp:extent cx="3669832" cy="6422207"/>
            <wp:effectExtent b="0" l="0" r="0" t="0"/>
            <wp:docPr descr="" title="" id="1" name="Picture"/>
            <a:graphic>
              <a:graphicData uri="http://schemas.openxmlformats.org/drawingml/2006/picture">
                <pic:pic>
                  <pic:nvPicPr>
                    <pic:cNvPr descr="mcc.png" id="0" name="Picture"/>
                    <pic:cNvPicPr>
                      <a:picLocks noChangeArrowheads="1" noChangeAspect="1"/>
                    </pic:cNvPicPr>
                  </pic:nvPicPr>
                  <pic:blipFill>
                    <a:blip r:embed="rId37"/>
                    <a:stretch>
                      <a:fillRect/>
                    </a:stretch>
                  </pic:blipFill>
                  <pic:spPr bwMode="auto">
                    <a:xfrm>
                      <a:off x="0" y="0"/>
                      <a:ext cx="3669832" cy="6422207"/>
                    </a:xfrm>
                    <a:prstGeom prst="rect">
                      <a:avLst/>
                    </a:prstGeom>
                    <a:noFill/>
                    <a:ln w="9525">
                      <a:noFill/>
                      <a:headEnd/>
                      <a:tailEnd/>
                    </a:ln>
                  </pic:spPr>
                </pic:pic>
              </a:graphicData>
            </a:graphic>
          </wp:inline>
        </w:drawing>
      </w:r>
    </w:p>
    <w:p>
      <w:pPr>
        <w:pStyle w:val="BodyText"/>
      </w:pPr>
      <w:r>
        <w:rPr>
          <w:i/>
        </w:rPr>
        <w:t xml:space="preserve">Figure 7: Time scaled phylogeny co-estimated with epidemiological parameters. The colour of the tips corresponds to location sampling; red tips were sampled from within Portugal, blue tips from outside.</w:t>
      </w:r>
    </w:p>
    <w:p>
      <w:pPr>
        <w:pStyle w:val="Heading5"/>
      </w:pPr>
      <w:bookmarkStart w:id="38" w:name="X46bbbc507187ef90455f7d3e163665f1167f385"/>
      <w:r>
        <w:t xml:space="preserve">Molecular clock rate of evolution:</w:t>
      </w:r>
      <w:r>
        <w:t xml:space="preserve"> </w:t>
      </w:r>
      <w:r>
        <w:rPr>
          <w:b/>
        </w:rPr>
        <w:t xml:space="preserve">0.00144 [0.00117-0.00175]</w:t>
      </w:r>
      <w:r>
        <w:t xml:space="preserve"> </w:t>
      </w:r>
      <w:r>
        <w:t xml:space="preserve">median [95% CrI]</w:t>
      </w:r>
      <w:bookmarkEnd w:id="38"/>
    </w:p>
    <w:p>
      <w:pPr>
        <w:pStyle w:val="Heading2"/>
      </w:pPr>
      <w:bookmarkStart w:id="39" w:name="X189ef4839c32d163ad55bd7f88fbdff96808d45"/>
      <w:r>
        <w:t xml:space="preserve">Predicted cumulative infections over next 14 days (assuming exponential growth):</w:t>
      </w:r>
      <w:bookmarkEnd w:id="39"/>
    </w:p>
    <w:p>
      <w:pPr>
        <w:pStyle w:val="FirstParagraph"/>
      </w:pPr>
      <w:r>
        <w:drawing>
          <wp:inline>
            <wp:extent cx="5486400" cy="3916244"/>
            <wp:effectExtent b="0" l="0" r="0" t="0"/>
            <wp:docPr descr="" title="" id="1" name="Picture"/>
            <a:graphic>
              <a:graphicData uri="http://schemas.openxmlformats.org/drawingml/2006/picture">
                <pic:pic>
                  <pic:nvPicPr>
                    <pic:cNvPr descr="cumu_inf_exp_model.png" id="0" name="Picture"/>
                    <pic:cNvPicPr>
                      <a:picLocks noChangeArrowheads="1" noChangeAspect="1"/>
                    </pic:cNvPicPr>
                  </pic:nvPicPr>
                  <pic:blipFill>
                    <a:blip r:embed="rId4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8: Cumulative estimated infections. The dashed line indicates the date of last sample in Portugal in this analysis. The points represent reported cases in Portugal.</w:t>
      </w:r>
    </w:p>
    <w:p>
      <w:pPr>
        <w:pStyle w:val="BodyText"/>
      </w:pPr>
      <w:r>
        <w:t xml:space="preserve">Based on an estimated growth rate of 0.178 [0.121 - 0.252] median [95% CrI]:</w:t>
      </w:r>
    </w:p>
    <w:p>
      <w:pPr>
        <w:pStyle w:val="BodyText"/>
      </w:pPr>
      <w:r>
        <w:t xml:space="preserve">We estimate cumulative number of infections at last sample (2020-05-04) as: 4918483 [62421 - 1239184180]</w:t>
      </w:r>
    </w:p>
    <w:p>
      <w:pPr>
        <w:pStyle w:val="BodyText"/>
      </w:pPr>
      <w:r>
        <w:t xml:space="preserve">We estimate number of infections at 2020-05-18 (14 days after last sample) as:</w:t>
      </w:r>
      <w:r>
        <w:t xml:space="preserve"> </w:t>
      </w:r>
      <w:r>
        <w:t xml:space="preserve">56613908 [390104 - NA]</w:t>
      </w:r>
    </w:p>
    <w:p>
      <w:pPr>
        <w:pStyle w:val="Heading2"/>
      </w:pPr>
      <w:bookmarkStart w:id="41" w:name="methods-summary"/>
      <w:r>
        <w:t xml:space="preserve">Methods summary</w:t>
      </w:r>
      <w:bookmarkEnd w:id="41"/>
    </w:p>
    <w:p>
      <w:pPr>
        <w:pStyle w:val="FirstParagraph"/>
      </w:pPr>
      <w:r>
        <w:t xml:space="preserve">Details on methods and priors can be</w:t>
      </w:r>
      <w:r>
        <w:t xml:space="preserve"> </w:t>
      </w:r>
      <w:hyperlink r:id="rId42">
        <w:r>
          <w:rPr>
            <w:rStyle w:val="Hyperlink"/>
          </w:rPr>
          <w:t xml:space="preserve">found here</w:t>
        </w:r>
      </w:hyperlink>
      <w:r>
        <w:t xml:space="preserve">.</w:t>
      </w:r>
    </w:p>
    <w:p>
      <w:pPr>
        <w:pStyle w:val="TableCaption"/>
      </w:pPr>
      <w:r>
        <w:t xml:space="preserve">Effective sample size of model parameters</w:t>
      </w:r>
    </w:p>
    <w:tbl>
      <w:tblPr>
        <w:tblStyle w:val="Table"/>
        <w:tblW w:type="pct" w:w="2777.777777777778"/>
        <w:tblLook w:firstRow="1"/>
        <w:tblCaption w:val="Effective sample size of model parameters"/>
      </w:tblPr>
      <w:tblGrid>
        <w:gridCol w:w="2420"/>
        <w:gridCol w:w="1210"/>
        <w:gridCol w:w="770"/>
      </w:tblGrid>
      <w:tr>
        <w:trPr>
          <w:cnfStyle w:firstRow="1"/>
        </w:trPr>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ESS</w:t>
            </w:r>
          </w:p>
        </w:tc>
      </w:tr>
      <w:tr>
        <w:tc>
          <w:p>
            <w:pPr>
              <w:pStyle w:val="Compact"/>
              <w:jc w:val="center"/>
            </w:pPr>
            <w:r>
              <w:t xml:space="preserve">posterior</w:t>
            </w:r>
          </w:p>
        </w:tc>
        <w:tc>
          <w:p>
            <w:pPr>
              <w:pStyle w:val="Compact"/>
              <w:jc w:val="center"/>
            </w:pPr>
            <w:r>
              <w:t xml:space="preserve">-43503</w:t>
            </w:r>
          </w:p>
        </w:tc>
        <w:tc>
          <w:p>
            <w:pPr>
              <w:pStyle w:val="Compact"/>
              <w:jc w:val="center"/>
            </w:pPr>
            <w:r>
              <w:t xml:space="preserve">788</w:t>
            </w:r>
          </w:p>
        </w:tc>
      </w:tr>
      <w:tr>
        <w:tc>
          <w:p>
            <w:pPr>
              <w:pStyle w:val="Compact"/>
              <w:jc w:val="center"/>
            </w:pPr>
            <w:r>
              <w:t xml:space="preserve">likelihood</w:t>
            </w:r>
          </w:p>
        </w:tc>
        <w:tc>
          <w:p>
            <w:pPr>
              <w:pStyle w:val="Compact"/>
              <w:jc w:val="center"/>
            </w:pPr>
            <w:r>
              <w:t xml:space="preserve">-43426</w:t>
            </w:r>
          </w:p>
        </w:tc>
        <w:tc>
          <w:p>
            <w:pPr>
              <w:pStyle w:val="Compact"/>
              <w:jc w:val="center"/>
            </w:pPr>
            <w:r>
              <w:t xml:space="preserve">215</w:t>
            </w:r>
          </w:p>
        </w:tc>
      </w:tr>
      <w:tr>
        <w:tc>
          <w:p>
            <w:pPr>
              <w:pStyle w:val="Compact"/>
              <w:jc w:val="center"/>
            </w:pPr>
            <w:r>
              <w:t xml:space="preserve">prior</w:t>
            </w:r>
          </w:p>
        </w:tc>
        <w:tc>
          <w:p>
            <w:pPr>
              <w:pStyle w:val="Compact"/>
              <w:jc w:val="center"/>
            </w:pPr>
            <w:r>
              <w:t xml:space="preserve">-76.69</w:t>
            </w:r>
          </w:p>
        </w:tc>
        <w:tc>
          <w:p>
            <w:pPr>
              <w:pStyle w:val="Compact"/>
              <w:jc w:val="center"/>
            </w:pPr>
            <w:r>
              <w:t xml:space="preserve">509</w:t>
            </w:r>
          </w:p>
        </w:tc>
      </w:tr>
      <w:tr>
        <w:tc>
          <w:p>
            <w:pPr>
              <w:pStyle w:val="Compact"/>
              <w:jc w:val="center"/>
            </w:pPr>
            <w:r>
              <w:t xml:space="preserve">treeLikelihood.algn</w:t>
            </w:r>
          </w:p>
        </w:tc>
        <w:tc>
          <w:p>
            <w:pPr>
              <w:pStyle w:val="Compact"/>
              <w:jc w:val="center"/>
            </w:pPr>
            <w:r>
              <w:t xml:space="preserve">-43426</w:t>
            </w:r>
          </w:p>
        </w:tc>
        <w:tc>
          <w:p>
            <w:pPr>
              <w:pStyle w:val="Compact"/>
              <w:jc w:val="center"/>
            </w:pPr>
            <w:r>
              <w:t xml:space="preserve">215</w:t>
            </w:r>
          </w:p>
        </w:tc>
      </w:tr>
      <w:tr>
        <w:tc>
          <w:p>
            <w:pPr>
              <w:pStyle w:val="Compact"/>
              <w:jc w:val="center"/>
            </w:pPr>
            <w:r>
              <w:t xml:space="preserve">TreeHeight</w:t>
            </w:r>
          </w:p>
        </w:tc>
        <w:tc>
          <w:p>
            <w:pPr>
              <w:pStyle w:val="Compact"/>
              <w:jc w:val="center"/>
            </w:pPr>
            <w:r>
              <w:t xml:space="preserve">0.3311</w:t>
            </w:r>
          </w:p>
        </w:tc>
        <w:tc>
          <w:p>
            <w:pPr>
              <w:pStyle w:val="Compact"/>
              <w:jc w:val="center"/>
            </w:pPr>
            <w:r>
              <w:t xml:space="preserve">417</w:t>
            </w:r>
          </w:p>
        </w:tc>
      </w:tr>
      <w:tr>
        <w:tc>
          <w:p>
            <w:pPr>
              <w:pStyle w:val="Compact"/>
              <w:jc w:val="center"/>
            </w:pPr>
            <w:r>
              <w:t xml:space="preserve">clockRate</w:t>
            </w:r>
          </w:p>
        </w:tc>
        <w:tc>
          <w:p>
            <w:pPr>
              <w:pStyle w:val="Compact"/>
              <w:jc w:val="center"/>
            </w:pPr>
            <w:r>
              <w:t xml:space="preserve">0.001441</w:t>
            </w:r>
          </w:p>
        </w:tc>
        <w:tc>
          <w:p>
            <w:pPr>
              <w:pStyle w:val="Compact"/>
              <w:jc w:val="center"/>
            </w:pPr>
            <w:r>
              <w:t xml:space="preserve">158</w:t>
            </w:r>
          </w:p>
        </w:tc>
      </w:tr>
      <w:tr>
        <w:tc>
          <w:p>
            <w:pPr>
              <w:pStyle w:val="Compact"/>
              <w:jc w:val="center"/>
            </w:pPr>
            <w:r>
              <w:t xml:space="preserve">kappa</w:t>
            </w:r>
          </w:p>
        </w:tc>
        <w:tc>
          <w:p>
            <w:pPr>
              <w:pStyle w:val="Compact"/>
              <w:jc w:val="center"/>
            </w:pPr>
            <w:r>
              <w:t xml:space="preserve">5.264</w:t>
            </w:r>
          </w:p>
        </w:tc>
        <w:tc>
          <w:p>
            <w:pPr>
              <w:pStyle w:val="Compact"/>
              <w:jc w:val="center"/>
            </w:pPr>
            <w:r>
              <w:t xml:space="preserve">2634</w:t>
            </w:r>
          </w:p>
        </w:tc>
      </w:tr>
      <w:tr>
        <w:tc>
          <w:p>
            <w:pPr>
              <w:pStyle w:val="Compact"/>
              <w:jc w:val="center"/>
            </w:pPr>
            <w:r>
              <w:t xml:space="preserve">PhydynSEIR</w:t>
            </w:r>
          </w:p>
        </w:tc>
        <w:tc>
          <w:p>
            <w:pPr>
              <w:pStyle w:val="Compact"/>
              <w:jc w:val="center"/>
            </w:pPr>
            <w:r>
              <w:t xml:space="preserve">-44.08</w:t>
            </w:r>
          </w:p>
        </w:tc>
        <w:tc>
          <w:p>
            <w:pPr>
              <w:pStyle w:val="Compact"/>
              <w:jc w:val="center"/>
            </w:pPr>
            <w:r>
              <w:t xml:space="preserve">385</w:t>
            </w:r>
          </w:p>
        </w:tc>
      </w:tr>
      <w:tr>
        <w:tc>
          <w:p>
            <w:pPr>
              <w:pStyle w:val="Compact"/>
              <w:jc w:val="center"/>
            </w:pPr>
            <w:r>
              <w:t xml:space="preserve">seir.E</w:t>
            </w:r>
          </w:p>
        </w:tc>
        <w:tc>
          <w:p>
            <w:pPr>
              <w:pStyle w:val="Compact"/>
              <w:jc w:val="center"/>
            </w:pPr>
            <w:r>
              <w:t xml:space="preserve">28.32</w:t>
            </w:r>
          </w:p>
        </w:tc>
        <w:tc>
          <w:p>
            <w:pPr>
              <w:pStyle w:val="Compact"/>
              <w:jc w:val="center"/>
            </w:pPr>
            <w:r>
              <w:t xml:space="preserve">376</w:t>
            </w:r>
          </w:p>
        </w:tc>
      </w:tr>
      <w:tr>
        <w:tc>
          <w:p>
            <w:pPr>
              <w:pStyle w:val="Compact"/>
              <w:jc w:val="center"/>
            </w:pPr>
            <w:r>
              <w:t xml:space="preserve">seir.S</w:t>
            </w:r>
          </w:p>
        </w:tc>
        <w:tc>
          <w:p>
            <w:pPr>
              <w:pStyle w:val="Compact"/>
              <w:jc w:val="center"/>
            </w:pPr>
            <w:r>
              <w:t xml:space="preserve">67972</w:t>
            </w:r>
          </w:p>
        </w:tc>
        <w:tc>
          <w:p>
            <w:pPr>
              <w:pStyle w:val="Compact"/>
              <w:jc w:val="center"/>
            </w:pPr>
            <w:r>
              <w:t xml:space="preserve">126</w:t>
            </w:r>
          </w:p>
        </w:tc>
      </w:tr>
      <w:tr>
        <w:tc>
          <w:p>
            <w:pPr>
              <w:pStyle w:val="Compact"/>
              <w:jc w:val="center"/>
            </w:pPr>
            <w:r>
              <w:t xml:space="preserve">seir.b</w:t>
            </w:r>
          </w:p>
        </w:tc>
        <w:tc>
          <w:p>
            <w:pPr>
              <w:pStyle w:val="Compact"/>
              <w:jc w:val="center"/>
            </w:pPr>
            <w:r>
              <w:t xml:space="preserve">19.52</w:t>
            </w:r>
          </w:p>
        </w:tc>
        <w:tc>
          <w:p>
            <w:pPr>
              <w:pStyle w:val="Compact"/>
              <w:jc w:val="center"/>
            </w:pPr>
            <w:r>
              <w:t xml:space="preserve">204</w:t>
            </w:r>
          </w:p>
        </w:tc>
      </w:tr>
      <w:tr>
        <w:tc>
          <w:p>
            <w:pPr>
              <w:pStyle w:val="Compact"/>
              <w:jc w:val="center"/>
            </w:pPr>
            <w:r>
              <w:t xml:space="preserve">seir.exog</w:t>
            </w:r>
          </w:p>
        </w:tc>
        <w:tc>
          <w:p>
            <w:pPr>
              <w:pStyle w:val="Compact"/>
              <w:jc w:val="center"/>
            </w:pPr>
            <w:r>
              <w:t xml:space="preserve">0.000716</w:t>
            </w:r>
          </w:p>
        </w:tc>
        <w:tc>
          <w:p>
            <w:pPr>
              <w:pStyle w:val="Compact"/>
              <w:jc w:val="center"/>
            </w:pPr>
            <w:r>
              <w:t xml:space="preserve">99</w:t>
            </w:r>
          </w:p>
        </w:tc>
      </w:tr>
      <w:tr>
        <w:tc>
          <w:p>
            <w:pPr>
              <w:pStyle w:val="Compact"/>
              <w:jc w:val="center"/>
            </w:pPr>
            <w:r>
              <w:t xml:space="preserve">seir.exogGrowthRate</w:t>
            </w:r>
          </w:p>
        </w:tc>
        <w:tc>
          <w:p>
            <w:pPr>
              <w:pStyle w:val="Compact"/>
              <w:jc w:val="center"/>
            </w:pPr>
            <w:r>
              <w:t xml:space="preserve">30.79</w:t>
            </w:r>
          </w:p>
        </w:tc>
        <w:tc>
          <w:p>
            <w:pPr>
              <w:pStyle w:val="Compact"/>
              <w:jc w:val="center"/>
            </w:pPr>
            <w:r>
              <w:t xml:space="preserve">26</w:t>
            </w:r>
          </w:p>
        </w:tc>
      </w:tr>
      <w:tr>
        <w:tc>
          <w:p>
            <w:pPr>
              <w:pStyle w:val="Compact"/>
              <w:jc w:val="center"/>
            </w:pPr>
            <w:r>
              <w:t xml:space="preserve">seir.importRate</w:t>
            </w:r>
          </w:p>
        </w:tc>
        <w:tc>
          <w:p>
            <w:pPr>
              <w:pStyle w:val="Compact"/>
              <w:jc w:val="center"/>
            </w:pPr>
            <w:r>
              <w:t xml:space="preserve">7.69</w:t>
            </w:r>
          </w:p>
        </w:tc>
        <w:tc>
          <w:p>
            <w:pPr>
              <w:pStyle w:val="Compact"/>
              <w:jc w:val="center"/>
            </w:pPr>
            <w:r>
              <w:t xml:space="preserve">421</w:t>
            </w:r>
          </w:p>
        </w:tc>
      </w:tr>
      <w:tr>
        <w:tc>
          <w:p>
            <w:pPr>
              <w:pStyle w:val="Compact"/>
              <w:jc w:val="center"/>
            </w:pPr>
            <w:r>
              <w:t xml:space="preserve">seir.p_h</w:t>
            </w:r>
          </w:p>
        </w:tc>
        <w:tc>
          <w:p>
            <w:pPr>
              <w:pStyle w:val="Compact"/>
              <w:jc w:val="center"/>
            </w:pPr>
            <w:r>
              <w:t xml:space="preserve">0.2492</w:t>
            </w:r>
          </w:p>
        </w:tc>
        <w:tc>
          <w:p>
            <w:pPr>
              <w:pStyle w:val="Compact"/>
              <w:jc w:val="center"/>
            </w:pPr>
            <w:r>
              <w:t xml:space="preserve">489</w:t>
            </w:r>
          </w:p>
        </w:tc>
      </w:tr>
      <w:tr>
        <w:tc>
          <w:p>
            <w:pPr>
              <w:pStyle w:val="Compact"/>
              <w:jc w:val="center"/>
            </w:pPr>
            <w:r>
              <w:t xml:space="preserve">seir.tau</w:t>
            </w:r>
          </w:p>
        </w:tc>
        <w:tc>
          <w:p>
            <w:pPr>
              <w:pStyle w:val="Compact"/>
              <w:jc w:val="center"/>
            </w:pPr>
            <w:r>
              <w:t xml:space="preserve">74.13</w:t>
            </w:r>
          </w:p>
        </w:tc>
        <w:tc>
          <w:p>
            <w:pPr>
              <w:pStyle w:val="Compact"/>
              <w:jc w:val="center"/>
            </w:pPr>
            <w:r>
              <w:t xml:space="preserve">338</w:t>
            </w:r>
          </w:p>
        </w:tc>
      </w:tr>
      <w:tr>
        <w:tc>
          <w:p>
            <w:pPr>
              <w:pStyle w:val="Compact"/>
              <w:jc w:val="center"/>
            </w:pPr>
            <w:r>
              <w:t xml:space="preserve">freqParameter.1</w:t>
            </w:r>
          </w:p>
        </w:tc>
        <w:tc>
          <w:p>
            <w:pPr>
              <w:pStyle w:val="Compact"/>
              <w:jc w:val="center"/>
            </w:pPr>
            <w:r>
              <w:t xml:space="preserve">0.2978</w:t>
            </w:r>
          </w:p>
        </w:tc>
        <w:tc>
          <w:p>
            <w:pPr>
              <w:pStyle w:val="Compact"/>
              <w:jc w:val="center"/>
            </w:pPr>
            <w:r>
              <w:t xml:space="preserve">1082</w:t>
            </w:r>
          </w:p>
        </w:tc>
      </w:tr>
      <w:tr>
        <w:tc>
          <w:p>
            <w:pPr>
              <w:pStyle w:val="Compact"/>
              <w:jc w:val="center"/>
            </w:pPr>
            <w:r>
              <w:t xml:space="preserve">freqParameter.2</w:t>
            </w:r>
          </w:p>
        </w:tc>
        <w:tc>
          <w:p>
            <w:pPr>
              <w:pStyle w:val="Compact"/>
              <w:jc w:val="center"/>
            </w:pPr>
            <w:r>
              <w:t xml:space="preserve">0.1827</w:t>
            </w:r>
          </w:p>
        </w:tc>
        <w:tc>
          <w:p>
            <w:pPr>
              <w:pStyle w:val="Compact"/>
              <w:jc w:val="center"/>
            </w:pPr>
            <w:r>
              <w:t xml:space="preserve">1163</w:t>
            </w:r>
          </w:p>
        </w:tc>
      </w:tr>
      <w:tr>
        <w:tc>
          <w:p>
            <w:pPr>
              <w:pStyle w:val="Compact"/>
              <w:jc w:val="center"/>
            </w:pPr>
            <w:r>
              <w:t xml:space="preserve">freqParameter.3</w:t>
            </w:r>
          </w:p>
        </w:tc>
        <w:tc>
          <w:p>
            <w:pPr>
              <w:pStyle w:val="Compact"/>
              <w:jc w:val="center"/>
            </w:pPr>
            <w:r>
              <w:t xml:space="preserve">0.195</w:t>
            </w:r>
          </w:p>
        </w:tc>
        <w:tc>
          <w:p>
            <w:pPr>
              <w:pStyle w:val="Compact"/>
              <w:jc w:val="center"/>
            </w:pPr>
            <w:r>
              <w:t xml:space="preserve">858</w:t>
            </w:r>
          </w:p>
        </w:tc>
      </w:tr>
      <w:tr>
        <w:tc>
          <w:p>
            <w:pPr>
              <w:pStyle w:val="Compact"/>
              <w:jc w:val="center"/>
            </w:pPr>
            <w:r>
              <w:t xml:space="preserve">freqParameter.4</w:t>
            </w:r>
          </w:p>
        </w:tc>
        <w:tc>
          <w:p>
            <w:pPr>
              <w:pStyle w:val="Compact"/>
              <w:jc w:val="center"/>
            </w:pPr>
            <w:r>
              <w:t xml:space="preserve">0.3245</w:t>
            </w:r>
          </w:p>
        </w:tc>
        <w:tc>
          <w:p>
            <w:pPr>
              <w:pStyle w:val="Compact"/>
              <w:jc w:val="center"/>
            </w:pPr>
            <w:r>
              <w:t xml:space="preserve">974</w:t>
            </w:r>
          </w:p>
        </w:tc>
      </w:tr>
      <w:tr>
        <w:tc>
          <w:p>
            <w:pPr>
              <w:pStyle w:val="Compact"/>
              <w:jc w:val="center"/>
            </w:pPr>
            <w:r>
              <w:t xml:space="preserve">gamma0</w:t>
            </w:r>
          </w:p>
        </w:tc>
        <w:tc>
          <w:p>
            <w:pPr>
              <w:pStyle w:val="Compact"/>
              <w:jc w:val="center"/>
            </w:pPr>
            <w:r>
              <w:t xml:space="preserve">73</w:t>
            </w:r>
          </w:p>
        </w:tc>
        <w:tc>
          <w:p>
            <w:pPr>
              <w:pStyle w:val="Compact"/>
              <w:jc w:val="center"/>
            </w:pPr>
            <w:r>
              <w:t xml:space="preserve">NA</w:t>
            </w:r>
          </w:p>
        </w:tc>
      </w:tr>
      <w:tr>
        <w:tc>
          <w:p>
            <w:pPr>
              <w:pStyle w:val="Compact"/>
              <w:jc w:val="center"/>
            </w:pPr>
            <w:r>
              <w:t xml:space="preserve">gamma1</w:t>
            </w:r>
          </w:p>
        </w:tc>
        <w:tc>
          <w:p>
            <w:pPr>
              <w:pStyle w:val="Compact"/>
              <w:jc w:val="center"/>
            </w:pPr>
            <w:r>
              <w:t xml:space="preserve">121.7</w:t>
            </w:r>
          </w:p>
        </w:tc>
        <w:tc>
          <w:p>
            <w:pPr>
              <w:pStyle w:val="Compact"/>
              <w:jc w:val="center"/>
            </w:pPr>
            <w:r>
              <w:t xml:space="preserve">4</w:t>
            </w:r>
          </w:p>
        </w:tc>
      </w:tr>
    </w:tbl>
    <w:p>
      <w:pPr>
        <w:pStyle w:val="BodyText"/>
      </w:pPr>
      <w:r>
        <w:t xml:space="preserve">Model version: seijr0.1.0</w:t>
      </w:r>
    </w:p>
    <w:p>
      <w:pPr>
        <w:pStyle w:val="BodyText"/>
      </w:pPr>
      <w:r>
        <w:t xml:space="preserve">Report version: 20200602-193403-b45dfb4b</w:t>
      </w:r>
    </w:p>
    <w:p>
      <w:pPr>
        <w:pStyle w:val="Heading2"/>
      </w:pPr>
      <w:bookmarkStart w:id="43" w:name="acknowledgements"/>
      <w:r>
        <w:t xml:space="preserve">Acknowledgements</w:t>
      </w:r>
      <w:bookmarkEnd w:id="43"/>
    </w:p>
    <w:p>
      <w:pPr>
        <w:pStyle w:val="FirstParagraph"/>
      </w:pPr>
      <w:r>
        <w:t xml:space="preserve">This work was supported by the</w:t>
      </w:r>
      <w:r>
        <w:t xml:space="preserve"> </w:t>
      </w:r>
      <w:hyperlink r:id="rId44">
        <w:r>
          <w:rPr>
            <w:rStyle w:val="Hyperlink"/>
          </w:rPr>
          <w:t xml:space="preserve">MRC Centre for Global Infectious Disease Analysis at Imperial College London</w:t>
        </w:r>
      </w:hyperlink>
      <w:r>
        <w:t xml:space="preserve">.</w:t>
      </w:r>
    </w:p>
    <w:p>
      <w:pPr>
        <w:pStyle w:val="BodyText"/>
      </w:pPr>
      <w:r>
        <w:t xml:space="preserve">Sequence data were provided by</w:t>
      </w:r>
      <w:r>
        <w:t xml:space="preserve"> </w:t>
      </w:r>
      <w:hyperlink r:id="rId45">
        <w:r>
          <w:rPr>
            <w:rStyle w:val="Hyperlink"/>
          </w:rPr>
          <w:t xml:space="preserve">GISAID</w:t>
        </w:r>
      </w:hyperlink>
      <w:r>
        <w:t xml:space="preserve"> </w:t>
      </w:r>
      <w:r>
        <w:t xml:space="preserve">and</w:t>
      </w:r>
      <w:r>
        <w:t xml:space="preserve"> </w:t>
      </w:r>
      <w:hyperlink r:id="rId46">
        <w:r>
          <w:rPr>
            <w:rStyle w:val="Hyperlink"/>
          </w:rPr>
          <w:t xml:space="preserve">these laboratories</w:t>
        </w:r>
      </w:hyperlink>
      <w:r>
        <w:t xml:space="preserve">.</w:t>
      </w:r>
    </w:p>
    <w:sectPr w:rsidR="00DD23D3" w:rsidRPr="00AF675C">
      <w:pgSz w:w="12240" w:h="15840"/>
      <w:pgMar w:top="1440" w:right="1800" w:bottom="1440" w:left="1800" w:header="0" w:footer="0" w:gutter="0"/>
      <w:cols w:space="720"/>
      <w:formProt w:val="0"/>
      <w:docGrid w:linePitch="24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94C277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0AA919E"/>
    <w:lvl w:ilvl="0">
      <w:start w:val="1"/>
      <w:numFmt w:val="bullet"/>
      <w:lvlText w:val=""/>
      <w:lvlJc w:val="left"/>
      <w:pPr>
        <w:tabs>
          <w:tab w:val="num" w:pos="1209"/>
        </w:tabs>
        <w:ind w:left="1209"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spacing w:before="480" w:after="0"/>
      <w:outlineLvl w:val="0"/>
    </w:pPr>
    <w:rPr>
      <w:rFonts w:ascii="Arial" w:eastAsiaTheme="majorEastAsia" w:hAnsi="Arial"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rsid w:val="00BB03F0"/>
    <w:pPr>
      <w:keepNext/>
      <w:keepLines/>
      <w:pageBreakBefore/>
      <w:spacing w:before="200" w:after="0" w:line="20" w:lineRule="exact"/>
      <w:outlineLvl w:val="5"/>
    </w:pPr>
    <w:rPr>
      <w:rFonts w:asciiTheme="majorHAnsi" w:eastAsiaTheme="majorEastAsia" w:hAnsiTheme="majorHAnsi" w:cstheme="majorBidi"/>
      <w:color w:val="auto"/>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Pr>
      <w:rFonts w:ascii="Arial" w:hAnsi="Arial"/>
    </w:rPr>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73773"/>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rFonts w:ascii="Arial" w:hAnsi="Arial"/>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Heading6"/>
    <w:qFormat/>
    <w:rsid w:val="00DD23D3"/>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_rels/footnotes.xml.rels><?xml version="1.0" encoding="UTF-8"?>
<Relationships xmlns="http://schemas.openxmlformats.org/package/2006/relationships"><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Phylodynamic Analysis: Portugal,: 2020-05-04</dc:title>
  <dc:creator/>
  <cp:keywords/>
  <dcterms:created xsi:type="dcterms:W3CDTF">2020-06-02T23:34:05Z</dcterms:created>
  <dcterms:modified xsi:type="dcterms:W3CDTF">2020-06-02T23:34:05Z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02, 2020</vt:lpwstr>
  </property>
  <property fmtid="{D5CDD505-2E9C-101B-9397-08002B2CF9AE}" pid="3" name="linkcolor">
    <vt:lpwstr>blue</vt:lpwstr>
  </property>
  <property fmtid="{D5CDD505-2E9C-101B-9397-08002B2CF9AE}" pid="4" name="output">
    <vt:lpwstr/>
  </property>
  <property fmtid="{D5CDD505-2E9C-101B-9397-08002B2CF9AE}" pid="5" name="urlcolor">
    <vt:lpwstr>blue</vt:lpwstr>
  </property>
</Properties>
</file>