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ComunitatValenciana,:</w:t>
      </w:r>
      <w:r>
        <w:t xml:space="preserve"> </w:t>
      </w:r>
      <w:r>
        <w:t xml:space="preserve">2020-04-01</w:t>
      </w:r>
    </w:p>
    <w:p>
      <w:pPr>
        <w:pStyle w:val="Date"/>
      </w:pPr>
      <w:r>
        <w:t xml:space="preserve">June</w:t>
      </w:r>
      <w:r>
        <w:t xml:space="preserve"> </w:t>
      </w:r>
      <w:r>
        <w:t xml:space="preserve">03,</w:t>
      </w:r>
      <w:r>
        <w:t xml:space="preserve"> </w:t>
      </w:r>
      <w:r>
        <w:t xml:space="preserve">2020</w:t>
      </w:r>
    </w:p>
    <w:p>
      <w:pPr>
        <w:pStyle w:val="Heading3"/>
      </w:pPr>
      <w:bookmarkStart w:id="20" w:name="primary-author-manon-ragonnet"/>
      <w:r>
        <w:t xml:space="preserve">Primary author: Manon Ragonnet</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6-03"/>
      <w:r>
        <w:t xml:space="preserve">Report prepared on 2020-06-03</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54 whole genomes</w:t>
      </w:r>
      <w:r>
        <w:t xml:space="preserve"> </w:t>
      </w:r>
      <w:r>
        <w:t xml:space="preserve">sampled from</w:t>
      </w:r>
      <w:r>
        <w:t xml:space="preserve"> </w:t>
      </w:r>
      <w:r>
        <w:rPr>
          <w:b/>
        </w:rPr>
        <w:t xml:space="preserve">within ComunitatValenciana</w:t>
      </w:r>
    </w:p>
    <w:p>
      <w:pPr>
        <w:pStyle w:val="Compact"/>
        <w:numPr>
          <w:numId w:val="1001"/>
          <w:ilvl w:val="0"/>
        </w:numPr>
      </w:pPr>
      <w:r>
        <w:rPr>
          <w:b/>
        </w:rPr>
        <w:t xml:space="preserve">49 whole genomes</w:t>
      </w:r>
      <w:r>
        <w:t xml:space="preserve"> </w:t>
      </w:r>
      <w:r>
        <w:t xml:space="preserve">sampled from outside of</w:t>
      </w:r>
      <w:r>
        <w:t xml:space="preserve"> </w:t>
      </w:r>
      <w:r>
        <w:rPr>
          <w:b/>
        </w:rPr>
        <w:t xml:space="preserve">ComunitatValenciana</w:t>
      </w:r>
    </w:p>
    <w:p>
      <w:pPr>
        <w:pStyle w:val="Compact"/>
        <w:numPr>
          <w:numId w:val="1001"/>
          <w:ilvl w:val="0"/>
        </w:numPr>
      </w:pPr>
      <w:r>
        <w:t xml:space="preserve">Samples within ComunitatValenciana were collected between</w:t>
      </w:r>
      <w:r>
        <w:t xml:space="preserve"> </w:t>
      </w:r>
      <w:r>
        <w:rPr>
          <w:b/>
        </w:rPr>
        <w:t xml:space="preserve">2020-02-27</w:t>
      </w:r>
      <w:r>
        <w:t xml:space="preserve"> </w:t>
      </w:r>
      <w:r>
        <w:t xml:space="preserve">and</w:t>
      </w:r>
      <w:r>
        <w:t xml:space="preserve"> </w:t>
      </w:r>
      <w:r>
        <w:rPr>
          <w:b/>
        </w:rPr>
        <w:t xml:space="preserve">2020-04-01</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Xa71cfb2dabcdebdada77632edff836f3091103a"/>
      <w:r>
        <w:t xml:space="preserve">How many are infected in ComunitatValenciana?</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ComunitatValenciana. The dashed line indicates the date of last sample in ComunitatValenciana in this analysis.</w:t>
      </w:r>
    </w:p>
    <w:p>
      <w:pPr>
        <w:numPr>
          <w:numId w:val="1002"/>
          <w:ilvl w:val="0"/>
        </w:numPr>
      </w:pPr>
      <w:r>
        <w:t xml:space="preserve">Estimated cumulative infections at last sample (2020-04-01):</w:t>
      </w:r>
      <w:r>
        <w:t xml:space="preserve"> </w:t>
      </w:r>
      <w:r>
        <w:rPr>
          <w:b/>
        </w:rPr>
        <w:t xml:space="preserve">17807 [6980-76264]</w:t>
      </w:r>
      <w:r>
        <w:t xml:space="preserve"> </w:t>
      </w:r>
      <w:r>
        <w:t xml:space="preserve">median [95%CI]</w:t>
      </w:r>
    </w:p>
    <w:p>
      <w:pPr>
        <w:numPr>
          <w:numId w:val="1002"/>
          <w:ilvl w:val="0"/>
        </w:numPr>
      </w:pPr>
      <w:r>
        <w:t xml:space="preserve">Cumulative confirmed infections reported at 2020-04-01:</w:t>
      </w:r>
      <w:r>
        <w:t xml:space="preserve"> </w:t>
      </w:r>
      <w:r>
        <w:rPr>
          <w:b/>
        </w:rPr>
        <w:t xml:space="preserve">5413</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ComunitatValenciana. The dashed line indicates the date of last sample in ComunitatValenciana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ComunitatValenciana.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ComunitatValenciana in this analysis. Orange and red dashed lines indicate dates of school closure and general lockdown in ComunitatValenciana, respectively.</w:t>
      </w:r>
      <w:r>
        <w:rPr>
          <w:i/>
        </w:rPr>
        <w:t xml:space="preserve"> </w:t>
      </w:r>
    </w:p>
    <w:p>
      <w:pPr>
        <w:pStyle w:val="BodyText"/>
      </w:pPr>
      <w:r>
        <w:t xml:space="preserve">Reproduction number at last sample (2020-04-01):</w:t>
      </w:r>
      <w:r>
        <w:t xml:space="preserve"> </w:t>
      </w:r>
      <w:r>
        <w:rPr>
          <w:b/>
        </w:rPr>
        <w:t xml:space="preserve">0.926 [0.31-1.8]</w:t>
      </w:r>
      <w:r>
        <w:t xml:space="preserve"> </w:t>
      </w:r>
      <w:r>
        <w:t xml:space="preserve">median [95% CrI]</w:t>
      </w:r>
    </w:p>
    <w:p>
      <w:pPr>
        <w:pStyle w:val="Heading2"/>
      </w:pPr>
      <w:bookmarkStart w:id="34" w:name="Xc0df22b63352f85c47522d0fda8f7b422501862"/>
      <w:r>
        <w:t xml:space="preserve">How quickly has the epidemic in ComunitatValenciana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2.16</w:t>
            </w:r>
          </w:p>
        </w:tc>
        <w:tc>
          <w:p>
            <w:pPr>
              <w:pStyle w:val="Compact"/>
              <w:jc w:val="center"/>
            </w:pPr>
            <w:r>
              <w:t xml:space="preserve">0.119</w:t>
            </w:r>
          </w:p>
        </w:tc>
        <w:tc>
          <w:p>
            <w:pPr>
              <w:pStyle w:val="Compact"/>
              <w:jc w:val="center"/>
            </w:pPr>
            <w:r>
              <w:t xml:space="preserve">5.84</w:t>
            </w:r>
          </w:p>
        </w:tc>
      </w:tr>
      <w:tr>
        <w:tc>
          <w:p>
            <w:pPr>
              <w:pStyle w:val="Compact"/>
              <w:jc w:val="center"/>
            </w:pPr>
            <w:r>
              <w:t xml:space="preserve">2.5%</w:t>
            </w:r>
          </w:p>
        </w:tc>
        <w:tc>
          <w:p>
            <w:pPr>
              <w:pStyle w:val="Compact"/>
              <w:jc w:val="center"/>
            </w:pPr>
            <w:r>
              <w:t xml:space="preserve">1.82</w:t>
            </w:r>
          </w:p>
        </w:tc>
        <w:tc>
          <w:p>
            <w:pPr>
              <w:pStyle w:val="Compact"/>
              <w:jc w:val="center"/>
            </w:pPr>
            <w:r>
              <w:t xml:space="preserve">0.0876</w:t>
            </w:r>
          </w:p>
        </w:tc>
        <w:tc>
          <w:p>
            <w:pPr>
              <w:pStyle w:val="Compact"/>
              <w:jc w:val="center"/>
            </w:pPr>
            <w:r>
              <w:t xml:space="preserve">4.41</w:t>
            </w:r>
          </w:p>
        </w:tc>
      </w:tr>
      <w:tr>
        <w:tc>
          <w:p>
            <w:pPr>
              <w:pStyle w:val="Compact"/>
              <w:jc w:val="center"/>
            </w:pPr>
            <w:r>
              <w:t xml:space="preserve">97.5%</w:t>
            </w:r>
          </w:p>
        </w:tc>
        <w:tc>
          <w:p>
            <w:pPr>
              <w:pStyle w:val="Compact"/>
              <w:jc w:val="center"/>
            </w:pPr>
            <w:r>
              <w:t xml:space="preserve">2.63</w:t>
            </w:r>
          </w:p>
        </w:tc>
        <w:tc>
          <w:p>
            <w:pPr>
              <w:pStyle w:val="Compact"/>
              <w:jc w:val="center"/>
            </w:pPr>
            <w:r>
              <w:t xml:space="preserve">0.157</w:t>
            </w:r>
          </w:p>
        </w:tc>
        <w:tc>
          <w:p>
            <w:pPr>
              <w:pStyle w:val="Compact"/>
              <w:jc w:val="center"/>
            </w:pPr>
            <w:r>
              <w:t xml:space="preserve">7.91</w:t>
            </w:r>
          </w:p>
        </w:tc>
      </w:tr>
    </w:tbl>
    <w:p>
      <w:pPr>
        <w:pStyle w:val="Heading2"/>
      </w:pPr>
      <w:bookmarkStart w:id="35" w:name="X133c035635201202a213bfbdaa2e0efb2c02531"/>
      <w:r>
        <w:t xml:space="preserve">How has SARS-CoV 2 evolved in ComunitatValenciana?</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ComunitatValenciana, blue tips from outside.</w:t>
      </w:r>
    </w:p>
    <w:p>
      <w:pPr>
        <w:pStyle w:val="Heading5"/>
      </w:pPr>
      <w:bookmarkStart w:id="38" w:name="X17b084ed56bf55029db44a440fa1f3a69ff04db"/>
      <w:r>
        <w:t xml:space="preserve">Molecular clock rate of evolution:</w:t>
      </w:r>
      <w:r>
        <w:t xml:space="preserve"> </w:t>
      </w:r>
      <w:r>
        <w:rPr>
          <w:b/>
        </w:rPr>
        <w:t xml:space="preserve">0.000818 [0.000645-0.00108]</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ComunitatValenciana in this analysis. The points represent reported cases in ComunitatValenciana.</w:t>
      </w:r>
    </w:p>
    <w:p>
      <w:pPr>
        <w:pStyle w:val="BodyText"/>
      </w:pPr>
      <w:r>
        <w:t xml:space="preserve">Based on an estimated growth rate of 0.119 [0.0876 - 0.157] median [95% CrI]:</w:t>
      </w:r>
    </w:p>
    <w:p>
      <w:pPr>
        <w:pStyle w:val="BodyText"/>
      </w:pPr>
      <w:r>
        <w:t xml:space="preserve">We estimate cumulative number of infections at last sample (2020-04-01) as: 45488 [4200 - 765374]</w:t>
      </w:r>
    </w:p>
    <w:p>
      <w:pPr>
        <w:pStyle w:val="BodyText"/>
      </w:pPr>
      <w:r>
        <w:t xml:space="preserve">We estimate number of infections at 2020-05-18 (47 days after last sample) as:</w:t>
      </w:r>
      <w:r>
        <w:t xml:space="preserve"> </w:t>
      </w:r>
      <w:r>
        <w:t xml:space="preserve">12297096 [249384 - 1307777938]</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916.6666666666665"/>
        <w:tblLook w:firstRow="1"/>
        <w:tblCaption w:val="Effective sample size of model parameters"/>
      </w:tblPr>
      <w:tblGrid>
        <w:gridCol w:w="2420"/>
        <w:gridCol w:w="1320"/>
        <w:gridCol w:w="88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-43004</w:t>
            </w:r>
          </w:p>
        </w:tc>
        <w:tc>
          <w:p>
            <w:pPr>
              <w:pStyle w:val="Compact"/>
              <w:jc w:val="center"/>
            </w:pPr>
            <w:r>
              <w:t xml:space="preserve">194</w:t>
            </w:r>
          </w:p>
        </w:tc>
      </w:tr>
      <w:tr>
        <w:tc>
          <w:p>
            <w:pPr>
              <w:pStyle w:val="Compact"/>
              <w:jc w:val="center"/>
            </w:pPr>
            <w:r>
              <w:t xml:space="preserve">likelihood</w:t>
            </w:r>
          </w:p>
        </w:tc>
        <w:tc>
          <w:p>
            <w:pPr>
              <w:pStyle w:val="Compact"/>
              <w:jc w:val="center"/>
            </w:pPr>
            <w:r>
              <w:t xml:space="preserve">-42889</w:t>
            </w:r>
          </w:p>
        </w:tc>
        <w:tc>
          <w:p>
            <w:pPr>
              <w:pStyle w:val="Compact"/>
              <w:jc w:val="center"/>
            </w:pPr>
            <w:r>
              <w:t xml:space="preserve">5846</w:t>
            </w:r>
          </w:p>
        </w:tc>
      </w:tr>
      <w:tr>
        <w:tc>
          <w:p>
            <w:pPr>
              <w:pStyle w:val="Compact"/>
              <w:jc w:val="center"/>
            </w:pPr>
            <w:r>
              <w:t xml:space="preserve">prior</w:t>
            </w:r>
          </w:p>
        </w:tc>
        <w:tc>
          <w:p>
            <w:pPr>
              <w:pStyle w:val="Compact"/>
              <w:jc w:val="center"/>
            </w:pPr>
            <w:r>
              <w:t xml:space="preserve">-114.9</w:t>
            </w:r>
          </w:p>
        </w:tc>
        <w:tc>
          <w:p>
            <w:pPr>
              <w:pStyle w:val="Compact"/>
              <w:jc w:val="center"/>
            </w:pPr>
            <w:r>
              <w:t xml:space="preserve">190</w:t>
            </w:r>
          </w:p>
        </w:tc>
      </w:tr>
      <w:tr>
        <w:tc>
          <w:p>
            <w:pPr>
              <w:pStyle w:val="Compact"/>
              <w:jc w:val="center"/>
            </w:pPr>
            <w:r>
              <w:t xml:space="preserve">treeLikelihood.algn</w:t>
            </w:r>
          </w:p>
        </w:tc>
        <w:tc>
          <w:p>
            <w:pPr>
              <w:pStyle w:val="Compact"/>
              <w:jc w:val="center"/>
            </w:pPr>
            <w:r>
              <w:t xml:space="preserve">-42889</w:t>
            </w:r>
          </w:p>
        </w:tc>
        <w:tc>
          <w:p>
            <w:pPr>
              <w:pStyle w:val="Compact"/>
              <w:jc w:val="center"/>
            </w:pPr>
            <w:r>
              <w:t xml:space="preserve">5846</w:t>
            </w:r>
          </w:p>
        </w:tc>
      </w:tr>
      <w:tr>
        <w:tc>
          <w:p>
            <w:pPr>
              <w:pStyle w:val="Compact"/>
              <w:jc w:val="center"/>
            </w:pPr>
            <w:r>
              <w:t xml:space="preserve">TreeHeight</w:t>
            </w:r>
          </w:p>
        </w:tc>
        <w:tc>
          <w:p>
            <w:pPr>
              <w:pStyle w:val="Compact"/>
              <w:jc w:val="center"/>
            </w:pPr>
            <w:r>
              <w:t xml:space="preserve">0.4457</w:t>
            </w:r>
          </w:p>
        </w:tc>
        <w:tc>
          <w:p>
            <w:pPr>
              <w:pStyle w:val="Compact"/>
              <w:jc w:val="center"/>
            </w:pPr>
            <w:r>
              <w:t xml:space="preserve">350</w:t>
            </w:r>
          </w:p>
        </w:tc>
      </w:tr>
      <w:tr>
        <w:tc>
          <w:p>
            <w:pPr>
              <w:pStyle w:val="Compact"/>
              <w:jc w:val="center"/>
            </w:pPr>
            <w:r>
              <w:t xml:space="preserve">clockRate</w:t>
            </w:r>
          </w:p>
        </w:tc>
        <w:tc>
          <w:p>
            <w:pPr>
              <w:pStyle w:val="Compact"/>
              <w:jc w:val="center"/>
            </w:pPr>
            <w:r>
              <w:t xml:space="preserve">0.0008301</w:t>
            </w:r>
          </w:p>
        </w:tc>
        <w:tc>
          <w:p>
            <w:pPr>
              <w:pStyle w:val="Compact"/>
              <w:jc w:val="center"/>
            </w:pPr>
            <w:r>
              <w:t xml:space="preserve">332</w:t>
            </w:r>
          </w:p>
        </w:tc>
      </w:tr>
      <w:tr>
        <w:tc>
          <w:p>
            <w:pPr>
              <w:pStyle w:val="Compact"/>
              <w:jc w:val="center"/>
            </w:pPr>
            <w:r>
              <w:t xml:space="preserve">kappa</w:t>
            </w:r>
          </w:p>
        </w:tc>
        <w:tc>
          <w:p>
            <w:pPr>
              <w:pStyle w:val="Compact"/>
              <w:jc w:val="center"/>
            </w:pPr>
            <w:r>
              <w:t xml:space="preserve">3.373</w:t>
            </w:r>
          </w:p>
        </w:tc>
        <w:tc>
          <w:p>
            <w:pPr>
              <w:pStyle w:val="Compact"/>
              <w:jc w:val="center"/>
            </w:pPr>
            <w:r>
              <w:t xml:space="preserve">32227</w:t>
            </w:r>
          </w:p>
        </w:tc>
      </w:tr>
      <w:tr>
        <w:tc>
          <w:p>
            <w:pPr>
              <w:pStyle w:val="Compact"/>
              <w:jc w:val="center"/>
            </w:pPr>
            <w:r>
              <w:t xml:space="preserve">PhydynSEIR</w:t>
            </w:r>
          </w:p>
        </w:tc>
        <w:tc>
          <w:p>
            <w:pPr>
              <w:pStyle w:val="Compact"/>
              <w:jc w:val="center"/>
            </w:pPr>
            <w:r>
              <w:t xml:space="preserve">-85.04</w:t>
            </w:r>
          </w:p>
        </w:tc>
        <w:tc>
          <w:p>
            <w:pPr>
              <w:pStyle w:val="Compact"/>
              <w:jc w:val="center"/>
            </w:pPr>
            <w:r>
              <w:t xml:space="preserve">188</w:t>
            </w:r>
          </w:p>
        </w:tc>
      </w:tr>
      <w:tr>
        <w:tc>
          <w:p>
            <w:pPr>
              <w:pStyle w:val="Compact"/>
              <w:jc w:val="center"/>
            </w:pPr>
            <w:r>
              <w:t xml:space="preserve">seir.E</w:t>
            </w:r>
          </w:p>
        </w:tc>
        <w:tc>
          <w:p>
            <w:pPr>
              <w:pStyle w:val="Compact"/>
              <w:jc w:val="center"/>
            </w:pPr>
            <w:r>
              <w:t xml:space="preserve">16.46</w:t>
            </w:r>
          </w:p>
        </w:tc>
        <w:tc>
          <w:p>
            <w:pPr>
              <w:pStyle w:val="Compact"/>
              <w:jc w:val="center"/>
            </w:pPr>
            <w:r>
              <w:t xml:space="preserve">206</w:t>
            </w:r>
          </w:p>
        </w:tc>
      </w:tr>
      <w:tr>
        <w:tc>
          <w:p>
            <w:pPr>
              <w:pStyle w:val="Compact"/>
              <w:jc w:val="center"/>
            </w:pPr>
            <w:r>
              <w:t xml:space="preserve">seir.S</w:t>
            </w:r>
          </w:p>
        </w:tc>
        <w:tc>
          <w:p>
            <w:pPr>
              <w:pStyle w:val="Compact"/>
              <w:jc w:val="center"/>
            </w:pPr>
            <w:r>
              <w:t xml:space="preserve">67939</w:t>
            </w:r>
          </w:p>
        </w:tc>
        <w:tc>
          <w:p>
            <w:pPr>
              <w:pStyle w:val="Compact"/>
              <w:jc w:val="center"/>
            </w:pPr>
            <w:r>
              <w:t xml:space="preserve">654</w:t>
            </w:r>
          </w:p>
        </w:tc>
      </w:tr>
      <w:tr>
        <w:tc>
          <w:p>
            <w:pPr>
              <w:pStyle w:val="Compact"/>
              <w:jc w:val="center"/>
            </w:pPr>
            <w:r>
              <w:t xml:space="preserve">seir.b</w:t>
            </w:r>
          </w:p>
        </w:tc>
        <w:tc>
          <w:p>
            <w:pPr>
              <w:pStyle w:val="Compact"/>
              <w:jc w:val="center"/>
            </w:pPr>
            <w:r>
              <w:t xml:space="preserve">16.9</w:t>
            </w:r>
          </w:p>
        </w:tc>
        <w:tc>
          <w:p>
            <w:pPr>
              <w:pStyle w:val="Compact"/>
              <w:jc w:val="center"/>
            </w:pPr>
            <w:r>
              <w:t xml:space="preserve">511</w:t>
            </w:r>
          </w:p>
        </w:tc>
      </w:tr>
      <w:tr>
        <w:tc>
          <w:p>
            <w:pPr>
              <w:pStyle w:val="Compact"/>
              <w:jc w:val="center"/>
            </w:pPr>
            <w:r>
              <w:t xml:space="preserve">seir.exog</w:t>
            </w:r>
          </w:p>
        </w:tc>
        <w:tc>
          <w:p>
            <w:pPr>
              <w:pStyle w:val="Compact"/>
              <w:jc w:val="center"/>
            </w:pPr>
            <w:r>
              <w:t xml:space="preserve">0.06106</w:t>
            </w:r>
          </w:p>
        </w:tc>
        <w:tc>
          <w:p>
            <w:pPr>
              <w:pStyle w:val="Compact"/>
              <w:jc w:val="center"/>
            </w:pPr>
            <w:r>
              <w:t xml:space="preserve">885</w:t>
            </w:r>
          </w:p>
        </w:tc>
      </w:tr>
      <w:tr>
        <w:tc>
          <w:p>
            <w:pPr>
              <w:pStyle w:val="Compact"/>
              <w:jc w:val="center"/>
            </w:pPr>
            <w:r>
              <w:t xml:space="preserve">seir.exogGrowthRate</w:t>
            </w:r>
          </w:p>
        </w:tc>
        <w:tc>
          <w:p>
            <w:pPr>
              <w:pStyle w:val="Compact"/>
              <w:jc w:val="center"/>
            </w:pPr>
            <w:r>
              <w:t xml:space="preserve">24.16</w:t>
            </w:r>
          </w:p>
        </w:tc>
        <w:tc>
          <w:p>
            <w:pPr>
              <w:pStyle w:val="Compact"/>
              <w:jc w:val="center"/>
            </w:pPr>
            <w:r>
              <w:t xml:space="preserve">221</w:t>
            </w:r>
          </w:p>
        </w:tc>
      </w:tr>
      <w:tr>
        <w:tc>
          <w:p>
            <w:pPr>
              <w:pStyle w:val="Compact"/>
              <w:jc w:val="center"/>
            </w:pPr>
            <w:r>
              <w:t xml:space="preserve">seir.importRate</w:t>
            </w:r>
          </w:p>
        </w:tc>
        <w:tc>
          <w:p>
            <w:pPr>
              <w:pStyle w:val="Compact"/>
              <w:jc w:val="center"/>
            </w:pPr>
            <w:r>
              <w:t xml:space="preserve">4.153</w:t>
            </w:r>
          </w:p>
        </w:tc>
        <w:tc>
          <w:p>
            <w:pPr>
              <w:pStyle w:val="Compact"/>
              <w:jc w:val="center"/>
            </w:pPr>
            <w:r>
              <w:t xml:space="preserve">340</w:t>
            </w:r>
          </w:p>
        </w:tc>
      </w:tr>
      <w:tr>
        <w:tc>
          <w:p>
            <w:pPr>
              <w:pStyle w:val="Compact"/>
              <w:jc w:val="center"/>
            </w:pPr>
            <w:r>
              <w:t xml:space="preserve">seir.p_h</w:t>
            </w:r>
          </w:p>
        </w:tc>
        <w:tc>
          <w:p>
            <w:pPr>
              <w:pStyle w:val="Compact"/>
              <w:jc w:val="center"/>
            </w:pPr>
            <w:r>
              <w:t xml:space="preserve">0.2065</w:t>
            </w:r>
          </w:p>
        </w:tc>
        <w:tc>
          <w:p>
            <w:pPr>
              <w:pStyle w:val="Compact"/>
              <w:jc w:val="center"/>
            </w:pPr>
            <w:r>
              <w:t xml:space="preserve">411</w:t>
            </w:r>
          </w:p>
        </w:tc>
      </w:tr>
      <w:tr>
        <w:tc>
          <w:p>
            <w:pPr>
              <w:pStyle w:val="Compact"/>
              <w:jc w:val="center"/>
            </w:pPr>
            <w:r>
              <w:t xml:space="preserve">seir.tau</w:t>
            </w:r>
          </w:p>
        </w:tc>
        <w:tc>
          <w:p>
            <w:pPr>
              <w:pStyle w:val="Compact"/>
              <w:jc w:val="center"/>
            </w:pPr>
            <w:r>
              <w:t xml:space="preserve">73.73</w:t>
            </w:r>
          </w:p>
        </w:tc>
        <w:tc>
          <w:p>
            <w:pPr>
              <w:pStyle w:val="Compact"/>
              <w:jc w:val="center"/>
            </w:pPr>
            <w:r>
              <w:t xml:space="preserve">946</w:t>
            </w:r>
          </w:p>
        </w:tc>
      </w:tr>
      <w:tr>
        <w:tc>
          <w:p>
            <w:pPr>
              <w:pStyle w:val="Compact"/>
              <w:jc w:val="center"/>
            </w:pPr>
            <w:r>
              <w:t xml:space="preserve">freqParameter.1</w:t>
            </w:r>
          </w:p>
        </w:tc>
        <w:tc>
          <w:p>
            <w:pPr>
              <w:pStyle w:val="Compact"/>
              <w:jc w:val="center"/>
            </w:pPr>
            <w:r>
              <w:t xml:space="preserve">0.2976</w:t>
            </w:r>
          </w:p>
        </w:tc>
        <w:tc>
          <w:p>
            <w:pPr>
              <w:pStyle w:val="Compact"/>
              <w:jc w:val="center"/>
            </w:pPr>
            <w:r>
              <w:t xml:space="preserve">11832</w:t>
            </w:r>
          </w:p>
        </w:tc>
      </w:tr>
      <w:tr>
        <w:tc>
          <w:p>
            <w:pPr>
              <w:pStyle w:val="Compact"/>
              <w:jc w:val="center"/>
            </w:pPr>
            <w:r>
              <w:t xml:space="preserve">freqParameter.2</w:t>
            </w:r>
          </w:p>
        </w:tc>
        <w:tc>
          <w:p>
            <w:pPr>
              <w:pStyle w:val="Compact"/>
              <w:jc w:val="center"/>
            </w:pPr>
            <w:r>
              <w:t xml:space="preserve">0.1829</w:t>
            </w:r>
          </w:p>
        </w:tc>
        <w:tc>
          <w:p>
            <w:pPr>
              <w:pStyle w:val="Compact"/>
              <w:jc w:val="center"/>
            </w:pPr>
            <w:r>
              <w:t xml:space="preserve">12669</w:t>
            </w:r>
          </w:p>
        </w:tc>
      </w:tr>
      <w:tr>
        <w:tc>
          <w:p>
            <w:pPr>
              <w:pStyle w:val="Compact"/>
              <w:jc w:val="center"/>
            </w:pPr>
            <w:r>
              <w:t xml:space="preserve">freqParameter.3</w:t>
            </w:r>
          </w:p>
        </w:tc>
        <w:tc>
          <w:p>
            <w:pPr>
              <w:pStyle w:val="Compact"/>
              <w:jc w:val="center"/>
            </w:pPr>
            <w:r>
              <w:t xml:space="preserve">0.1951</w:t>
            </w:r>
          </w:p>
        </w:tc>
        <w:tc>
          <w:p>
            <w:pPr>
              <w:pStyle w:val="Compact"/>
              <w:jc w:val="center"/>
            </w:pPr>
            <w:r>
              <w:t xml:space="preserve">13228</w:t>
            </w:r>
          </w:p>
        </w:tc>
      </w:tr>
      <w:tr>
        <w:tc>
          <w:p>
            <w:pPr>
              <w:pStyle w:val="Compact"/>
              <w:jc w:val="center"/>
            </w:pPr>
            <w:r>
              <w:t xml:space="preserve">freqParameter.4</w:t>
            </w:r>
          </w:p>
        </w:tc>
        <w:tc>
          <w:p>
            <w:pPr>
              <w:pStyle w:val="Compact"/>
              <w:jc w:val="center"/>
            </w:pPr>
            <w:r>
              <w:t xml:space="preserve">0.3244</w:t>
            </w:r>
          </w:p>
        </w:tc>
        <w:tc>
          <w:p>
            <w:pPr>
              <w:pStyle w:val="Compact"/>
              <w:jc w:val="center"/>
            </w:pPr>
            <w:r>
              <w:t xml:space="preserve">11025</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45</w:t>
            </w:r>
          </w:p>
        </w:tc>
      </w:tr>
    </w:tbl>
    <w:p>
      <w:pPr>
        <w:pStyle w:val="BodyText"/>
      </w:pPr>
      <w:r>
        <w:t xml:space="preserve">Model version: seijr0.1.1</w:t>
      </w:r>
    </w:p>
    <w:p>
      <w:pPr>
        <w:pStyle w:val="BodyText"/>
      </w:pPr>
      <w:r>
        <w:t xml:space="preserve">Report version: 20200603-213411-77f3c86e</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ComunitatValenciana,: 2020-04-01</dc:title>
  <dc:creator/>
  <cp:keywords/>
  <dcterms:created xsi:type="dcterms:W3CDTF">2020-06-04T01:34:15Z</dcterms:created>
  <dcterms:modified xsi:type="dcterms:W3CDTF">2020-06-04T01:34:15Z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03,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