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SanFrancisco,:</w:t>
      </w:r>
      <w:r>
        <w:t xml:space="preserve"> </w:t>
      </w:r>
      <w:r>
        <w:t xml:space="preserve">2020-04-30</w:t>
      </w:r>
    </w:p>
    <w:p>
      <w:pPr>
        <w:pStyle w:val="Date"/>
      </w:pPr>
      <w:r>
        <w:t xml:space="preserve">June</w:t>
      </w:r>
      <w:r>
        <w:t xml:space="preserve"> </w:t>
      </w:r>
      <w:r>
        <w:t xml:space="preserve">03,</w:t>
      </w:r>
      <w:r>
        <w:t xml:space="preserve"> </w:t>
      </w:r>
      <w:r>
        <w:t xml:space="preserve">2020</w:t>
      </w:r>
    </w:p>
    <w:p>
      <w:pPr>
        <w:pStyle w:val="Heading3"/>
      </w:pPr>
      <w:bookmarkStart w:id="20" w:name="primary-author-manon-ragonnet"/>
      <w:r>
        <w:t xml:space="preserve">Primary author: Manon Ragonnet</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6-03"/>
      <w:r>
        <w:t xml:space="preserve">Report prepared on 2020-06-03</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50 whole genomes</w:t>
      </w:r>
      <w:r>
        <w:t xml:space="preserve"> </w:t>
      </w:r>
      <w:r>
        <w:t xml:space="preserve">sampled from</w:t>
      </w:r>
      <w:r>
        <w:t xml:space="preserve"> </w:t>
      </w:r>
      <w:r>
        <w:rPr>
          <w:b/>
        </w:rPr>
        <w:t xml:space="preserve">within SanFrancisco</w:t>
      </w:r>
    </w:p>
    <w:p>
      <w:pPr>
        <w:pStyle w:val="Compact"/>
        <w:numPr>
          <w:numId w:val="1001"/>
          <w:ilvl w:val="0"/>
        </w:numPr>
      </w:pPr>
      <w:r>
        <w:rPr>
          <w:b/>
        </w:rPr>
        <w:t xml:space="preserve">47 whole genomes</w:t>
      </w:r>
      <w:r>
        <w:t xml:space="preserve"> </w:t>
      </w:r>
      <w:r>
        <w:t xml:space="preserve">sampled from outside of</w:t>
      </w:r>
      <w:r>
        <w:t xml:space="preserve"> </w:t>
      </w:r>
      <w:r>
        <w:rPr>
          <w:b/>
        </w:rPr>
        <w:t xml:space="preserve">SanFrancisco</w:t>
      </w:r>
    </w:p>
    <w:p>
      <w:pPr>
        <w:pStyle w:val="Compact"/>
        <w:numPr>
          <w:numId w:val="1001"/>
          <w:ilvl w:val="0"/>
        </w:numPr>
      </w:pPr>
      <w:r>
        <w:t xml:space="preserve">Samples within SanFrancisco were collected between</w:t>
      </w:r>
      <w:r>
        <w:t xml:space="preserve"> </w:t>
      </w:r>
      <w:r>
        <w:rPr>
          <w:b/>
        </w:rPr>
        <w:t xml:space="preserve">2020-03-05</w:t>
      </w:r>
      <w:r>
        <w:t xml:space="preserve"> </w:t>
      </w:r>
      <w:r>
        <w:t xml:space="preserve">and</w:t>
      </w:r>
      <w:r>
        <w:t xml:space="preserve"> </w:t>
      </w:r>
      <w:r>
        <w:rPr>
          <w:b/>
        </w:rPr>
        <w:t xml:space="preserve">2020-04-30</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how-many-are-infected-in-sanfrancisco"/>
      <w:r>
        <w:t xml:space="preserve">How many are infected in SanFrancisco?</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SanFrancisco. The dashed line indicates the date of last sample in SanFrancisco in this analysis.</w:t>
      </w:r>
    </w:p>
    <w:p>
      <w:pPr>
        <w:numPr>
          <w:numId w:val="1002"/>
          <w:ilvl w:val="0"/>
        </w:numPr>
      </w:pPr>
      <w:r>
        <w:t xml:space="preserve">Estimated cumulative infections at last sample (2020-04-30):</w:t>
      </w:r>
      <w:r>
        <w:t xml:space="preserve"> </w:t>
      </w:r>
      <w:r>
        <w:rPr>
          <w:b/>
        </w:rPr>
        <w:t xml:space="preserve">50030 [10273-229885]</w:t>
      </w:r>
      <w:r>
        <w:t xml:space="preserve"> </w:t>
      </w:r>
      <w:r>
        <w:t xml:space="preserve">median [95%CI]</w:t>
      </w:r>
    </w:p>
    <w:p>
      <w:pPr>
        <w:numPr>
          <w:numId w:val="1002"/>
          <w:ilvl w:val="0"/>
        </w:numPr>
      </w:pPr>
      <w:r>
        <w:t xml:space="preserve">Cumulative confirmed infections reported at 2020-04-30:</w:t>
      </w:r>
      <w:r>
        <w:t xml:space="preserve"> </w:t>
      </w:r>
      <w:r>
        <w:rPr>
          <w:b/>
        </w:rPr>
        <w:t xml:space="preserve">1647</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SanFrancisco. The dashed line indicates the date of last sample in SanFrancisco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SanFrancisco.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SanFrancisco in this analysis. Orange and red dashed lines indicate dates of school closure and general lockdown in SanFrancisco, respectively.</w:t>
      </w:r>
      <w:r>
        <w:rPr>
          <w:i/>
        </w:rPr>
        <w:t xml:space="preserve"> </w:t>
      </w:r>
    </w:p>
    <w:p>
      <w:pPr>
        <w:pStyle w:val="BodyText"/>
      </w:pPr>
      <w:r>
        <w:t xml:space="preserve">Reproduction number at last sample (2020-04-30):</w:t>
      </w:r>
      <w:r>
        <w:t xml:space="preserve"> </w:t>
      </w:r>
      <w:r>
        <w:rPr>
          <w:b/>
        </w:rPr>
        <w:t xml:space="preserve">0.472 [0.291-1.09]</w:t>
      </w:r>
      <w:r>
        <w:t xml:space="preserve"> </w:t>
      </w:r>
      <w:r>
        <w:t xml:space="preserve">median [95% CrI]</w:t>
      </w:r>
    </w:p>
    <w:p>
      <w:pPr>
        <w:pStyle w:val="Heading2"/>
      </w:pPr>
      <w:bookmarkStart w:id="34" w:name="X7495be569088f425fb3811c197c369e850f4fbf"/>
      <w:r>
        <w:t xml:space="preserve">How quickly has the epidemic in SanFrancisco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2.04</w:t>
            </w:r>
          </w:p>
        </w:tc>
        <w:tc>
          <w:p>
            <w:pPr>
              <w:pStyle w:val="Compact"/>
              <w:jc w:val="center"/>
            </w:pPr>
            <w:r>
              <w:t xml:space="preserve">0.108</w:t>
            </w:r>
          </w:p>
        </w:tc>
        <w:tc>
          <w:p>
            <w:pPr>
              <w:pStyle w:val="Compact"/>
              <w:jc w:val="center"/>
            </w:pPr>
            <w:r>
              <w:t xml:space="preserve">6.43</w:t>
            </w:r>
          </w:p>
        </w:tc>
      </w:tr>
      <w:tr>
        <w:tc>
          <w:p>
            <w:pPr>
              <w:pStyle w:val="Compact"/>
              <w:jc w:val="center"/>
            </w:pPr>
            <w:r>
              <w:t xml:space="preserve">2.5%</w:t>
            </w:r>
          </w:p>
        </w:tc>
        <w:tc>
          <w:p>
            <w:pPr>
              <w:pStyle w:val="Compact"/>
              <w:jc w:val="center"/>
            </w:pPr>
            <w:r>
              <w:t xml:space="preserve">1.75</w:t>
            </w:r>
          </w:p>
        </w:tc>
        <w:tc>
          <w:p>
            <w:pPr>
              <w:pStyle w:val="Compact"/>
              <w:jc w:val="center"/>
            </w:pPr>
            <w:r>
              <w:t xml:space="preserve">0.0809</w:t>
            </w:r>
          </w:p>
        </w:tc>
        <w:tc>
          <w:p>
            <w:pPr>
              <w:pStyle w:val="Compact"/>
              <w:jc w:val="center"/>
            </w:pPr>
            <w:r>
              <w:t xml:space="preserve">4.87</w:t>
            </w:r>
          </w:p>
        </w:tc>
      </w:tr>
      <w:tr>
        <w:tc>
          <w:p>
            <w:pPr>
              <w:pStyle w:val="Compact"/>
              <w:jc w:val="center"/>
            </w:pPr>
            <w:r>
              <w:t xml:space="preserve">97.5%</w:t>
            </w:r>
          </w:p>
        </w:tc>
        <w:tc>
          <w:p>
            <w:pPr>
              <w:pStyle w:val="Compact"/>
              <w:jc w:val="center"/>
            </w:pPr>
            <w:r>
              <w:t xml:space="preserve">2.44</w:t>
            </w:r>
          </w:p>
        </w:tc>
        <w:tc>
          <w:p>
            <w:pPr>
              <w:pStyle w:val="Compact"/>
              <w:jc w:val="center"/>
            </w:pPr>
            <w:r>
              <w:t xml:space="preserve">0.142</w:t>
            </w:r>
          </w:p>
        </w:tc>
        <w:tc>
          <w:p>
            <w:pPr>
              <w:pStyle w:val="Compact"/>
              <w:jc w:val="center"/>
            </w:pPr>
            <w:r>
              <w:t xml:space="preserve">8.56</w:t>
            </w:r>
          </w:p>
        </w:tc>
      </w:tr>
    </w:tbl>
    <w:p>
      <w:pPr>
        <w:pStyle w:val="Heading2"/>
      </w:pPr>
      <w:bookmarkStart w:id="35" w:name="Xcb6918ca90500074ce415b285c76ffeffd93142"/>
      <w:r>
        <w:t xml:space="preserve">How has SARS-CoV 2 evolved in SanFrancisco?</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SanFrancisco, blue tips from outside.</w:t>
      </w:r>
    </w:p>
    <w:p>
      <w:pPr>
        <w:pStyle w:val="Heading5"/>
      </w:pPr>
      <w:bookmarkStart w:id="38" w:name="Xfb6bd47f599717c7920eb69d4138a01f56f21cf"/>
      <w:r>
        <w:t xml:space="preserve">Molecular clock rate of evolution:</w:t>
      </w:r>
      <w:r>
        <w:t xml:space="preserve"> </w:t>
      </w:r>
      <w:r>
        <w:rPr>
          <w:b/>
        </w:rPr>
        <w:t xml:space="preserve">0.000634 [0.000504-0.000934]</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SanFrancisco in this analysis. The points represent reported cases in SanFrancisco.</w:t>
      </w:r>
    </w:p>
    <w:p>
      <w:pPr>
        <w:pStyle w:val="BodyText"/>
      </w:pPr>
      <w:r>
        <w:t xml:space="preserve">Based on an estimated growth rate of 0.108 [0.0809 - 0.142] median [95% CrI]:</w:t>
      </w:r>
    </w:p>
    <w:p>
      <w:pPr>
        <w:pStyle w:val="BodyText"/>
      </w:pPr>
      <w:r>
        <w:t xml:space="preserve">We estimate cumulative number of infections at last sample (2020-04-30) as: 781469 [63111 - 34718992]</w:t>
      </w:r>
    </w:p>
    <w:p>
      <w:pPr>
        <w:pStyle w:val="BodyText"/>
      </w:pPr>
      <w:r>
        <w:t xml:space="preserve">We estimate number of infections at 2020-05-14 (14 days after last sample) as:</w:t>
      </w:r>
      <w:r>
        <w:t xml:space="preserve"> </w:t>
      </w:r>
      <w:r>
        <w:t xml:space="preserve">3443902 [196503 - 257337894]</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916.6666666666665"/>
        <w:tblLook w:firstRow="1"/>
        <w:tblCaption w:val="Effective sample size of model parameters"/>
      </w:tblPr>
      <w:tblGrid>
        <w:gridCol w:w="2420"/>
        <w:gridCol w:w="1320"/>
        <w:gridCol w:w="88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-43036</w:t>
            </w:r>
          </w:p>
        </w:tc>
        <w:tc>
          <w:p>
            <w:pPr>
              <w:pStyle w:val="Compact"/>
              <w:jc w:val="center"/>
            </w:pPr>
            <w:r>
              <w:t xml:space="preserve">130</w:t>
            </w:r>
          </w:p>
        </w:tc>
      </w:tr>
      <w:tr>
        <w:tc>
          <w:p>
            <w:pPr>
              <w:pStyle w:val="Compact"/>
              <w:jc w:val="center"/>
            </w:pPr>
            <w:r>
              <w:t xml:space="preserve">likelihood</w:t>
            </w:r>
          </w:p>
        </w:tc>
        <w:tc>
          <w:p>
            <w:pPr>
              <w:pStyle w:val="Compact"/>
              <w:jc w:val="center"/>
            </w:pPr>
            <w:r>
              <w:t xml:space="preserve">-42922</w:t>
            </w:r>
          </w:p>
        </w:tc>
        <w:tc>
          <w:p>
            <w:pPr>
              <w:pStyle w:val="Compact"/>
              <w:jc w:val="center"/>
            </w:pPr>
            <w:r>
              <w:t xml:space="preserve">562</w:t>
            </w:r>
          </w:p>
        </w:tc>
      </w:tr>
      <w:tr>
        <w:tc>
          <w:p>
            <w:pPr>
              <w:pStyle w:val="Compact"/>
              <w:jc w:val="center"/>
            </w:pPr>
            <w:r>
              <w:t xml:space="preserve">prior</w:t>
            </w:r>
          </w:p>
        </w:tc>
        <w:tc>
          <w:p>
            <w:pPr>
              <w:pStyle w:val="Compact"/>
              <w:jc w:val="center"/>
            </w:pPr>
            <w:r>
              <w:t xml:space="preserve">-114.6</w:t>
            </w:r>
          </w:p>
        </w:tc>
        <w:tc>
          <w:p>
            <w:pPr>
              <w:pStyle w:val="Compact"/>
              <w:jc w:val="center"/>
            </w:pPr>
            <w:r>
              <w:t xml:space="preserve">117</w:t>
            </w:r>
          </w:p>
        </w:tc>
      </w:tr>
      <w:tr>
        <w:tc>
          <w:p>
            <w:pPr>
              <w:pStyle w:val="Compact"/>
              <w:jc w:val="center"/>
            </w:pPr>
            <w:r>
              <w:t xml:space="preserve">treeLikelihood.algn</w:t>
            </w:r>
          </w:p>
        </w:tc>
        <w:tc>
          <w:p>
            <w:pPr>
              <w:pStyle w:val="Compact"/>
              <w:jc w:val="center"/>
            </w:pPr>
            <w:r>
              <w:t xml:space="preserve">-42922</w:t>
            </w:r>
          </w:p>
        </w:tc>
        <w:tc>
          <w:p>
            <w:pPr>
              <w:pStyle w:val="Compact"/>
              <w:jc w:val="center"/>
            </w:pPr>
            <w:r>
              <w:t xml:space="preserve">562</w:t>
            </w:r>
          </w:p>
        </w:tc>
      </w:tr>
      <w:tr>
        <w:tc>
          <w:p>
            <w:pPr>
              <w:pStyle w:val="Compact"/>
              <w:jc w:val="center"/>
            </w:pPr>
            <w:r>
              <w:t xml:space="preserve">TreeHeight</w:t>
            </w:r>
          </w:p>
        </w:tc>
        <w:tc>
          <w:p>
            <w:pPr>
              <w:pStyle w:val="Compact"/>
              <w:jc w:val="center"/>
            </w:pPr>
            <w:r>
              <w:t xml:space="preserve">0.5041</w:t>
            </w:r>
          </w:p>
        </w:tc>
        <w:tc>
          <w:p>
            <w:pPr>
              <w:pStyle w:val="Compact"/>
              <w:jc w:val="center"/>
            </w:pPr>
            <w:r>
              <w:t xml:space="preserve">171</w:t>
            </w:r>
          </w:p>
        </w:tc>
      </w:tr>
      <w:tr>
        <w:tc>
          <w:p>
            <w:pPr>
              <w:pStyle w:val="Compact"/>
              <w:jc w:val="center"/>
            </w:pPr>
            <w:r>
              <w:t xml:space="preserve">clockRate</w:t>
            </w:r>
          </w:p>
        </w:tc>
        <w:tc>
          <w:p>
            <w:pPr>
              <w:pStyle w:val="Compact"/>
              <w:jc w:val="center"/>
            </w:pPr>
            <w:r>
              <w:t xml:space="preserve">0.0006528</w:t>
            </w:r>
          </w:p>
        </w:tc>
        <w:tc>
          <w:p>
            <w:pPr>
              <w:pStyle w:val="Compact"/>
              <w:jc w:val="center"/>
            </w:pPr>
            <w:r>
              <w:t xml:space="preserve">122</w:t>
            </w:r>
          </w:p>
        </w:tc>
      </w:tr>
      <w:tr>
        <w:tc>
          <w:p>
            <w:pPr>
              <w:pStyle w:val="Compact"/>
              <w:jc w:val="center"/>
            </w:pPr>
            <w:r>
              <w:t xml:space="preserve">kappa</w:t>
            </w:r>
          </w:p>
        </w:tc>
        <w:tc>
          <w:p>
            <w:pPr>
              <w:pStyle w:val="Compact"/>
              <w:jc w:val="center"/>
            </w:pPr>
            <w:r>
              <w:t xml:space="preserve">4.119</w:t>
            </w:r>
          </w:p>
        </w:tc>
        <w:tc>
          <w:p>
            <w:pPr>
              <w:pStyle w:val="Compact"/>
              <w:jc w:val="center"/>
            </w:pPr>
            <w:r>
              <w:t xml:space="preserve">22544</w:t>
            </w:r>
          </w:p>
        </w:tc>
      </w:tr>
      <w:tr>
        <w:tc>
          <w:p>
            <w:pPr>
              <w:pStyle w:val="Compact"/>
              <w:jc w:val="center"/>
            </w:pPr>
            <w:r>
              <w:t xml:space="preserve">PhydynSEIR</w:t>
            </w:r>
          </w:p>
        </w:tc>
        <w:tc>
          <w:p>
            <w:pPr>
              <w:pStyle w:val="Compact"/>
              <w:jc w:val="center"/>
            </w:pPr>
            <w:r>
              <w:t xml:space="preserve">-83.4</w:t>
            </w:r>
          </w:p>
        </w:tc>
        <w:tc>
          <w:p>
            <w:pPr>
              <w:pStyle w:val="Compact"/>
              <w:jc w:val="center"/>
            </w:pPr>
            <w:r>
              <w:t xml:space="preserve">116</w:t>
            </w:r>
          </w:p>
        </w:tc>
      </w:tr>
      <w:tr>
        <w:tc>
          <w:p>
            <w:pPr>
              <w:pStyle w:val="Compact"/>
              <w:jc w:val="center"/>
            </w:pPr>
            <w:r>
              <w:t xml:space="preserve">seir.E</w:t>
            </w:r>
          </w:p>
        </w:tc>
        <w:tc>
          <w:p>
            <w:pPr>
              <w:pStyle w:val="Compact"/>
              <w:jc w:val="center"/>
            </w:pPr>
            <w:r>
              <w:t xml:space="preserve">17.27</w:t>
            </w:r>
          </w:p>
        </w:tc>
        <w:tc>
          <w:p>
            <w:pPr>
              <w:pStyle w:val="Compact"/>
              <w:jc w:val="center"/>
            </w:pPr>
            <w:r>
              <w:t xml:space="preserve">154</w:t>
            </w:r>
          </w:p>
        </w:tc>
      </w:tr>
      <w:tr>
        <w:tc>
          <w:p>
            <w:pPr>
              <w:pStyle w:val="Compact"/>
              <w:jc w:val="center"/>
            </w:pPr>
            <w:r>
              <w:t xml:space="preserve">seir.S</w:t>
            </w:r>
          </w:p>
        </w:tc>
        <w:tc>
          <w:p>
            <w:pPr>
              <w:pStyle w:val="Compact"/>
              <w:jc w:val="center"/>
            </w:pPr>
            <w:r>
              <w:t xml:space="preserve">98542</w:t>
            </w:r>
          </w:p>
        </w:tc>
        <w:tc>
          <w:p>
            <w:pPr>
              <w:pStyle w:val="Compact"/>
              <w:jc w:val="center"/>
            </w:pPr>
            <w:r>
              <w:t xml:space="preserve">1137</w:t>
            </w:r>
          </w:p>
        </w:tc>
      </w:tr>
      <w:tr>
        <w:tc>
          <w:p>
            <w:pPr>
              <w:pStyle w:val="Compact"/>
              <w:jc w:val="center"/>
            </w:pPr>
            <w:r>
              <w:t xml:space="preserve">seir.b</w:t>
            </w:r>
          </w:p>
        </w:tc>
        <w:tc>
          <w:p>
            <w:pPr>
              <w:pStyle w:val="Compact"/>
              <w:jc w:val="center"/>
            </w:pPr>
            <w:r>
              <w:t xml:space="preserve">15.66</w:t>
            </w:r>
          </w:p>
        </w:tc>
        <w:tc>
          <w:p>
            <w:pPr>
              <w:pStyle w:val="Compact"/>
              <w:jc w:val="center"/>
            </w:pPr>
            <w:r>
              <w:t xml:space="preserve">375</w:t>
            </w:r>
          </w:p>
        </w:tc>
      </w:tr>
      <w:tr>
        <w:tc>
          <w:p>
            <w:pPr>
              <w:pStyle w:val="Compact"/>
              <w:jc w:val="center"/>
            </w:pPr>
            <w:r>
              <w:t xml:space="preserve">seir.exog</w:t>
            </w:r>
          </w:p>
        </w:tc>
        <w:tc>
          <w:p>
            <w:pPr>
              <w:pStyle w:val="Compact"/>
              <w:jc w:val="center"/>
            </w:pPr>
            <w:r>
              <w:t xml:space="preserve">0.2734</w:t>
            </w:r>
          </w:p>
        </w:tc>
        <w:tc>
          <w:p>
            <w:pPr>
              <w:pStyle w:val="Compact"/>
              <w:jc w:val="center"/>
            </w:pPr>
            <w:r>
              <w:t xml:space="preserve">372</w:t>
            </w:r>
          </w:p>
        </w:tc>
      </w:tr>
      <w:tr>
        <w:tc>
          <w:p>
            <w:pPr>
              <w:pStyle w:val="Compact"/>
              <w:jc w:val="center"/>
            </w:pPr>
            <w:r>
              <w:t xml:space="preserve">seir.exogGrowthRate</w:t>
            </w:r>
          </w:p>
        </w:tc>
        <w:tc>
          <w:p>
            <w:pPr>
              <w:pStyle w:val="Compact"/>
              <w:jc w:val="center"/>
            </w:pPr>
            <w:r>
              <w:t xml:space="preserve">22.93</w:t>
            </w:r>
          </w:p>
        </w:tc>
        <w:tc>
          <w:p>
            <w:pPr>
              <w:pStyle w:val="Compact"/>
              <w:jc w:val="center"/>
            </w:pPr>
            <w:r>
              <w:t xml:space="preserve">149</w:t>
            </w:r>
          </w:p>
        </w:tc>
      </w:tr>
      <w:tr>
        <w:tc>
          <w:p>
            <w:pPr>
              <w:pStyle w:val="Compact"/>
              <w:jc w:val="center"/>
            </w:pPr>
            <w:r>
              <w:t xml:space="preserve">seir.importRate</w:t>
            </w:r>
          </w:p>
        </w:tc>
        <w:tc>
          <w:p>
            <w:pPr>
              <w:pStyle w:val="Compact"/>
              <w:jc w:val="center"/>
            </w:pPr>
            <w:r>
              <w:t xml:space="preserve">7.22</w:t>
            </w:r>
          </w:p>
        </w:tc>
        <w:tc>
          <w:p>
            <w:pPr>
              <w:pStyle w:val="Compact"/>
              <w:jc w:val="center"/>
            </w:pPr>
            <w:r>
              <w:t xml:space="preserve">412</w:t>
            </w:r>
          </w:p>
        </w:tc>
      </w:tr>
      <w:tr>
        <w:tc>
          <w:p>
            <w:pPr>
              <w:pStyle w:val="Compact"/>
              <w:jc w:val="center"/>
            </w:pPr>
            <w:r>
              <w:t xml:space="preserve">seir.p_h</w:t>
            </w:r>
          </w:p>
        </w:tc>
        <w:tc>
          <w:p>
            <w:pPr>
              <w:pStyle w:val="Compact"/>
              <w:jc w:val="center"/>
            </w:pPr>
            <w:r>
              <w:t xml:space="preserve">0.2091</w:t>
            </w:r>
          </w:p>
        </w:tc>
        <w:tc>
          <w:p>
            <w:pPr>
              <w:pStyle w:val="Compact"/>
              <w:jc w:val="center"/>
            </w:pPr>
            <w:r>
              <w:t xml:space="preserve">341</w:t>
            </w:r>
          </w:p>
        </w:tc>
      </w:tr>
      <w:tr>
        <w:tc>
          <w:p>
            <w:pPr>
              <w:pStyle w:val="Compact"/>
              <w:jc w:val="center"/>
            </w:pPr>
            <w:r>
              <w:t xml:space="preserve">seir.tau</w:t>
            </w:r>
          </w:p>
        </w:tc>
        <w:tc>
          <w:p>
            <w:pPr>
              <w:pStyle w:val="Compact"/>
              <w:jc w:val="center"/>
            </w:pPr>
            <w:r>
              <w:t xml:space="preserve">73.75</w:t>
            </w:r>
          </w:p>
        </w:tc>
        <w:tc>
          <w:p>
            <w:pPr>
              <w:pStyle w:val="Compact"/>
              <w:jc w:val="center"/>
            </w:pPr>
            <w:r>
              <w:t xml:space="preserve">946</w:t>
            </w:r>
          </w:p>
        </w:tc>
      </w:tr>
      <w:tr>
        <w:tc>
          <w:p>
            <w:pPr>
              <w:pStyle w:val="Compact"/>
              <w:jc w:val="center"/>
            </w:pPr>
            <w:r>
              <w:t xml:space="preserve">freqParameter.1</w:t>
            </w:r>
          </w:p>
        </w:tc>
        <w:tc>
          <w:p>
            <w:pPr>
              <w:pStyle w:val="Compact"/>
              <w:jc w:val="center"/>
            </w:pPr>
            <w:r>
              <w:t xml:space="preserve">0.298</w:t>
            </w:r>
          </w:p>
        </w:tc>
        <w:tc>
          <w:p>
            <w:pPr>
              <w:pStyle w:val="Compact"/>
              <w:jc w:val="center"/>
            </w:pPr>
            <w:r>
              <w:t xml:space="preserve">7741</w:t>
            </w:r>
          </w:p>
        </w:tc>
      </w:tr>
      <w:tr>
        <w:tc>
          <w:p>
            <w:pPr>
              <w:pStyle w:val="Compact"/>
              <w:jc w:val="center"/>
            </w:pPr>
            <w:r>
              <w:t xml:space="preserve">freqParameter.2</w:t>
            </w:r>
          </w:p>
        </w:tc>
        <w:tc>
          <w:p>
            <w:pPr>
              <w:pStyle w:val="Compact"/>
              <w:jc w:val="center"/>
            </w:pPr>
            <w:r>
              <w:t xml:space="preserve">0.1823</w:t>
            </w:r>
          </w:p>
        </w:tc>
        <w:tc>
          <w:p>
            <w:pPr>
              <w:pStyle w:val="Compact"/>
              <w:jc w:val="center"/>
            </w:pPr>
            <w:r>
              <w:t xml:space="preserve">8741</w:t>
            </w:r>
          </w:p>
        </w:tc>
      </w:tr>
      <w:tr>
        <w:tc>
          <w:p>
            <w:pPr>
              <w:pStyle w:val="Compact"/>
              <w:jc w:val="center"/>
            </w:pPr>
            <w:r>
              <w:t xml:space="preserve">freqParameter.3</w:t>
            </w:r>
          </w:p>
        </w:tc>
        <w:tc>
          <w:p>
            <w:pPr>
              <w:pStyle w:val="Compact"/>
              <w:jc w:val="center"/>
            </w:pPr>
            <w:r>
              <w:t xml:space="preserve">0.1954</w:t>
            </w:r>
          </w:p>
        </w:tc>
        <w:tc>
          <w:p>
            <w:pPr>
              <w:pStyle w:val="Compact"/>
              <w:jc w:val="center"/>
            </w:pPr>
            <w:r>
              <w:t xml:space="preserve">7953</w:t>
            </w:r>
          </w:p>
        </w:tc>
      </w:tr>
      <w:tr>
        <w:tc>
          <w:p>
            <w:pPr>
              <w:pStyle w:val="Compact"/>
              <w:jc w:val="center"/>
            </w:pPr>
            <w:r>
              <w:t xml:space="preserve">freqParameter.4</w:t>
            </w:r>
          </w:p>
        </w:tc>
        <w:tc>
          <w:p>
            <w:pPr>
              <w:pStyle w:val="Compact"/>
              <w:jc w:val="center"/>
            </w:pPr>
            <w:r>
              <w:t xml:space="preserve">0.3243</w:t>
            </w:r>
          </w:p>
        </w:tc>
        <w:tc>
          <w:p>
            <w:pPr>
              <w:pStyle w:val="Compact"/>
              <w:jc w:val="center"/>
            </w:pPr>
            <w:r>
              <w:t xml:space="preserve">7593</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34</w:t>
            </w:r>
          </w:p>
        </w:tc>
      </w:tr>
    </w:tbl>
    <w:p>
      <w:pPr>
        <w:pStyle w:val="BodyText"/>
      </w:pPr>
      <w:r>
        <w:t xml:space="preserve">Model version: seijr0.1.1</w:t>
      </w:r>
    </w:p>
    <w:p>
      <w:pPr>
        <w:pStyle w:val="BodyText"/>
      </w:pPr>
      <w:r>
        <w:t xml:space="preserve">Report version: 20200603-222403-6500a88b</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SanFrancisco,: 2020-04-30</dc:title>
  <dc:creator/>
  <cp:keywords/>
  <dcterms:created xsi:type="dcterms:W3CDTF">2020-06-04T02:24:06Z</dcterms:created>
  <dcterms:modified xsi:type="dcterms:W3CDTF">2020-06-04T02:24:06Z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03,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