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3.png" ContentType="image/png"/>
  <Override PartName="/word/media/rId28.png" ContentType="image/png"/>
  <Override PartName="/word/media/rId29.png" ContentType="image/png"/>
  <Override PartName="/word/media/rId40.png" ContentType="image/png"/>
  <Override PartName="/word/media/rId37.png" ContentType="image/png"/>
  <Override PartName="/word/media/rId32.png" ContentType="image/png"/>
  <Override PartName="/word/media/rId2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Phylodynamic</w:t>
      </w:r>
      <w:r>
        <w:t xml:space="preserve"> </w:t>
      </w:r>
      <w:r>
        <w:t xml:space="preserve">Analysis:</w:t>
      </w:r>
      <w:r>
        <w:t xml:space="preserve"> </w:t>
      </w:r>
      <w:r>
        <w:t xml:space="preserve">SanDiego,:</w:t>
      </w:r>
      <w:r>
        <w:t xml:space="preserve"> </w:t>
      </w:r>
      <w:r>
        <w:t xml:space="preserve">2020-04-29</w:t>
      </w:r>
    </w:p>
    <w:p>
      <w:pPr>
        <w:pStyle w:val="Date"/>
      </w:pPr>
      <w:r>
        <w:t xml:space="preserve">June</w:t>
      </w:r>
      <w:r>
        <w:t xml:space="preserve"> </w:t>
      </w:r>
      <w:r>
        <w:t xml:space="preserve">08,</w:t>
      </w:r>
      <w:r>
        <w:t xml:space="preserve"> </w:t>
      </w:r>
      <w:r>
        <w:t xml:space="preserve">2020</w:t>
      </w:r>
    </w:p>
    <w:p>
      <w:pPr>
        <w:pStyle w:val="Heading3"/>
      </w:pPr>
      <w:bookmarkStart w:id="20" w:name="primary-author-manon-ragonnet"/>
      <w:r>
        <w:t xml:space="preserve">Primary author: Manon Ragonnet</w:t>
      </w:r>
      <w:bookmarkEnd w:id="20"/>
    </w:p>
    <w:p>
      <w:pPr>
        <w:pStyle w:val="Heading4"/>
      </w:pPr>
      <w:bookmarkStart w:id="22" w:name="X015a56615a77a5a1608a717175cd7ff29e78bce"/>
      <w:r>
        <w:t xml:space="preserve">Olivia Boyd, Lily Geidelberg, David Jorgensen, Manon Ragonnet, Igor Siveroni, Erik Volz and the</w:t>
      </w:r>
      <w:r>
        <w:t xml:space="preserve"> </w:t>
      </w:r>
      <w:hyperlink r:id="rId21">
        <w:r>
          <w:rPr>
            <w:rStyle w:val="Hyperlink"/>
          </w:rPr>
          <w:t xml:space="preserve">Imperial College COVID-19 Response Team</w:t>
        </w:r>
      </w:hyperlink>
      <w:bookmarkEnd w:id="22"/>
    </w:p>
    <w:p>
      <w:pPr>
        <w:pStyle w:val="Heading3"/>
      </w:pPr>
      <w:bookmarkStart w:id="23" w:name="report-prepared-on-2020-06-08"/>
      <w:r>
        <w:t xml:space="preserve">Report prepared on 2020-06-08</w:t>
      </w:r>
      <w:bookmarkEnd w:id="23"/>
    </w:p>
    <w:p>
      <w:pPr>
        <w:pStyle w:val="Heading2"/>
      </w:pPr>
      <w:bookmarkStart w:id="24" w:name="background-information"/>
      <w:r>
        <w:t xml:space="preserve">Background information</w:t>
      </w:r>
      <w:bookmarkEnd w:id="24"/>
    </w:p>
    <w:p>
      <w:pPr>
        <w:pStyle w:val="Heading4"/>
      </w:pPr>
      <w:bookmarkStart w:id="25" w:name="this-is-analysis-is-based-on"/>
      <w:r>
        <w:t xml:space="preserve">This is analysis is based on :</w:t>
      </w:r>
      <w:bookmarkEnd w:id="25"/>
    </w:p>
    <w:p>
      <w:pPr>
        <w:pStyle w:val="Compact"/>
        <w:numPr>
          <w:numId w:val="1001"/>
          <w:ilvl w:val="0"/>
        </w:numPr>
      </w:pPr>
      <w:r>
        <w:rPr>
          <w:b/>
        </w:rPr>
        <w:t xml:space="preserve">35 whole genomes</w:t>
      </w:r>
      <w:r>
        <w:t xml:space="preserve"> </w:t>
      </w:r>
      <w:r>
        <w:t xml:space="preserve">sampled from</w:t>
      </w:r>
      <w:r>
        <w:t xml:space="preserve"> </w:t>
      </w:r>
      <w:r>
        <w:rPr>
          <w:b/>
        </w:rPr>
        <w:t xml:space="preserve">within SanDiego</w:t>
      </w:r>
    </w:p>
    <w:p>
      <w:pPr>
        <w:pStyle w:val="Compact"/>
        <w:numPr>
          <w:numId w:val="1001"/>
          <w:ilvl w:val="0"/>
        </w:numPr>
      </w:pPr>
      <w:r>
        <w:rPr>
          <w:b/>
        </w:rPr>
        <w:t xml:space="preserve">51 whole genomes</w:t>
      </w:r>
      <w:r>
        <w:t xml:space="preserve"> </w:t>
      </w:r>
      <w:r>
        <w:t xml:space="preserve">sampled from outside of</w:t>
      </w:r>
      <w:r>
        <w:t xml:space="preserve"> </w:t>
      </w:r>
      <w:r>
        <w:rPr>
          <w:b/>
        </w:rPr>
        <w:t xml:space="preserve">SanDiego</w:t>
      </w:r>
    </w:p>
    <w:p>
      <w:pPr>
        <w:pStyle w:val="Compact"/>
        <w:numPr>
          <w:numId w:val="1001"/>
          <w:ilvl w:val="0"/>
        </w:numPr>
      </w:pPr>
      <w:r>
        <w:t xml:space="preserve">Samples within SanDiego were collected between</w:t>
      </w:r>
      <w:r>
        <w:t xml:space="preserve"> </w:t>
      </w:r>
      <w:r>
        <w:rPr>
          <w:b/>
        </w:rPr>
        <w:t xml:space="preserve">2020-03-11</w:t>
      </w:r>
      <w:r>
        <w:t xml:space="preserve"> </w:t>
      </w:r>
      <w:r>
        <w:t xml:space="preserve">and</w:t>
      </w:r>
      <w:r>
        <w:t xml:space="preserve"> </w:t>
      </w:r>
      <w:r>
        <w:rPr>
          <w:b/>
        </w:rPr>
        <w:t xml:space="preserve">2020-04-29</w:t>
      </w:r>
    </w:p>
    <w:p>
      <w:pPr>
        <w:pStyle w:val="FirstParagraph"/>
      </w:pPr>
      <w:r>
        <w:drawing>
          <wp:inline>
            <wp:extent cx="5486400" cy="3916244"/>
            <wp:effectExtent b="0" l="0" r="0" t="0"/>
            <wp:docPr descr="" title="" id="1" name="Picture"/>
            <a:graphic>
              <a:graphicData uri="http://schemas.openxmlformats.org/drawingml/2006/picture">
                <pic:pic>
                  <pic:nvPicPr>
                    <pic:cNvPr descr="sample_distribution.png" id="0" name="Picture"/>
                    <pic:cNvPicPr>
                      <a:picLocks noChangeArrowheads="1" noChangeAspect="1"/>
                    </pic:cNvPicPr>
                  </pic:nvPicPr>
                  <pic:blipFill>
                    <a:blip r:embed="rId26"/>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1: Sampling distributions over time of number of sequences included within the region versus sequences included from the international reservoir.</w:t>
      </w:r>
    </w:p>
    <w:p>
      <w:pPr>
        <w:pStyle w:val="Heading2"/>
      </w:pPr>
      <w:bookmarkStart w:id="27" w:name="how-many-are-infected-in-sandiego"/>
      <w:r>
        <w:t xml:space="preserve">How many are infected in SanDiego?</w:t>
      </w:r>
      <w:bookmarkEnd w:id="27"/>
    </w:p>
    <w:p>
      <w:pPr>
        <w:pStyle w:val="FirstParagraph"/>
      </w:pPr>
      <w:r>
        <w:drawing>
          <wp:inline>
            <wp:extent cx="5486400" cy="3916244"/>
            <wp:effectExtent b="0" l="0" r="0" t="0"/>
            <wp:docPr descr="" title="" id="1" name="Picture"/>
            <a:graphic>
              <a:graphicData uri="http://schemas.openxmlformats.org/drawingml/2006/picture">
                <pic:pic>
                  <pic:nvPicPr>
                    <pic:cNvPr descr="SEIJR_plot_size.png" id="0" name="Picture"/>
                    <pic:cNvPicPr>
                      <a:picLocks noChangeArrowheads="1" noChangeAspect="1"/>
                    </pic:cNvPicPr>
                  </pic:nvPicPr>
                  <pic:blipFill>
                    <a:blip r:embed="rId28"/>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drawing>
          <wp:inline>
            <wp:extent cx="5486400" cy="3916244"/>
            <wp:effectExtent b="0" l="0" r="0" t="0"/>
            <wp:docPr descr="" title="" id="1" name="Picture"/>
            <a:graphic>
              <a:graphicData uri="http://schemas.openxmlformats.org/drawingml/2006/picture">
                <pic:pic>
                  <pic:nvPicPr>
                    <pic:cNvPr descr="SEIJR_plot_size_log.png" id="0" name="Picture"/>
                    <pic:cNvPicPr>
                      <a:picLocks noChangeArrowheads="1" noChangeAspect="1"/>
                    </pic:cNvPicPr>
                  </pic:nvPicPr>
                  <pic:blipFill>
                    <a:blip r:embed="rId29"/>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2: Estimated cumulative infections through time represented by solid black line (median) and 95% CrI (ribbon). Black points represent reported cases in SanDiego. The dashed line indicates the date of last sample in SanDiego in this analysis.</w:t>
      </w:r>
    </w:p>
    <w:p>
      <w:pPr>
        <w:numPr>
          <w:numId w:val="1002"/>
          <w:ilvl w:val="0"/>
        </w:numPr>
      </w:pPr>
      <w:r>
        <w:t xml:space="preserve">Estimated cumulative infections at last sample (2020-04-29):</w:t>
      </w:r>
      <w:r>
        <w:t xml:space="preserve"> </w:t>
      </w:r>
      <w:r>
        <w:rPr>
          <w:b/>
        </w:rPr>
        <w:t xml:space="preserve">28960 [8103-162788]</w:t>
      </w:r>
      <w:r>
        <w:t xml:space="preserve"> </w:t>
      </w:r>
      <w:r>
        <w:t xml:space="preserve">median [95%CI]</w:t>
      </w:r>
    </w:p>
    <w:p>
      <w:pPr>
        <w:numPr>
          <w:numId w:val="1002"/>
          <w:ilvl w:val="0"/>
        </w:numPr>
      </w:pPr>
      <w:r>
        <w:t xml:space="preserve">Cumulative confirmed infections reported at 2020-04-29:</w:t>
      </w:r>
      <w:r>
        <w:t xml:space="preserve"> </w:t>
      </w:r>
      <w:r>
        <w:rPr>
          <w:b/>
        </w:rPr>
        <w:t xml:space="preserve">3432</w:t>
      </w:r>
    </w:p>
    <w:p>
      <w:pPr>
        <w:pStyle w:val="FirstParagraph"/>
      </w:pPr>
      <w:r>
        <w:drawing>
          <wp:inline>
            <wp:extent cx="5486400" cy="3916244"/>
            <wp:effectExtent b="0" l="0" r="0" t="0"/>
            <wp:docPr descr="" title="" id="1" name="Picture"/>
            <a:graphic>
              <a:graphicData uri="http://schemas.openxmlformats.org/drawingml/2006/picture">
                <pic:pic>
                  <pic:nvPicPr>
                    <pic:cNvPr descr="Daily.png" id="0" name="Picture"/>
                    <pic:cNvPicPr>
                      <a:picLocks noChangeArrowheads="1" noChangeAspect="1"/>
                    </pic:cNvPicPr>
                  </pic:nvPicPr>
                  <pic:blipFill>
                    <a:blip r:embed="rId30"/>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drawing>
          <wp:inline>
            <wp:extent cx="5486400" cy="3916244"/>
            <wp:effectExtent b="0" l="0" r="0" t="0"/>
            <wp:docPr descr="" title="" id="1" name="Picture"/>
            <a:graphic>
              <a:graphicData uri="http://schemas.openxmlformats.org/drawingml/2006/picture">
                <pic:pic>
                  <pic:nvPicPr>
                    <pic:cNvPr descr="Daily_log.png" id="0" name="Picture"/>
                    <pic:cNvPicPr>
                      <a:picLocks noChangeArrowheads="1" noChangeAspect="1"/>
                    </pic:cNvPicPr>
                  </pic:nvPicPr>
                  <pic:blipFill>
                    <a:blip r:embed="rId31"/>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3: Estimated daily infections through time represented by solid black line (median) and 95% CrI (ribbon). Black points represent reported cases in SanDiego. The dashed line indicates the date of last sample in SanDiego in this analysis.</w:t>
      </w:r>
    </w:p>
    <w:p>
      <w:pPr>
        <w:pStyle w:val="BodyText"/>
      </w:pPr>
      <w:r>
        <w:drawing>
          <wp:inline>
            <wp:extent cx="5486400" cy="3916244"/>
            <wp:effectExtent b="0" l="0" r="0" t="0"/>
            <wp:docPr descr="" title="" id="1" name="Picture"/>
            <a:graphic>
              <a:graphicData uri="http://schemas.openxmlformats.org/drawingml/2006/picture">
                <pic:pic>
                  <pic:nvPicPr>
                    <pic:cNvPr descr="reporting.png" id="0" name="Picture"/>
                    <pic:cNvPicPr>
                      <a:picLocks noChangeArrowheads="1" noChangeAspect="1"/>
                    </pic:cNvPicPr>
                  </pic:nvPicPr>
                  <pic:blipFill>
                    <a:blip r:embed="rId32"/>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4: Estimated percentage of daily cases reported in SanDiego. Error bars represent the 95% credible interval.</w:t>
      </w:r>
    </w:p>
    <w:p>
      <w:pPr>
        <w:pStyle w:val="BodyText"/>
      </w:pPr>
      <w:r>
        <w:drawing>
          <wp:inline>
            <wp:extent cx="5486400" cy="3916244"/>
            <wp:effectExtent b="0" l="0" r="0" t="0"/>
            <wp:docPr descr="" title="" id="1" name="Picture"/>
            <a:graphic>
              <a:graphicData uri="http://schemas.openxmlformats.org/drawingml/2006/picture">
                <pic:pic>
                  <pic:nvPicPr>
                    <pic:cNvPr descr="Rt.png" id="0" name="Picture"/>
                    <pic:cNvPicPr>
                      <a:picLocks noChangeArrowheads="1" noChangeAspect="1"/>
                    </pic:cNvPicPr>
                  </pic:nvPicPr>
                  <pic:blipFill>
                    <a:blip r:embed="rId33"/>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5: Reproduction number through time. The black vertical dashed line indicates the date of last sample in SanDiego in this analysis. Orange and red dashed lines indicate dates of school closure and general lockdown in SanDiego, respectively.</w:t>
      </w:r>
      <w:r>
        <w:rPr>
          <w:i/>
        </w:rPr>
        <w:t xml:space="preserve"> </w:t>
      </w:r>
    </w:p>
    <w:p>
      <w:pPr>
        <w:pStyle w:val="BodyText"/>
      </w:pPr>
      <w:r>
        <w:t xml:space="preserve">Reproduction number at last sample (2020-04-29):</w:t>
      </w:r>
      <w:r>
        <w:t xml:space="preserve"> </w:t>
      </w:r>
      <w:r>
        <w:rPr>
          <w:b/>
        </w:rPr>
        <w:t xml:space="preserve">0.575 [0.307-1.35]</w:t>
      </w:r>
      <w:r>
        <w:t xml:space="preserve"> </w:t>
      </w:r>
      <w:r>
        <w:t xml:space="preserve">median [95% CrI]</w:t>
      </w:r>
    </w:p>
    <w:p>
      <w:pPr>
        <w:pStyle w:val="Heading2"/>
      </w:pPr>
      <w:bookmarkStart w:id="34" w:name="Xc7a7606d441fd8d8968e91df20dd99b97bc268c"/>
      <w:r>
        <w:t xml:space="preserve">How quickly has the epidemic in SanDiego grown?</w:t>
      </w:r>
      <w:bookmarkEnd w:id="34"/>
    </w:p>
    <w:p>
      <w:pPr>
        <w:pStyle w:val="TableCaption"/>
      </w:pPr>
      <w:r>
        <w:t xml:space="preserve">Table 1: Reproduction number, growth rate and doubling times</w:t>
      </w:r>
    </w:p>
    <w:tbl>
      <w:tblPr>
        <w:tblStyle w:val="Table"/>
        <w:tblW w:type="pct" w:w="5000.0"/>
        <w:tblLook w:firstRow="1"/>
        <w:tblCaption w:val="Table 1: Reproduction number, growth rate and doubling times"/>
      </w:tblPr>
      <w:tblGrid>
        <w:gridCol w:w="1075"/>
        <w:gridCol w:w="2151"/>
        <w:gridCol w:w="2346"/>
        <w:gridCol w:w="2346"/>
      </w:tblGrid>
      <w:tr>
        <w:trPr>
          <w:cnfStyle w:firstRow="1"/>
        </w:trPr>
        <w:tc>
          <w:tcPr>
            <w:tcBorders>
              <w:bottom w:val="single"/>
            </w:tcBorders>
            <w:vAlign w:val="bottom"/>
          </w:tcPr>
          <w:p>
            <w:pPr>
              <w:pStyle w:val="Compact"/>
              <w:jc w:val="center"/>
            </w:pPr>
            <w:r>
              <w:t xml:space="preserve">Quantile</w:t>
            </w:r>
          </w:p>
        </w:tc>
        <w:tc>
          <w:tcPr>
            <w:tcBorders>
              <w:bottom w:val="single"/>
            </w:tcBorders>
            <w:vAlign w:val="bottom"/>
          </w:tcPr>
          <w:p>
            <w:pPr>
              <w:pStyle w:val="Compact"/>
              <w:jc w:val="center"/>
            </w:pPr>
            <w:r>
              <w:t xml:space="preserve">Reproduction number</w:t>
            </w:r>
          </w:p>
        </w:tc>
        <w:tc>
          <w:tcPr>
            <w:tcBorders>
              <w:bottom w:val="single"/>
            </w:tcBorders>
            <w:vAlign w:val="bottom"/>
          </w:tcPr>
          <w:p>
            <w:pPr>
              <w:pStyle w:val="Compact"/>
              <w:jc w:val="center"/>
            </w:pPr>
            <w:r>
              <w:t xml:space="preserve">Growth rate (per day)</w:t>
            </w:r>
          </w:p>
        </w:tc>
        <w:tc>
          <w:tcPr>
            <w:tcBorders>
              <w:bottom w:val="single"/>
            </w:tcBorders>
            <w:vAlign w:val="bottom"/>
          </w:tcPr>
          <w:p>
            <w:pPr>
              <w:pStyle w:val="Compact"/>
              <w:jc w:val="center"/>
            </w:pPr>
            <w:r>
              <w:t xml:space="preserve">Doubling time (days)</w:t>
            </w:r>
          </w:p>
        </w:tc>
      </w:tr>
      <w:tr>
        <w:tc>
          <w:p>
            <w:pPr>
              <w:pStyle w:val="Compact"/>
              <w:jc w:val="center"/>
            </w:pPr>
            <w:r>
              <w:t xml:space="preserve">50%</w:t>
            </w:r>
          </w:p>
        </w:tc>
        <w:tc>
          <w:p>
            <w:pPr>
              <w:pStyle w:val="Compact"/>
              <w:jc w:val="center"/>
            </w:pPr>
            <w:r>
              <w:t xml:space="preserve">1.91</w:t>
            </w:r>
          </w:p>
        </w:tc>
        <w:tc>
          <w:p>
            <w:pPr>
              <w:pStyle w:val="Compact"/>
              <w:jc w:val="center"/>
            </w:pPr>
            <w:r>
              <w:t xml:space="preserve">0.0963</w:t>
            </w:r>
          </w:p>
        </w:tc>
        <w:tc>
          <w:p>
            <w:pPr>
              <w:pStyle w:val="Compact"/>
              <w:jc w:val="center"/>
            </w:pPr>
            <w:r>
              <w:t xml:space="preserve">7.2</w:t>
            </w:r>
          </w:p>
        </w:tc>
      </w:tr>
      <w:tr>
        <w:tc>
          <w:p>
            <w:pPr>
              <w:pStyle w:val="Compact"/>
              <w:jc w:val="center"/>
            </w:pPr>
            <w:r>
              <w:t xml:space="preserve">2.5%</w:t>
            </w:r>
          </w:p>
        </w:tc>
        <w:tc>
          <w:p>
            <w:pPr>
              <w:pStyle w:val="Compact"/>
              <w:jc w:val="center"/>
            </w:pPr>
            <w:r>
              <w:t xml:space="preserve">1.58</w:t>
            </w:r>
          </w:p>
        </w:tc>
        <w:tc>
          <w:p>
            <w:pPr>
              <w:pStyle w:val="Compact"/>
              <w:jc w:val="center"/>
            </w:pPr>
            <w:r>
              <w:t xml:space="preserve">0.0647</w:t>
            </w:r>
          </w:p>
        </w:tc>
        <w:tc>
          <w:p>
            <w:pPr>
              <w:pStyle w:val="Compact"/>
              <w:jc w:val="center"/>
            </w:pPr>
            <w:r>
              <w:t xml:space="preserve">5</w:t>
            </w:r>
          </w:p>
        </w:tc>
      </w:tr>
      <w:tr>
        <w:tc>
          <w:p>
            <w:pPr>
              <w:pStyle w:val="Compact"/>
              <w:jc w:val="center"/>
            </w:pPr>
            <w:r>
              <w:t xml:space="preserve">97.5%</w:t>
            </w:r>
          </w:p>
        </w:tc>
        <w:tc>
          <w:p>
            <w:pPr>
              <w:pStyle w:val="Compact"/>
              <w:jc w:val="center"/>
            </w:pPr>
            <w:r>
              <w:t xml:space="preserve">2.4</w:t>
            </w:r>
          </w:p>
        </w:tc>
        <w:tc>
          <w:p>
            <w:pPr>
              <w:pStyle w:val="Compact"/>
              <w:jc w:val="center"/>
            </w:pPr>
            <w:r>
              <w:t xml:space="preserve">0.139</w:t>
            </w:r>
          </w:p>
        </w:tc>
        <w:tc>
          <w:p>
            <w:pPr>
              <w:pStyle w:val="Compact"/>
              <w:jc w:val="center"/>
            </w:pPr>
            <w:r>
              <w:t xml:space="preserve">10.7</w:t>
            </w:r>
          </w:p>
        </w:tc>
      </w:tr>
    </w:tbl>
    <w:p>
      <w:pPr>
        <w:pStyle w:val="Heading2"/>
      </w:pPr>
      <w:bookmarkStart w:id="35" w:name="how-has-sars-cov-2-evolved-in-sandiego"/>
      <w:r>
        <w:t xml:space="preserve">How has SARS-CoV 2 evolved in SanDiego?</w:t>
      </w:r>
      <w:bookmarkEnd w:id="35"/>
    </w:p>
    <w:p>
      <w:pPr>
        <w:pStyle w:val="Heading2"/>
      </w:pPr>
      <w:bookmarkStart w:id="36" w:name="placeholder-for-ml-tree"/>
      <w:r>
        <w:rPr>
          <w:i/>
        </w:rPr>
        <w:t xml:space="preserve">[placeholder for ML tree]</w:t>
      </w:r>
      <w:bookmarkEnd w:id="36"/>
    </w:p>
    <w:p>
      <w:pPr>
        <w:pStyle w:val="FirstParagraph"/>
      </w:pPr>
      <w:r>
        <w:rPr>
          <w:i/>
        </w:rPr>
        <w:t xml:space="preserve">Figure 6: Maximum likelihood phylogeny with the x-axis representing NT substitutions per site. The colour of the tips corresponds to sampling location; red tips were sampled from within the region, grey tips from outside</w:t>
      </w:r>
    </w:p>
    <w:p>
      <w:pPr>
        <w:pStyle w:val="BodyText"/>
      </w:pPr>
      <w:r>
        <w:drawing>
          <wp:inline>
            <wp:extent cx="3669832" cy="6422207"/>
            <wp:effectExtent b="0" l="0" r="0" t="0"/>
            <wp:docPr descr="" title="" id="1" name="Picture"/>
            <a:graphic>
              <a:graphicData uri="http://schemas.openxmlformats.org/drawingml/2006/picture">
                <pic:pic>
                  <pic:nvPicPr>
                    <pic:cNvPr descr="mcc.png" id="0" name="Picture"/>
                    <pic:cNvPicPr>
                      <a:picLocks noChangeArrowheads="1" noChangeAspect="1"/>
                    </pic:cNvPicPr>
                  </pic:nvPicPr>
                  <pic:blipFill>
                    <a:blip r:embed="rId37"/>
                    <a:stretch>
                      <a:fillRect/>
                    </a:stretch>
                  </pic:blipFill>
                  <pic:spPr bwMode="auto">
                    <a:xfrm>
                      <a:off x="0" y="0"/>
                      <a:ext cx="3669832" cy="6422207"/>
                    </a:xfrm>
                    <a:prstGeom prst="rect">
                      <a:avLst/>
                    </a:prstGeom>
                    <a:noFill/>
                    <a:ln w="9525">
                      <a:noFill/>
                      <a:headEnd/>
                      <a:tailEnd/>
                    </a:ln>
                  </pic:spPr>
                </pic:pic>
              </a:graphicData>
            </a:graphic>
          </wp:inline>
        </w:drawing>
      </w:r>
    </w:p>
    <w:p>
      <w:pPr>
        <w:pStyle w:val="BodyText"/>
      </w:pPr>
      <w:r>
        <w:rPr>
          <w:i/>
        </w:rPr>
        <w:t xml:space="preserve">Figure 7: Time scaled phylogeny co-estimated with epidemiological parameters. The colour of the tips corresponds to location sampling; red tips were sampled from within SanDiego, blue tips from outside.</w:t>
      </w:r>
    </w:p>
    <w:p>
      <w:pPr>
        <w:pStyle w:val="Heading5"/>
      </w:pPr>
      <w:bookmarkStart w:id="38" w:name="X93b005675e19b2866388d511b46ffbe194f8471"/>
      <w:r>
        <w:t xml:space="preserve">Molecular clock rate of evolution:</w:t>
      </w:r>
      <w:r>
        <w:t xml:space="preserve"> </w:t>
      </w:r>
      <w:r>
        <w:rPr>
          <w:b/>
        </w:rPr>
        <w:t xml:space="preserve">0.000634 [0.000512-0.000836]</w:t>
      </w:r>
      <w:r>
        <w:t xml:space="preserve"> </w:t>
      </w:r>
      <w:r>
        <w:t xml:space="preserve">median [95% CrI]</w:t>
      </w:r>
      <w:bookmarkEnd w:id="38"/>
    </w:p>
    <w:p>
      <w:pPr>
        <w:pStyle w:val="Heading2"/>
      </w:pPr>
      <w:bookmarkStart w:id="39" w:name="X189ef4839c32d163ad55bd7f88fbdff96808d45"/>
      <w:r>
        <w:t xml:space="preserve">Predicted cumulative infections over next 14 days (assuming exponential growth):</w:t>
      </w:r>
      <w:bookmarkEnd w:id="39"/>
    </w:p>
    <w:p>
      <w:pPr>
        <w:pStyle w:val="FirstParagraph"/>
      </w:pPr>
      <w:r>
        <w:drawing>
          <wp:inline>
            <wp:extent cx="5486400" cy="3916244"/>
            <wp:effectExtent b="0" l="0" r="0" t="0"/>
            <wp:docPr descr="" title="" id="1" name="Picture"/>
            <a:graphic>
              <a:graphicData uri="http://schemas.openxmlformats.org/drawingml/2006/picture">
                <pic:pic>
                  <pic:nvPicPr>
                    <pic:cNvPr descr="cumu_inf_exp_model.png" id="0" name="Picture"/>
                    <pic:cNvPicPr>
                      <a:picLocks noChangeArrowheads="1" noChangeAspect="1"/>
                    </pic:cNvPicPr>
                  </pic:nvPicPr>
                  <pic:blipFill>
                    <a:blip r:embed="rId40"/>
                    <a:stretch>
                      <a:fillRect/>
                    </a:stretch>
                  </pic:blipFill>
                  <pic:spPr bwMode="auto">
                    <a:xfrm>
                      <a:off x="0" y="0"/>
                      <a:ext cx="5486400" cy="3916244"/>
                    </a:xfrm>
                    <a:prstGeom prst="rect">
                      <a:avLst/>
                    </a:prstGeom>
                    <a:noFill/>
                    <a:ln w="9525">
                      <a:noFill/>
                      <a:headEnd/>
                      <a:tailEnd/>
                    </a:ln>
                  </pic:spPr>
                </pic:pic>
              </a:graphicData>
            </a:graphic>
          </wp:inline>
        </w:drawing>
      </w:r>
    </w:p>
    <w:p>
      <w:pPr>
        <w:pStyle w:val="BodyText"/>
      </w:pPr>
      <w:r>
        <w:rPr>
          <w:i/>
        </w:rPr>
        <w:t xml:space="preserve">Figure 8: Cumulative estimated infections. The dashed line indicates the date of last sample in SanDiego in this analysis. The points represent reported cases in SanDiego.</w:t>
      </w:r>
    </w:p>
    <w:p>
      <w:pPr>
        <w:pStyle w:val="BodyText"/>
      </w:pPr>
      <w:r>
        <w:t xml:space="preserve">Based on an estimated growth rate of 0.0963 [0.0647 - 0.139] median [95% CrI]:</w:t>
      </w:r>
    </w:p>
    <w:p>
      <w:pPr>
        <w:pStyle w:val="BodyText"/>
      </w:pPr>
      <w:r>
        <w:t xml:space="preserve">We estimate cumulative number of infections at last sample (2020-04-29) as: 258900 [9148 - 20195925]</w:t>
      </w:r>
    </w:p>
    <w:p>
      <w:pPr>
        <w:pStyle w:val="BodyText"/>
      </w:pPr>
      <w:r>
        <w:t xml:space="preserve">We estimate number of infections at 2020-05-13 (14 days after last sample) as:</w:t>
      </w:r>
      <w:r>
        <w:t xml:space="preserve"> </w:t>
      </w:r>
      <w:r>
        <w:t xml:space="preserve">988868 [23105 - 138530175]</w:t>
      </w:r>
    </w:p>
    <w:p>
      <w:pPr>
        <w:pStyle w:val="Heading2"/>
      </w:pPr>
      <w:bookmarkStart w:id="41" w:name="methods-summary"/>
      <w:r>
        <w:t xml:space="preserve">Methods summary</w:t>
      </w:r>
      <w:bookmarkEnd w:id="41"/>
    </w:p>
    <w:p>
      <w:pPr>
        <w:pStyle w:val="FirstParagraph"/>
      </w:pPr>
      <w:r>
        <w:t xml:space="preserve">Details on methods and priors can be</w:t>
      </w:r>
      <w:r>
        <w:t xml:space="preserve"> </w:t>
      </w:r>
      <w:hyperlink r:id="rId42">
        <w:r>
          <w:rPr>
            <w:rStyle w:val="Hyperlink"/>
          </w:rPr>
          <w:t xml:space="preserve">found here</w:t>
        </w:r>
      </w:hyperlink>
      <w:r>
        <w:t xml:space="preserve">.</w:t>
      </w:r>
    </w:p>
    <w:p>
      <w:pPr>
        <w:pStyle w:val="TableCaption"/>
      </w:pPr>
      <w:r>
        <w:t xml:space="preserve">Effective sample size of model parameters</w:t>
      </w:r>
    </w:p>
    <w:tbl>
      <w:tblPr>
        <w:tblStyle w:val="Table"/>
        <w:tblW w:type="pct" w:w="2916.6666666666665"/>
        <w:tblLook w:firstRow="1"/>
        <w:tblCaption w:val="Effective sample size of model parameters"/>
      </w:tblPr>
      <w:tblGrid>
        <w:gridCol w:w="2420"/>
        <w:gridCol w:w="1320"/>
        <w:gridCol w:w="880"/>
      </w:tblGrid>
      <w:tr>
        <w:trPr>
          <w:cnfStyle w:firstRow="1"/>
        </w:trPr>
        <w:tc>
          <w:tcPr>
            <w:tcBorders>
              <w:bottom w:val="single"/>
            </w:tcBorders>
            <w:vAlign w:val="bottom"/>
          </w:tcPr>
          <w:p>
            <w:pPr>
              <w:pStyle w:val="Compact"/>
              <w:jc w:val="center"/>
            </w:pPr>
            <w:r>
              <w:t xml:space="preserve">Statistic</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ESS</w:t>
            </w:r>
          </w:p>
        </w:tc>
      </w:tr>
      <w:tr>
        <w:tc>
          <w:p>
            <w:pPr>
              <w:pStyle w:val="Compact"/>
              <w:jc w:val="center"/>
            </w:pPr>
            <w:r>
              <w:t xml:space="preserve">posterior</w:t>
            </w:r>
          </w:p>
        </w:tc>
        <w:tc>
          <w:p>
            <w:pPr>
              <w:pStyle w:val="Compact"/>
              <w:jc w:val="center"/>
            </w:pPr>
            <w:r>
              <w:t xml:space="preserve">-42560</w:t>
            </w:r>
          </w:p>
        </w:tc>
        <w:tc>
          <w:p>
            <w:pPr>
              <w:pStyle w:val="Compact"/>
              <w:jc w:val="center"/>
            </w:pPr>
            <w:r>
              <w:t xml:space="preserve">639</w:t>
            </w:r>
          </w:p>
        </w:tc>
      </w:tr>
      <w:tr>
        <w:tc>
          <w:p>
            <w:pPr>
              <w:pStyle w:val="Compact"/>
              <w:jc w:val="center"/>
            </w:pPr>
            <w:r>
              <w:t xml:space="preserve">likelihood</w:t>
            </w:r>
          </w:p>
        </w:tc>
        <w:tc>
          <w:p>
            <w:pPr>
              <w:pStyle w:val="Compact"/>
              <w:jc w:val="center"/>
            </w:pPr>
            <w:r>
              <w:t xml:space="preserve">-42461</w:t>
            </w:r>
          </w:p>
        </w:tc>
        <w:tc>
          <w:p>
            <w:pPr>
              <w:pStyle w:val="Compact"/>
              <w:jc w:val="center"/>
            </w:pPr>
            <w:r>
              <w:t xml:space="preserve">5768</w:t>
            </w:r>
          </w:p>
        </w:tc>
      </w:tr>
      <w:tr>
        <w:tc>
          <w:p>
            <w:pPr>
              <w:pStyle w:val="Compact"/>
              <w:jc w:val="center"/>
            </w:pPr>
            <w:r>
              <w:t xml:space="preserve">prior</w:t>
            </w:r>
          </w:p>
        </w:tc>
        <w:tc>
          <w:p>
            <w:pPr>
              <w:pStyle w:val="Compact"/>
              <w:jc w:val="center"/>
            </w:pPr>
            <w:r>
              <w:t xml:space="preserve">-99.58</w:t>
            </w:r>
          </w:p>
        </w:tc>
        <w:tc>
          <w:p>
            <w:pPr>
              <w:pStyle w:val="Compact"/>
              <w:jc w:val="center"/>
            </w:pPr>
            <w:r>
              <w:t xml:space="preserve">610</w:t>
            </w:r>
          </w:p>
        </w:tc>
      </w:tr>
      <w:tr>
        <w:tc>
          <w:p>
            <w:pPr>
              <w:pStyle w:val="Compact"/>
              <w:jc w:val="center"/>
            </w:pPr>
            <w:r>
              <w:t xml:space="preserve">treeLikelihood.algn</w:t>
            </w:r>
          </w:p>
        </w:tc>
        <w:tc>
          <w:p>
            <w:pPr>
              <w:pStyle w:val="Compact"/>
              <w:jc w:val="center"/>
            </w:pPr>
            <w:r>
              <w:t xml:space="preserve">-42461</w:t>
            </w:r>
          </w:p>
        </w:tc>
        <w:tc>
          <w:p>
            <w:pPr>
              <w:pStyle w:val="Compact"/>
              <w:jc w:val="center"/>
            </w:pPr>
            <w:r>
              <w:t xml:space="preserve">5768</w:t>
            </w:r>
          </w:p>
        </w:tc>
      </w:tr>
      <w:tr>
        <w:tc>
          <w:p>
            <w:pPr>
              <w:pStyle w:val="Compact"/>
              <w:jc w:val="center"/>
            </w:pPr>
            <w:r>
              <w:t xml:space="preserve">TreeHeight</w:t>
            </w:r>
          </w:p>
        </w:tc>
        <w:tc>
          <w:p>
            <w:pPr>
              <w:pStyle w:val="Compact"/>
              <w:jc w:val="center"/>
            </w:pPr>
            <w:r>
              <w:t xml:space="preserve">0.4495</w:t>
            </w:r>
          </w:p>
        </w:tc>
        <w:tc>
          <w:p>
            <w:pPr>
              <w:pStyle w:val="Compact"/>
              <w:jc w:val="center"/>
            </w:pPr>
            <w:r>
              <w:t xml:space="preserve">391</w:t>
            </w:r>
          </w:p>
        </w:tc>
      </w:tr>
      <w:tr>
        <w:tc>
          <w:p>
            <w:pPr>
              <w:pStyle w:val="Compact"/>
              <w:jc w:val="center"/>
            </w:pPr>
            <w:r>
              <w:t xml:space="preserve">clockRate</w:t>
            </w:r>
          </w:p>
        </w:tc>
        <w:tc>
          <w:p>
            <w:pPr>
              <w:pStyle w:val="Compact"/>
              <w:jc w:val="center"/>
            </w:pPr>
            <w:r>
              <w:t xml:space="preserve">0.0006439</w:t>
            </w:r>
          </w:p>
        </w:tc>
        <w:tc>
          <w:p>
            <w:pPr>
              <w:pStyle w:val="Compact"/>
              <w:jc w:val="center"/>
            </w:pPr>
            <w:r>
              <w:t xml:space="preserve">474</w:t>
            </w:r>
          </w:p>
        </w:tc>
      </w:tr>
      <w:tr>
        <w:tc>
          <w:p>
            <w:pPr>
              <w:pStyle w:val="Compact"/>
              <w:jc w:val="center"/>
            </w:pPr>
            <w:r>
              <w:t xml:space="preserve">kappa</w:t>
            </w:r>
          </w:p>
        </w:tc>
        <w:tc>
          <w:p>
            <w:pPr>
              <w:pStyle w:val="Compact"/>
              <w:jc w:val="center"/>
            </w:pPr>
            <w:r>
              <w:t xml:space="preserve">5.96</w:t>
            </w:r>
          </w:p>
        </w:tc>
        <w:tc>
          <w:p>
            <w:pPr>
              <w:pStyle w:val="Compact"/>
              <w:jc w:val="center"/>
            </w:pPr>
            <w:r>
              <w:t xml:space="preserve">42416</w:t>
            </w:r>
          </w:p>
        </w:tc>
      </w:tr>
      <w:tr>
        <w:tc>
          <w:p>
            <w:pPr>
              <w:pStyle w:val="Compact"/>
              <w:jc w:val="center"/>
            </w:pPr>
            <w:r>
              <w:t xml:space="preserve">PhydynSEIR</w:t>
            </w:r>
          </w:p>
        </w:tc>
        <w:tc>
          <w:p>
            <w:pPr>
              <w:pStyle w:val="Compact"/>
              <w:jc w:val="center"/>
            </w:pPr>
            <w:r>
              <w:t xml:space="preserve">-68.96</w:t>
            </w:r>
          </w:p>
        </w:tc>
        <w:tc>
          <w:p>
            <w:pPr>
              <w:pStyle w:val="Compact"/>
              <w:jc w:val="center"/>
            </w:pPr>
            <w:r>
              <w:t xml:space="preserve">630</w:t>
            </w:r>
          </w:p>
        </w:tc>
      </w:tr>
      <w:tr>
        <w:tc>
          <w:p>
            <w:pPr>
              <w:pStyle w:val="Compact"/>
              <w:jc w:val="center"/>
            </w:pPr>
            <w:r>
              <w:t xml:space="preserve">seir.E</w:t>
            </w:r>
          </w:p>
        </w:tc>
        <w:tc>
          <w:p>
            <w:pPr>
              <w:pStyle w:val="Compact"/>
              <w:jc w:val="center"/>
            </w:pPr>
            <w:r>
              <w:t xml:space="preserve">16.49</w:t>
            </w:r>
          </w:p>
        </w:tc>
        <w:tc>
          <w:p>
            <w:pPr>
              <w:pStyle w:val="Compact"/>
              <w:jc w:val="center"/>
            </w:pPr>
            <w:r>
              <w:t xml:space="preserve">307</w:t>
            </w:r>
          </w:p>
        </w:tc>
      </w:tr>
      <w:tr>
        <w:tc>
          <w:p>
            <w:pPr>
              <w:pStyle w:val="Compact"/>
              <w:jc w:val="center"/>
            </w:pPr>
            <w:r>
              <w:t xml:space="preserve">seir.S</w:t>
            </w:r>
          </w:p>
        </w:tc>
        <w:tc>
          <w:p>
            <w:pPr>
              <w:pStyle w:val="Compact"/>
              <w:jc w:val="center"/>
            </w:pPr>
            <w:r>
              <w:t xml:space="preserve">81953</w:t>
            </w:r>
          </w:p>
        </w:tc>
        <w:tc>
          <w:p>
            <w:pPr>
              <w:pStyle w:val="Compact"/>
              <w:jc w:val="center"/>
            </w:pPr>
            <w:r>
              <w:t xml:space="preserve">1142</w:t>
            </w:r>
          </w:p>
        </w:tc>
      </w:tr>
      <w:tr>
        <w:tc>
          <w:p>
            <w:pPr>
              <w:pStyle w:val="Compact"/>
              <w:jc w:val="center"/>
            </w:pPr>
            <w:r>
              <w:t xml:space="preserve">seir.b</w:t>
            </w:r>
          </w:p>
        </w:tc>
        <w:tc>
          <w:p>
            <w:pPr>
              <w:pStyle w:val="Compact"/>
              <w:jc w:val="center"/>
            </w:pPr>
            <w:r>
              <w:t xml:space="preserve">14.95</w:t>
            </w:r>
          </w:p>
        </w:tc>
        <w:tc>
          <w:p>
            <w:pPr>
              <w:pStyle w:val="Compact"/>
              <w:jc w:val="center"/>
            </w:pPr>
            <w:r>
              <w:t xml:space="preserve">900</w:t>
            </w:r>
          </w:p>
        </w:tc>
      </w:tr>
      <w:tr>
        <w:tc>
          <w:p>
            <w:pPr>
              <w:pStyle w:val="Compact"/>
              <w:jc w:val="center"/>
            </w:pPr>
            <w:r>
              <w:t xml:space="preserve">seir.exog</w:t>
            </w:r>
          </w:p>
        </w:tc>
        <w:tc>
          <w:p>
            <w:pPr>
              <w:pStyle w:val="Compact"/>
              <w:jc w:val="center"/>
            </w:pPr>
            <w:r>
              <w:t xml:space="preserve">0.09486</w:t>
            </w:r>
          </w:p>
        </w:tc>
        <w:tc>
          <w:p>
            <w:pPr>
              <w:pStyle w:val="Compact"/>
              <w:jc w:val="center"/>
            </w:pPr>
            <w:r>
              <w:t xml:space="preserve">1031</w:t>
            </w:r>
          </w:p>
        </w:tc>
      </w:tr>
      <w:tr>
        <w:tc>
          <w:p>
            <w:pPr>
              <w:pStyle w:val="Compact"/>
              <w:jc w:val="center"/>
            </w:pPr>
            <w:r>
              <w:t xml:space="preserve">seir.exogGrowthRate</w:t>
            </w:r>
          </w:p>
        </w:tc>
        <w:tc>
          <w:p>
            <w:pPr>
              <w:pStyle w:val="Compact"/>
              <w:jc w:val="center"/>
            </w:pPr>
            <w:r>
              <w:t xml:space="preserve">24.2</w:t>
            </w:r>
          </w:p>
        </w:tc>
        <w:tc>
          <w:p>
            <w:pPr>
              <w:pStyle w:val="Compact"/>
              <w:jc w:val="center"/>
            </w:pPr>
            <w:r>
              <w:t xml:space="preserve">232</w:t>
            </w:r>
          </w:p>
        </w:tc>
      </w:tr>
      <w:tr>
        <w:tc>
          <w:p>
            <w:pPr>
              <w:pStyle w:val="Compact"/>
              <w:jc w:val="center"/>
            </w:pPr>
            <w:r>
              <w:t xml:space="preserve">seir.importRate</w:t>
            </w:r>
          </w:p>
        </w:tc>
        <w:tc>
          <w:p>
            <w:pPr>
              <w:pStyle w:val="Compact"/>
              <w:jc w:val="center"/>
            </w:pPr>
            <w:r>
              <w:t xml:space="preserve">5.133</w:t>
            </w:r>
          </w:p>
        </w:tc>
        <w:tc>
          <w:p>
            <w:pPr>
              <w:pStyle w:val="Compact"/>
              <w:jc w:val="center"/>
            </w:pPr>
            <w:r>
              <w:t xml:space="preserve">771</w:t>
            </w:r>
          </w:p>
        </w:tc>
      </w:tr>
      <w:tr>
        <w:tc>
          <w:p>
            <w:pPr>
              <w:pStyle w:val="Compact"/>
              <w:jc w:val="center"/>
            </w:pPr>
            <w:r>
              <w:t xml:space="preserve">seir.p_h</w:t>
            </w:r>
          </w:p>
        </w:tc>
        <w:tc>
          <w:p>
            <w:pPr>
              <w:pStyle w:val="Compact"/>
              <w:jc w:val="center"/>
            </w:pPr>
            <w:r>
              <w:t xml:space="preserve">0.2068</w:t>
            </w:r>
          </w:p>
        </w:tc>
        <w:tc>
          <w:p>
            <w:pPr>
              <w:pStyle w:val="Compact"/>
              <w:jc w:val="center"/>
            </w:pPr>
            <w:r>
              <w:t xml:space="preserve">946</w:t>
            </w:r>
          </w:p>
        </w:tc>
      </w:tr>
      <w:tr>
        <w:tc>
          <w:p>
            <w:pPr>
              <w:pStyle w:val="Compact"/>
              <w:jc w:val="center"/>
            </w:pPr>
            <w:r>
              <w:t xml:space="preserve">seir.tau</w:t>
            </w:r>
          </w:p>
        </w:tc>
        <w:tc>
          <w:p>
            <w:pPr>
              <w:pStyle w:val="Compact"/>
              <w:jc w:val="center"/>
            </w:pPr>
            <w:r>
              <w:t xml:space="preserve">73.54</w:t>
            </w:r>
          </w:p>
        </w:tc>
        <w:tc>
          <w:p>
            <w:pPr>
              <w:pStyle w:val="Compact"/>
              <w:jc w:val="center"/>
            </w:pPr>
            <w:r>
              <w:t xml:space="preserve">1457</w:t>
            </w:r>
          </w:p>
        </w:tc>
      </w:tr>
      <w:tr>
        <w:tc>
          <w:p>
            <w:pPr>
              <w:pStyle w:val="Compact"/>
              <w:jc w:val="center"/>
            </w:pPr>
            <w:r>
              <w:t xml:space="preserve">freqParameter.1</w:t>
            </w:r>
          </w:p>
        </w:tc>
        <w:tc>
          <w:p>
            <w:pPr>
              <w:pStyle w:val="Compact"/>
              <w:jc w:val="center"/>
            </w:pPr>
            <w:r>
              <w:t xml:space="preserve">0.2983</w:t>
            </w:r>
          </w:p>
        </w:tc>
        <w:tc>
          <w:p>
            <w:pPr>
              <w:pStyle w:val="Compact"/>
              <w:jc w:val="center"/>
            </w:pPr>
            <w:r>
              <w:t xml:space="preserve">14956</w:t>
            </w:r>
          </w:p>
        </w:tc>
      </w:tr>
      <w:tr>
        <w:tc>
          <w:p>
            <w:pPr>
              <w:pStyle w:val="Compact"/>
              <w:jc w:val="center"/>
            </w:pPr>
            <w:r>
              <w:t xml:space="preserve">freqParameter.2</w:t>
            </w:r>
          </w:p>
        </w:tc>
        <w:tc>
          <w:p>
            <w:pPr>
              <w:pStyle w:val="Compact"/>
              <w:jc w:val="center"/>
            </w:pPr>
            <w:r>
              <w:t xml:space="preserve">0.1827</w:t>
            </w:r>
          </w:p>
        </w:tc>
        <w:tc>
          <w:p>
            <w:pPr>
              <w:pStyle w:val="Compact"/>
              <w:jc w:val="center"/>
            </w:pPr>
            <w:r>
              <w:t xml:space="preserve">16421</w:t>
            </w:r>
          </w:p>
        </w:tc>
      </w:tr>
      <w:tr>
        <w:tc>
          <w:p>
            <w:pPr>
              <w:pStyle w:val="Compact"/>
              <w:jc w:val="center"/>
            </w:pPr>
            <w:r>
              <w:t xml:space="preserve">freqParameter.3</w:t>
            </w:r>
          </w:p>
        </w:tc>
        <w:tc>
          <w:p>
            <w:pPr>
              <w:pStyle w:val="Compact"/>
              <w:jc w:val="center"/>
            </w:pPr>
            <w:r>
              <w:t xml:space="preserve">0.1949</w:t>
            </w:r>
          </w:p>
        </w:tc>
        <w:tc>
          <w:p>
            <w:pPr>
              <w:pStyle w:val="Compact"/>
              <w:jc w:val="center"/>
            </w:pPr>
            <w:r>
              <w:t xml:space="preserve">15535</w:t>
            </w:r>
          </w:p>
        </w:tc>
      </w:tr>
      <w:tr>
        <w:tc>
          <w:p>
            <w:pPr>
              <w:pStyle w:val="Compact"/>
              <w:jc w:val="center"/>
            </w:pPr>
            <w:r>
              <w:t xml:space="preserve">freqParameter.4</w:t>
            </w:r>
          </w:p>
        </w:tc>
        <w:tc>
          <w:p>
            <w:pPr>
              <w:pStyle w:val="Compact"/>
              <w:jc w:val="center"/>
            </w:pPr>
            <w:r>
              <w:t xml:space="preserve">0.3242</w:t>
            </w:r>
          </w:p>
        </w:tc>
        <w:tc>
          <w:p>
            <w:pPr>
              <w:pStyle w:val="Compact"/>
              <w:jc w:val="center"/>
            </w:pPr>
            <w:r>
              <w:t xml:space="preserve">15396</w:t>
            </w:r>
          </w:p>
        </w:tc>
      </w:tr>
      <w:tr>
        <w:tc>
          <w:p>
            <w:pPr>
              <w:pStyle w:val="Compact"/>
              <w:jc w:val="center"/>
            </w:pPr>
            <w:r>
              <w:t xml:space="preserve">gamma0</w:t>
            </w:r>
          </w:p>
        </w:tc>
        <w:tc>
          <w:p>
            <w:pPr>
              <w:pStyle w:val="Compact"/>
              <w:jc w:val="center"/>
            </w:pPr>
            <w:r>
              <w:t xml:space="preserve">73</w:t>
            </w:r>
          </w:p>
        </w:tc>
        <w:tc>
          <w:p>
            <w:pPr>
              <w:pStyle w:val="Compact"/>
              <w:jc w:val="center"/>
            </w:pPr>
            <w:r>
              <w:t xml:space="preserve">NA</w:t>
            </w:r>
          </w:p>
        </w:tc>
      </w:tr>
      <w:tr>
        <w:tc>
          <w:p>
            <w:pPr>
              <w:pStyle w:val="Compact"/>
              <w:jc w:val="center"/>
            </w:pPr>
            <w:r>
              <w:t xml:space="preserve">gamma1</w:t>
            </w:r>
          </w:p>
        </w:tc>
        <w:tc>
          <w:p>
            <w:pPr>
              <w:pStyle w:val="Compact"/>
              <w:jc w:val="center"/>
            </w:pPr>
            <w:r>
              <w:t xml:space="preserve">121.7</w:t>
            </w:r>
          </w:p>
        </w:tc>
        <w:tc>
          <w:p>
            <w:pPr>
              <w:pStyle w:val="Compact"/>
              <w:jc w:val="center"/>
            </w:pPr>
            <w:r>
              <w:t xml:space="preserve">60</w:t>
            </w:r>
          </w:p>
        </w:tc>
      </w:tr>
    </w:tbl>
    <w:p>
      <w:pPr>
        <w:pStyle w:val="BodyText"/>
      </w:pPr>
      <w:r>
        <w:t xml:space="preserve">Model version: seijr0.1.1</w:t>
      </w:r>
    </w:p>
    <w:p>
      <w:pPr>
        <w:pStyle w:val="BodyText"/>
      </w:pPr>
      <w:r>
        <w:t xml:space="preserve">Report version: 20200608-131123-38b0f4ba</w:t>
      </w:r>
    </w:p>
    <w:p>
      <w:pPr>
        <w:pStyle w:val="Heading2"/>
      </w:pPr>
      <w:bookmarkStart w:id="43" w:name="acknowledgements"/>
      <w:r>
        <w:t xml:space="preserve">Acknowledgements</w:t>
      </w:r>
      <w:bookmarkEnd w:id="43"/>
    </w:p>
    <w:p>
      <w:pPr>
        <w:pStyle w:val="FirstParagraph"/>
      </w:pPr>
      <w:r>
        <w:t xml:space="preserve">This work was supported by the</w:t>
      </w:r>
      <w:r>
        <w:t xml:space="preserve"> </w:t>
      </w:r>
      <w:hyperlink r:id="rId44">
        <w:r>
          <w:rPr>
            <w:rStyle w:val="Hyperlink"/>
          </w:rPr>
          <w:t xml:space="preserve">MRC Centre for Global Infectious Disease Analysis at Imperial College London</w:t>
        </w:r>
      </w:hyperlink>
      <w:r>
        <w:t xml:space="preserve">.</w:t>
      </w:r>
    </w:p>
    <w:p>
      <w:pPr>
        <w:pStyle w:val="BodyText"/>
      </w:pPr>
      <w:r>
        <w:t xml:space="preserve">Sequence data were provided by</w:t>
      </w:r>
      <w:r>
        <w:t xml:space="preserve"> </w:t>
      </w:r>
      <w:hyperlink r:id="rId45">
        <w:r>
          <w:rPr>
            <w:rStyle w:val="Hyperlink"/>
          </w:rPr>
          <w:t xml:space="preserve">GISAID</w:t>
        </w:r>
      </w:hyperlink>
      <w:r>
        <w:t xml:space="preserve"> </w:t>
      </w:r>
      <w:r>
        <w:t xml:space="preserve">and</w:t>
      </w:r>
      <w:r>
        <w:t xml:space="preserve"> </w:t>
      </w:r>
      <w:hyperlink r:id="rId46">
        <w:r>
          <w:rPr>
            <w:rStyle w:val="Hyperlink"/>
          </w:rPr>
          <w:t xml:space="preserve">these laboratories</w:t>
        </w:r>
      </w:hyperlink>
      <w:r>
        <w:t xml:space="preserve">.</w:t>
      </w:r>
    </w:p>
    <w:sectPr w:rsidR="00DD23D3" w:rsidRPr="00AF675C">
      <w:pgSz w:w="12240" w:h="15840"/>
      <w:pgMar w:top="1440" w:right="1800" w:bottom="1440" w:left="1800" w:header="0" w:footer="0" w:gutter="0"/>
      <w:cols w:space="720"/>
      <w:formProt w:val="0"/>
      <w:docGrid w:linePitch="240" w:charSpace="-6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1"/>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WenQuanYi Micro Hei">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594C277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20AA919E"/>
    <w:lvl w:ilvl="0">
      <w:start w:val="1"/>
      <w:numFmt w:val="bullet"/>
      <w:lvlText w:val=""/>
      <w:lvlJc w:val="left"/>
      <w:pPr>
        <w:tabs>
          <w:tab w:val="num" w:pos="1209"/>
        </w:tabs>
        <w:ind w:left="1209"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color w:val="00000A"/>
      <w:sz w:val="24"/>
    </w:rPr>
  </w:style>
  <w:style w:type="paragraph" w:styleId="Heading1">
    <w:name w:val="heading 1"/>
    <w:basedOn w:val="Normal"/>
    <w:uiPriority w:val="9"/>
    <w:qFormat/>
    <w:pPr>
      <w:keepNext/>
      <w:keepLines/>
      <w:spacing w:before="480" w:after="0"/>
      <w:outlineLvl w:val="0"/>
    </w:pPr>
    <w:rPr>
      <w:rFonts w:ascii="Arial" w:eastAsiaTheme="majorEastAsia" w:hAnsi="Arial" w:cstheme="majorBidi"/>
      <w:b/>
      <w:bCs/>
      <w:color w:val="000000"/>
      <w:sz w:val="32"/>
      <w:szCs w:val="32"/>
    </w:rPr>
  </w:style>
  <w:style w:type="paragraph" w:styleId="Heading2">
    <w:name w:val="heading 2"/>
    <w:basedOn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rsid w:val="00BB03F0"/>
    <w:pPr>
      <w:keepNext/>
      <w:keepLines/>
      <w:pageBreakBefore/>
      <w:spacing w:before="200" w:after="0" w:line="20" w:lineRule="exact"/>
      <w:outlineLvl w:val="5"/>
    </w:pPr>
    <w:rPr>
      <w:rFonts w:asciiTheme="majorHAnsi" w:eastAsiaTheme="majorEastAsia" w:hAnsiTheme="majorHAnsi" w:cstheme="majorBidi"/>
      <w:color w:val="auto"/>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rPr>
      <w:rFonts w:ascii="Arial" w:hAnsi="Arial"/>
    </w:rPr>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jc w:val="center"/>
    </w:pPr>
    <w:rPr>
      <w:rFonts w:asciiTheme="majorHAnsi" w:eastAsiaTheme="majorEastAsia" w:hAnsiTheme="majorHAnsi" w:cstheme="majorBidi"/>
      <w:b/>
      <w:bCs/>
      <w:color w:val="373773"/>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color w:val="00000A"/>
      <w:sz w:val="24"/>
    </w:rPr>
  </w:style>
  <w:style w:type="paragraph" w:styleId="Date">
    <w:name w:val="Date"/>
    <w:qFormat/>
    <w:pPr>
      <w:keepNext/>
      <w:keepLines/>
      <w:jc w:val="center"/>
    </w:pPr>
    <w:rPr>
      <w:rFonts w:ascii="Arial" w:hAnsi="Arial"/>
      <w:color w:val="00000A"/>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styleId="TOCHeading">
    <w:name w:val="TOC Heading"/>
    <w:basedOn w:val="Heading1"/>
    <w:uiPriority w:val="39"/>
    <w:unhideWhenUsed/>
    <w:qFormat/>
    <w:pPr>
      <w:spacing w:before="240" w:line="259" w:lineRule="auto"/>
    </w:pPr>
    <w:rPr>
      <w:rFonts w:asciiTheme="majorHAnsi" w:hAnsiTheme="majorHAnsi"/>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customStyle="1" w:styleId="Style1">
    <w:name w:val="Style1"/>
    <w:basedOn w:val="Heading6"/>
    <w:qFormat/>
    <w:rsid w:val="00DD23D3"/>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26" Target="media/rId26.png" /><Relationship Type="http://schemas.openxmlformats.org/officeDocument/2006/relationships/hyperlink" Id="rId21" Target="http://sarscov2phylodynamics.org/about/" TargetMode="External" /><Relationship Type="http://schemas.openxmlformats.org/officeDocument/2006/relationships/hyperlink" Id="rId46" Target="http://whoinfectedwhom.org/gisaid_cov2020_acknowledgement_table.xls" TargetMode="External" /><Relationship Type="http://schemas.openxmlformats.org/officeDocument/2006/relationships/hyperlink" Id="rId42" Target="http://whoinfectedwhom.org/seijr0.1.0_methods.pdf" TargetMode="External" /><Relationship Type="http://schemas.openxmlformats.org/officeDocument/2006/relationships/hyperlink" Id="rId45" Target="http://www.epicov.org" TargetMode="External" /><Relationship Type="http://schemas.openxmlformats.org/officeDocument/2006/relationships/hyperlink" Id="rId44" Target="https://www.imperial.ac.uk/mrc-global-infectious-disease-analysis" TargetMode="External" /></Relationships>
</file>

<file path=word/_rels/footnotes.xml.rels><?xml version="1.0" encoding="UTF-8"?>
<Relationships xmlns="http://schemas.openxmlformats.org/package/2006/relationships"><Relationship Type="http://schemas.openxmlformats.org/officeDocument/2006/relationships/hyperlink" Id="rId21" Target="http://sarscov2phylodynamics.org/about/" TargetMode="External" /><Relationship Type="http://schemas.openxmlformats.org/officeDocument/2006/relationships/hyperlink" Id="rId46" Target="http://whoinfectedwhom.org/gisaid_cov2020_acknowledgement_table.xls" TargetMode="External" /><Relationship Type="http://schemas.openxmlformats.org/officeDocument/2006/relationships/hyperlink" Id="rId42" Target="http://whoinfectedwhom.org/seijr0.1.0_methods.pdf" TargetMode="External" /><Relationship Type="http://schemas.openxmlformats.org/officeDocument/2006/relationships/hyperlink" Id="rId45" Target="http://www.epicov.org" TargetMode="External" /><Relationship Type="http://schemas.openxmlformats.org/officeDocument/2006/relationships/hyperlink" Id="rId44" Target="https://www.imperial.ac.uk/mrc-global-infectious-disease-analy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Phylodynamic Analysis: SanDiego,: 2020-04-29</dc:title>
  <dc:creator/>
  <cp:keywords/>
  <dcterms:created xsi:type="dcterms:W3CDTF">2020-06-08T17:11:28Z</dcterms:created>
  <dcterms:modified xsi:type="dcterms:W3CDTF">2020-06-08T17:11:28Z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08, 2020</vt:lpwstr>
  </property>
  <property fmtid="{D5CDD505-2E9C-101B-9397-08002B2CF9AE}" pid="3" name="linkcolor">
    <vt:lpwstr>blue</vt:lpwstr>
  </property>
  <property fmtid="{D5CDD505-2E9C-101B-9397-08002B2CF9AE}" pid="4" name="output">
    <vt:lpwstr/>
  </property>
  <property fmtid="{D5CDD505-2E9C-101B-9397-08002B2CF9AE}" pid="5" name="urlcolor">
    <vt:lpwstr>blue</vt:lpwstr>
  </property>
</Properties>
</file>