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B3A5C"/>
          <w:sz w:val="56"/>
          <w:szCs w:val="56"/>
        </w:rPr>
        <w:t xml:space="preserve">MYADVOCATE</w:t>
      </w:r>
    </w:p>
    <w:p>
      <w:pPr>
        <w:spacing w:before="0" w:after="60"/>
      </w:pPr>
      <w:r>
        <w:rPr>
          <w:rFonts w:ascii="Arial" w:cs="Arial" w:eastAsia="Arial" w:hAnsi="Arial"/>
          <w:color w:val="555555"/>
          <w:sz w:val="36"/>
          <w:szCs w:val="36"/>
        </w:rPr>
        <w:t xml:space="preserve">Security &amp; Architecture Review</w:t>
      </w:r>
    </w:p>
    <w:p>
      <w:pPr>
        <w:spacing w:before="0" w:after="40"/>
      </w:pPr>
      <w:r>
        <w:rPr>
          <w:rFonts w:ascii="Arial" w:cs="Arial" w:eastAsia="Arial" w:hAnsi="Arial"/>
          <w:color w:val="777777"/>
          <w:sz w:val="28"/>
          <w:szCs w:val="28"/>
        </w:rPr>
        <w:t xml:space="preserve">Supplemental Analysis Report</w:t>
      </w:r>
    </w:p>
    <w:p>
      <w:pPr>
        <w:pBdr>
          <w:bottom w:val="single" w:color="1B3A5C" w:sz="6" w:space="4"/>
        </w:pBdr>
        <w:spacing w:before="0" w:after="480"/>
      </w:pPr>
      <w:r>
        <w:rPr>
          <w:rFonts w:ascii="Arial" w:cs="Arial" w:eastAsia="Arial" w:hAnsi="Arial"/>
          <w:color w:val="888888"/>
          <w:sz w:val="20"/>
          <w:szCs w:val="20"/>
        </w:rPr>
        <w:t xml:space="preserve">Prepared for: Sarsh Levine  •  Date: March 13, 2026  •  Supplement to Repo Audit Report + Security Whitepaper + Remediation Plan</w:t>
      </w:r>
    </w:p>
    <w:p>
      <w:pPr>
        <w:spacing w:before="240" w:after="0"/>
      </w:pPr>
      <w:r>
        <w:t xml:space="preserve"/>
      </w:r>
    </w:p>
    <w:p>
      <w:pPr>
        <w:pStyle w:val="Heading1"/>
        <w:pBdr>
          <w:bottom w:val="single" w:color="1B3A5C" w:sz="6" w:space="4"/>
        </w:pBdr>
        <w:spacing w:before="360" w:after="120"/>
      </w:pPr>
      <w:r>
        <w:rPr>
          <w:rFonts w:ascii="Arial" w:cs="Arial" w:eastAsia="Arial" w:hAnsi="Arial"/>
          <w:b/>
          <w:bCs/>
          <w:color w:val="1B3A5C"/>
          <w:sz w:val="32"/>
          <w:szCs w:val="32"/>
        </w:rPr>
        <w:t xml:space="preserve">1. Purpose &amp; Scope</w:t>
      </w:r>
    </w:p>
    <w:p>
      <w:pPr>
        <w:spacing w:before="60" w:after="100"/>
      </w:pPr>
      <w:r>
        <w:rPr>
          <w:rFonts w:ascii="Arial" w:cs="Arial" w:eastAsia="Arial" w:hAnsi="Arial"/>
          <w:sz w:val="22"/>
          <w:szCs w:val="22"/>
        </w:rPr>
        <w:t xml:space="preserve">This supplemental report extends the analysis contained in the three primary documents reviewed (Repository Audit Report, Security &amp; Privacy Whitepaper, and Technical Remediation Plan). It identifies gaps, misclassifications, and structural issues not addressed or underweighted in those documents, cross-referenced against MyAdvocate’s canonical architecture (PMP v17, MA-SEC-002, MA-LCH-004, and the four-layer privacy specification).</w:t>
      </w:r>
    </w:p>
    <w:p>
      <w:pPr>
        <w:spacing w:before="60" w:after="100"/>
      </w:pPr>
      <w:r>
        <w:rPr>
          <w:rFonts w:ascii="Arial" w:cs="Arial" w:eastAsia="Arial" w:hAnsi="Arial"/>
          <w:sz w:val="22"/>
          <w:szCs w:val="22"/>
        </w:rPr>
        <w:t xml:space="preserve">This report does not replace the existing documents. It is additive. Issues are classified by severity, mapped to the canonical document system, and accompanied by a concrete recommendation.</w:t>
      </w:r>
    </w:p>
    <w:p>
      <w:pPr>
        <w:spacing w:before="120" w:after="0"/>
      </w:pPr>
      <w:r>
        <w:t xml:space="preserve"/>
      </w:r>
    </w:p>
    <w:p>
      <w:pPr>
        <w:pBdr>
          <w:bottom w:val="single" w:color="CCCCCC" w:sz="2" w:space="1"/>
        </w:pBdr>
        <w:spacing w:before="200" w:after="200"/>
      </w:pPr>
      <w:r>
        <w:t xml:space="preserve"/>
      </w:r>
    </w:p>
    <w:p>
      <w:pPr>
        <w:pStyle w:val="Heading1"/>
        <w:pBdr>
          <w:bottom w:val="single" w:color="1B3A5C" w:sz="6" w:space="4"/>
        </w:pBdr>
        <w:spacing w:before="360" w:after="120"/>
      </w:pPr>
      <w:r>
        <w:rPr>
          <w:rFonts w:ascii="Arial" w:cs="Arial" w:eastAsia="Arial" w:hAnsi="Arial"/>
          <w:b/>
          <w:bCs/>
          <w:color w:val="1B3A5C"/>
          <w:sz w:val="32"/>
          <w:szCs w:val="32"/>
        </w:rPr>
        <w:t xml:space="preserve">2. What the Three Documents Got Right</w:t>
      </w:r>
    </w:p>
    <w:p>
      <w:pPr>
        <w:spacing w:before="60" w:after="100"/>
      </w:pPr>
      <w:r>
        <w:rPr>
          <w:rFonts w:ascii="Arial" w:cs="Arial" w:eastAsia="Arial" w:hAnsi="Arial"/>
          <w:sz w:val="22"/>
          <w:szCs w:val="22"/>
        </w:rPr>
        <w:t xml:space="preserve">Before identifying gaps, it is worth recording what the audit package got correct — both to establish a baseline and to avoid revisiting settled decisions.</w:t>
      </w:r>
    </w:p>
    <w:p>
      <w:pPr>
        <w:spacing w:before="60" w:after="0"/>
      </w:pPr>
      <w:r>
        <w:t xml:space="preserve"/>
      </w:r>
    </w:p>
    <w:p>
      <w:pPr>
        <w:pStyle w:val="Heading3"/>
        <w:spacing w:before="200" w:after="60"/>
      </w:pPr>
      <w:r>
        <w:rPr>
          <w:rFonts w:ascii="Arial" w:cs="Arial" w:eastAsia="Arial" w:hAnsi="Arial"/>
          <w:b/>
          <w:bCs/>
          <w:color w:val="333333"/>
          <w:sz w:val="22"/>
          <w:szCs w:val="22"/>
        </w:rPr>
        <w:t xml:space="preserve">Priority sequencing is correct</w:t>
      </w:r>
    </w:p>
    <w:p>
      <w:pPr>
        <w:spacing w:before="60" w:after="100"/>
      </w:pPr>
      <w:r>
        <w:rPr>
          <w:rFonts w:ascii="Arial" w:cs="Arial" w:eastAsia="Arial" w:hAnsi="Arial"/>
          <w:sz w:val="22"/>
          <w:szCs w:val="22"/>
        </w:rPr>
        <w:t xml:space="preserve">The audit correctly orders: PII exposure → YMYL guardrails → schema validation → cost control. Getting this wrong is common. The sequence reflects an accurate risk model for a healthcare-adjacent platform operating under YMYL constraints.</w:t>
      </w:r>
    </w:p>
    <w:p>
      <w:pPr>
        <w:pStyle w:val="Heading3"/>
        <w:spacing w:before="200" w:after="60"/>
      </w:pPr>
      <w:r>
        <w:rPr>
          <w:rFonts w:ascii="Arial" w:cs="Arial" w:eastAsia="Arial" w:hAnsi="Arial"/>
          <w:b/>
          <w:bCs/>
          <w:color w:val="333333"/>
          <w:sz w:val="22"/>
          <w:szCs w:val="22"/>
        </w:rPr>
        <w:t xml:space="preserve">Four-layer privacy model is architecturally sound</w:t>
      </w:r>
    </w:p>
    <w:p>
      <w:pPr>
        <w:spacing w:before="60" w:after="100"/>
      </w:pPr>
      <w:r>
        <w:rPr>
          <w:rFonts w:ascii="Arial" w:cs="Arial" w:eastAsia="Arial" w:hAnsi="Arial"/>
          <w:sz w:val="22"/>
          <w:szCs w:val="22"/>
        </w:rPr>
        <w:t xml:space="preserve">The whitepaper’s layered model (input minimization → context firewall → redaction → release control) is consistent with the canonical architecture defined in MA-SEC-002 and the four-layer privacy specification. The layers are correctly sequenced and their purposes are accurately described.</w:t>
      </w:r>
    </w:p>
    <w:p>
      <w:pPr>
        <w:pStyle w:val="Heading3"/>
        <w:spacing w:before="200" w:after="60"/>
      </w:pPr>
      <w:r>
        <w:rPr>
          <w:rFonts w:ascii="Arial" w:cs="Arial" w:eastAsia="Arial" w:hAnsi="Arial"/>
          <w:b/>
          <w:bCs/>
          <w:color w:val="333333"/>
          <w:sz w:val="22"/>
          <w:szCs w:val="22"/>
        </w:rPr>
        <w:t xml:space="preserve">Artifact release-state design is correct</w:t>
      </w:r>
    </w:p>
    <w:p>
      <w:pPr>
        <w:spacing w:before="60" w:after="100"/>
      </w:pPr>
      <w:r>
        <w:rPr>
          <w:rFonts w:ascii="Arial" w:cs="Arial" w:eastAsia="Arial" w:hAnsi="Arial"/>
          <w:sz w:val="22"/>
          <w:szCs w:val="22"/>
        </w:rPr>
        <w:t xml:space="preserve">Returning an artifact ID rather than artifact content from the generation endpoint, then checking release_state on retrieval, is the right structural fix. This pattern is consistent with the founder review queue defined in MA-LCH-004 and the object controls in MA-SEC-002.</w:t>
      </w:r>
    </w:p>
    <w:p>
      <w:pPr>
        <w:pStyle w:val="Heading3"/>
        <w:spacing w:before="200" w:after="60"/>
      </w:pPr>
      <w:r>
        <w:rPr>
          <w:rFonts w:ascii="Arial" w:cs="Arial" w:eastAsia="Arial" w:hAnsi="Arial"/>
          <w:b/>
          <w:bCs/>
          <w:color w:val="333333"/>
          <w:sz w:val="22"/>
          <w:szCs w:val="22"/>
        </w:rPr>
        <w:t xml:space="preserve">Cost control is proactively planned</w:t>
      </w:r>
    </w:p>
    <w:p>
      <w:pPr>
        <w:spacing w:before="60" w:after="100"/>
      </w:pPr>
      <w:r>
        <w:rPr>
          <w:rFonts w:ascii="Arial" w:cs="Arial" w:eastAsia="Arial" w:hAnsi="Arial"/>
          <w:sz w:val="22"/>
          <w:szCs w:val="22"/>
        </w:rPr>
        <w:t xml:space="preserve">Including request hashing, generation caching, and budget-based model routing in the remediation plan before a cost incident occurs reflects mature operational thinking. Most solo founders encounter this reactively.</w:t>
      </w:r>
    </w:p>
    <w:p>
      <w:pPr>
        <w:pStyle w:val="Heading3"/>
        <w:spacing w:before="200" w:after="60"/>
      </w:pPr>
      <w:r>
        <w:rPr>
          <w:rFonts w:ascii="Arial" w:cs="Arial" w:eastAsia="Arial" w:hAnsi="Arial"/>
          <w:b/>
          <w:bCs/>
          <w:color w:val="333333"/>
          <w:sz w:val="22"/>
          <w:szCs w:val="22"/>
        </w:rPr>
        <w:t xml:space="preserve">The 30-day structure is logically sequenced</w:t>
      </w:r>
    </w:p>
    <w:p>
      <w:pPr>
        <w:spacing w:before="60" w:after="100"/>
      </w:pPr>
      <w:r>
        <w:rPr>
          <w:rFonts w:ascii="Arial" w:cs="Arial" w:eastAsia="Arial" w:hAnsi="Arial"/>
          <w:sz w:val="22"/>
          <w:szCs w:val="22"/>
        </w:rPr>
        <w:t xml:space="preserve">Containment → Privacy Hardening → Compliance → Cost → Dashboard is the correct remediation order. Each phase depends on the previous one being stable.</w:t>
      </w:r>
    </w:p>
    <w:p>
      <w:pPr>
        <w:spacing w:before="120" w:after="0"/>
      </w:pPr>
      <w:r>
        <w:t xml:space="preserve"/>
      </w:r>
    </w:p>
    <w:p>
      <w:pPr>
        <w:pBdr>
          <w:bottom w:val="single" w:color="CCCCCC" w:sz="2" w:space="1"/>
        </w:pBdr>
        <w:spacing w:before="200" w:after="200"/>
      </w:pPr>
      <w:r>
        <w:t xml:space="preserve"/>
      </w:r>
    </w:p>
    <w:p>
      <w:pPr>
        <w:pStyle w:val="Heading1"/>
        <w:pBdr>
          <w:bottom w:val="single" w:color="1B3A5C" w:sz="6" w:space="4"/>
        </w:pBdr>
        <w:spacing w:before="360" w:after="120"/>
      </w:pPr>
      <w:r>
        <w:rPr>
          <w:rFonts w:ascii="Arial" w:cs="Arial" w:eastAsia="Arial" w:hAnsi="Arial"/>
          <w:b/>
          <w:bCs/>
          <w:color w:val="1B3A5C"/>
          <w:sz w:val="32"/>
          <w:szCs w:val="32"/>
        </w:rPr>
        <w:t xml:space="preserve">3. Additional Issues Not Addressed in the Audit Package</w:t>
      </w:r>
    </w:p>
    <w:p>
      <w:pPr>
        <w:spacing w:before="60" w:after="100"/>
      </w:pPr>
      <w:r>
        <w:rPr>
          <w:rFonts w:ascii="Arial" w:cs="Arial" w:eastAsia="Arial" w:hAnsi="Arial"/>
          <w:sz w:val="22"/>
          <w:szCs w:val="22"/>
        </w:rPr>
        <w:t xml:space="preserve">The following issues were identified through cross-referencing the three documents against canonical architecture. They are ordered by severity.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621"/>
        <w:gridCol w:w="3276"/>
        <w:gridCol w:w="2995"/>
      </w:tblGrid>
      <w:tr>
        <w:trPr>
          <w:tblHeader/>
        </w:trPr>
        <w:tc>
          <w:tcPr>
            <w:tcW w:type="dxa" w:w="46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62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Issue / Severity</w:t>
            </w:r>
          </w:p>
        </w:tc>
        <w:tc>
          <w:tcPr>
            <w:tcW w:type="dxa" w:w="327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Gap Identified</w:t>
            </w:r>
          </w:p>
        </w:tc>
        <w:tc>
          <w:tcPr>
            <w:tcW w:type="dxa" w:w="299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1</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YMYL Review Operating Model Undefined</w:t>
            </w:r>
          </w:p>
          <w:p>
            <w:r>
              <w:rPr>
                <w:rFonts w:ascii="Arial" w:cs="Arial" w:eastAsia="Arial" w:hAnsi="Arial"/>
                <w:b/>
                <w:bCs/>
                <w:color w:val="C0392B"/>
                <w:sz w:val="20"/>
                <w:szCs w:val="20"/>
              </w:rPr>
              <w:t xml:space="preserve">Critical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audit identifies the founder review gate bypass as a Critical issue and proposes the correct structural fix (artifact ID return + release_state check). However, none of the three documents define who reviews artifacts, at what SLA, or what happens when the queue backs up. At even modest volume (50–80 letters/day), unmanaged manual review becomes a launch blocker.</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Define the review operating model before launch: reviewer identity (Kate as primary, founder as secondary), time-to-review SLA target, maximum queue depth before generation pauses, and escalation if Kate is unavailable. This belongs in the Launch Truth (MA-LCH-004), not just the remediation plan.</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2</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Regex PII Redaction Misclassified as Near-Term Solution</w:t>
            </w:r>
          </w:p>
          <w:p>
            <w:r>
              <w:rPr>
                <w:rFonts w:ascii="Arial" w:cs="Arial" w:eastAsia="Arial" w:hAnsi="Arial"/>
                <w:b/>
                <w:bCs/>
                <w:color w:val="C0392B"/>
                <w:sz w:val="20"/>
                <w:szCs w:val="20"/>
              </w:rPr>
              <w:t xml:space="preserve">Critical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remediation plan proposes regex-based PII redaction for document text in Week 2. Regex is structurally insufficient for insurance denial letters and EOBs, which contain member IDs in non-standard formats, OCR-variant addresses, and diagnosis codes that can reverse-identify individuals. Calling this a solution rather than a stopgap creates a false sense of security.</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Either (a) defer document upload entirely at Phase 1 and restrict input to structured form fields only — which is already the canonical preference per MA-SEC-002 Priority 1 — or (b) commit to an NER/entity detection solution (e.g., AWS Comprehend Medical, Azure Health NLP) before enabling document upload. Regex may serve as a temporary control if document upload is not available at launch.</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3</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Prompt Versioning Underclassified</w:t>
            </w:r>
          </w:p>
          <w:p>
            <w:r>
              <w:rPr>
                <w:rFonts w:ascii="Arial" w:cs="Arial" w:eastAsia="Arial" w:hAnsi="Arial"/>
                <w:b/>
                <w:bCs/>
                <w:color w:val="E67E22"/>
                <w:sz w:val="20"/>
                <w:szCs w:val="20"/>
              </w:rPr>
              <w:t xml:space="preserve">High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audit rates hardcoded prompts as Medium-High. For a YMYL healthcare platform, this is too low. When a user contests a generated letter, the platform must reconstruct exactly what model, what prompt version, and what disclaimer was attached at generation time. The remediation plan logs metadata but defers the prompt registry to a future roadmap item. The audit trail has a structural hole until this is resolved.</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Elevate prompt versioning to High severity. Move prompt registry from the future roadmap to the Phase 3 remediation target (Week 3), alongside audit log implementation. A versioned prompt registry does not require a complex system: a simple flat-file registry with a version hash per prompt, stored at generation time, is sufficient at launch scale.</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4</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Free Tier API Abuse Vector Not Addressed</w:t>
            </w:r>
          </w:p>
          <w:p>
            <w:r>
              <w:rPr>
                <w:rFonts w:ascii="Arial" w:cs="Arial" w:eastAsia="Arial" w:hAnsi="Arial"/>
                <w:b/>
                <w:bCs/>
                <w:color w:val="E67E22"/>
                <w:sz w:val="20"/>
                <w:szCs w:val="20"/>
              </w:rPr>
              <w:t xml:space="preserve">High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None of the three documents address free-tier API abuse. The free tier allows one letter per month per tool. Without per-account server-side enforcement (not just client-side gating), this limit is bypassable. At scale, uncontrolled free-tier generation can produce material API cost exposure and degrade the review queue. MA-SEC-002 Priority 15 requires rate limiting, but the audit does not connect this control to the free-tier enforcement problem.</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Implement server-side letter generation limits tied to the user’s subscription tier and billing period, enforced at the API layer before generateLetter() is invoked. This must be distinct from UI-level gating. Add a specific check to the Security Checklist PassFail audit: ‘Free-tier limit enforced server-side: PASS/FAIL.’</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5</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Subscription Tier Enforcement Gap</w:t>
            </w:r>
          </w:p>
          <w:p>
            <w:r>
              <w:rPr>
                <w:rFonts w:ascii="Arial" w:cs="Arial" w:eastAsia="Arial" w:hAnsi="Arial"/>
                <w:b/>
                <w:bCs/>
                <w:color w:val="E67E22"/>
                <w:sz w:val="20"/>
                <w:szCs w:val="20"/>
              </w:rPr>
              <w:t xml:space="preserve">High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Related to the above: the documents describe subscription tiers ($8 Standard, $13 per-case, $21+ higher) but do not specify how tier entitlements are enforced in the generation pipeline. If a free user’s subscription status is only checked at the UI layer, a determined user can bypass it. This is distinct from rate limiting — it is authorization.</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Tier enforcement must be a server-side authorization check, verified against the current subscription record in Supabase before any generation call proceeds. This should be an explicit control in MA-SEC-002 Priority 9 (Authorization / Role Scope) and must be in the PassFail audit.</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6</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 vs. Intended Architecture Ambiguity</w:t>
            </w:r>
          </w:p>
          <w:p>
            <w:r>
              <w:rPr>
                <w:rFonts w:ascii="Arial" w:cs="Arial" w:eastAsia="Arial" w:hAnsi="Arial"/>
                <w:b/>
                <w:bCs/>
                <w:color w:val="D4860A"/>
                <w:sz w:val="20"/>
                <w:szCs w:val="20"/>
              </w:rPr>
              <w:t xml:space="preserve">Medium-High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whitepaper and audit describe the architecture as if it is partially built. The language alternates between ‘the system does’ and ‘the system should’ without clearly delineating current state from intended state. This creates risk if these documents are shared externally with investors, legal counsel, or auditors who may interpret aspirational architecture as implemented controls.</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an explicit ‘Implementation Status’ section to both the whitepaper and the audit report, with a clear table distinguishing: (a) Designed and implemented, (b) Designed, not yet implemented, (c) Planned for future phases. This is standard practice for security documentation and prevents misrepresentation risk.</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7</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Malware Scanning for File Uploads Deferred Without Explicit Decision</w:t>
            </w:r>
          </w:p>
          <w:p>
            <w:r>
              <w:rPr>
                <w:rFonts w:ascii="Arial" w:cs="Arial" w:eastAsia="Arial" w:hAnsi="Arial"/>
                <w:b/>
                <w:bCs/>
                <w:color w:val="D4860A"/>
                <w:sz w:val="20"/>
                <w:szCs w:val="20"/>
              </w:rPr>
              <w:t xml:space="preserve">Medium-High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MA-SEC-002 and the Security Additions supplemental both require malware scanning for uploaded files. The remediation plan’s document handling section does not address malware scanning — only PII redaction and retention. If document upload ships at any point before scanning is implemented, this is an untracked gap.</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Either (a) explicitly defer document upload to Phase 2, removing it from the launch scope entirely, or (b) add malware scanning (e.g., ClamAV via a serverless wrapper, or a commercial API) to the Week 2 privacy hardening tasks. The current omission is an untracked gap that could slip through the PassFail audit.</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8</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30-Day Timeline is Incompatible with Solo Founder Reality</w:t>
            </w:r>
          </w:p>
          <w:p>
            <w:r>
              <w:rPr>
                <w:rFonts w:ascii="Arial" w:cs="Arial" w:eastAsia="Arial" w:hAnsi="Arial"/>
                <w:b/>
                <w:bCs/>
                <w:color w:val="2980B9"/>
                <w:sz w:val="20"/>
                <w:szCs w:val="20"/>
              </w:rPr>
              <w:t xml:space="preserve">Medium</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remediation plan projects a 4-week timeline to complete all five phases. This assumes dedicated engineering capacity. As a solo founder, Weeks 3-5 of the remediation will compete with SEO content production, founder review queue management, legal entity formation, and Stripe setup — all of which are also launch-blocking. The timeline is not achievable as written.</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Re-scope the remediation plan into two tiers: (a) Launch blockers (Weeks 1-2, non-negotiable), and (b) Post-launch hardening (Weeks 3-5, to be completed before Signal 1 traffic gate). This is consistent with the phased approach in MA-LCH-004 and prevents the remediation plan from becoming an aspirational document rather than an operational one.</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9</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Backup Restoration Testing Not Mentioned</w:t>
            </w:r>
          </w:p>
          <w:p>
            <w:r>
              <w:rPr>
                <w:rFonts w:ascii="Arial" w:cs="Arial" w:eastAsia="Arial" w:hAnsi="Arial"/>
                <w:b/>
                <w:bCs/>
                <w:color w:val="2980B9"/>
                <w:sz w:val="20"/>
                <w:szCs w:val="20"/>
              </w:rPr>
              <w:t xml:space="preserve">Medium</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MA-SEC-002 Priority 14 and the Security Additions supplemental both require quarterly backup restoration testing. None of the three documents include this in the remediation plan, the whitepaper’s monitoring section, or the PassFail audit. An untested backup is not a backup.</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backup restoration testing to the PassFail audit as a launch requirement: ‘Backup restoration tested in staging: PASS/FAIL.’ Schedule the first restoration test before launch, not after.</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10</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 Defined Incident Response Minimum</w:t>
            </w:r>
          </w:p>
          <w:p>
            <w:r>
              <w:rPr>
                <w:rFonts w:ascii="Arial" w:cs="Arial" w:eastAsia="Arial" w:hAnsi="Arial"/>
                <w:b/>
                <w:bCs/>
                <w:color w:val="2980B9"/>
                <w:sz w:val="20"/>
                <w:szCs w:val="20"/>
              </w:rPr>
              <w:t xml:space="preserve">Medium</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MA-SEC-002 Priority 19 requires a minimum incident response protocol. None of the three documents define what this looks like at solo-founder scale. The whitepaper’s monitoring section lists telemetry inputs but does not connect them to a response procedure. A monitoring dashboard without a defined response is awareness without accountability.</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Define a minimum incident response runbook before launch: severity levels (P1/P2/P3), response time targets, containment steps for a data exposure event, and a notification template for affected users. At solo-founder scale, this does not need to be complex — but it must exist before user data is in production.</w:t>
            </w:r>
          </w:p>
        </w:tc>
      </w:tr>
    </w:tbl>
    <w:p>
      <w:pPr>
        <w:spacing w:before="240" w:after="0"/>
      </w:pPr>
      <w:r>
        <w:t xml:space="preserve"/>
      </w:r>
    </w:p>
    <w:p>
      <w:pPr>
        <w:pBdr>
          <w:bottom w:val="single" w:color="CCCCCC" w:sz="2" w:space="1"/>
        </w:pBdr>
        <w:spacing w:before="200" w:after="200"/>
      </w:pPr>
      <w:r>
        <w:t xml:space="preserve"/>
      </w:r>
    </w:p>
    <w:p>
      <w:pPr>
        <w:pStyle w:val="Heading1"/>
        <w:pBdr>
          <w:bottom w:val="single" w:color="1B3A5C" w:sz="6" w:space="4"/>
        </w:pBdr>
        <w:spacing w:before="360" w:after="120"/>
      </w:pPr>
      <w:r>
        <w:rPr>
          <w:rFonts w:ascii="Arial" w:cs="Arial" w:eastAsia="Arial" w:hAnsi="Arial"/>
          <w:b/>
          <w:bCs/>
          <w:color w:val="1B3A5C"/>
          <w:sz w:val="32"/>
          <w:szCs w:val="32"/>
        </w:rPr>
        <w:t xml:space="preserve">4. Severity Reclassification Summary</w:t>
      </w:r>
    </w:p>
    <w:p>
      <w:pPr>
        <w:spacing w:before="60" w:after="100"/>
      </w:pPr>
      <w:r>
        <w:rPr>
          <w:rFonts w:ascii="Arial" w:cs="Arial" w:eastAsia="Arial" w:hAnsi="Arial"/>
          <w:sz w:val="22"/>
          <w:szCs w:val="22"/>
        </w:rPr>
        <w:t xml:space="preserve">The following issues were present in the original audit but classified at a severity level that does not reflect their actual risk to a YMYL healthcare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591"/>
        <w:gridCol w:w="1591"/>
        <w:gridCol w:w="3182"/>
      </w:tblGrid>
      <w:tr>
        <w:trPr>
          <w:tblHeader/>
        </w:trPr>
        <w:tc>
          <w:tcPr>
            <w:tcW w:type="dxa" w:w="299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Issue</w:t>
            </w:r>
          </w:p>
        </w:tc>
        <w:tc>
          <w:tcPr>
            <w:tcW w:type="dxa" w:w="159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Original Severity</w:t>
            </w:r>
          </w:p>
        </w:tc>
        <w:tc>
          <w:tcPr>
            <w:tcW w:type="dxa" w:w="159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Recommended Severity</w:t>
            </w:r>
          </w:p>
        </w:tc>
        <w:tc>
          <w:tcPr>
            <w:tcW w:type="dxa" w:w="318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Reason for Change</w:t>
            </w:r>
          </w:p>
        </w:tc>
      </w:tr>
      <w:tr>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Hardcoded Prompt Architecture</w:t>
            </w:r>
          </w:p>
        </w:tc>
        <w:tc>
          <w:tcPr>
            <w:tcW w:type="dxa" w:w="15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60A"/>
                <w:sz w:val="21"/>
                <w:szCs w:val="21"/>
              </w:rPr>
              <w:t xml:space="preserve">Medium-High</w:t>
            </w:r>
          </w:p>
        </w:tc>
        <w:tc>
          <w:tcPr>
            <w:tcW w:type="dxa" w:w="15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High</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YMYL audit trail requires generation-time prompt version capture. Deferring this creates an unrecoverable audit gap for artifacts already delivered.</w:t>
            </w:r>
          </w:p>
        </w:tc>
      </w:tr>
      <w:tr>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Regex PII Redaction (remediation plan)</w:t>
            </w:r>
          </w:p>
        </w:tc>
        <w:tc>
          <w:tcPr>
            <w:tcW w:type="dxa" w:w="15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1"/>
                <w:szCs w:val="21"/>
              </w:rPr>
              <w:t xml:space="preserve">Presented as solution</w:t>
            </w:r>
          </w:p>
        </w:tc>
        <w:tc>
          <w:tcPr>
            <w:tcW w:type="dxa" w:w="15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Stopgap only</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Regex cannot reliably redact the format variability present in insurance denial letters and EOBs. Presenting it as a Week 2 solution understates residual risk.</w:t>
            </w:r>
          </w:p>
        </w:tc>
      </w:tr>
      <w:tr>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YMYL Review Gate Bypass (operational model)</w:t>
            </w:r>
          </w:p>
        </w:tc>
        <w:tc>
          <w:tcPr>
            <w:tcW w:type="dxa" w:w="15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Critical (structural)</w:t>
            </w:r>
          </w:p>
        </w:tc>
        <w:tc>
          <w:tcPr>
            <w:tcW w:type="dxa" w:w="15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Critical (operational model also missing)</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structural fix (release_state gating) is identified. But the review operating model — who, SLA, queue depth, escalation — is entirely absent. Both are required.</w:t>
            </w:r>
          </w:p>
        </w:tc>
      </w:tr>
    </w:tbl>
    <w:p>
      <w:pPr>
        <w:spacing w:before="240" w:after="0"/>
      </w:pPr>
      <w:r>
        <w:t xml:space="preserve"/>
      </w:r>
    </w:p>
    <w:p>
      <w:pPr>
        <w:pBdr>
          <w:bottom w:val="single" w:color="CCCCCC" w:sz="2" w:space="1"/>
        </w:pBdr>
        <w:spacing w:before="200" w:after="200"/>
      </w:pPr>
      <w:r>
        <w:t xml:space="preserve"/>
      </w:r>
    </w:p>
    <w:p>
      <w:pPr>
        <w:pStyle w:val="Heading1"/>
        <w:pBdr>
          <w:bottom w:val="single" w:color="1B3A5C" w:sz="6" w:space="4"/>
        </w:pBdr>
        <w:spacing w:before="360" w:after="120"/>
      </w:pPr>
      <w:r>
        <w:rPr>
          <w:rFonts w:ascii="Arial" w:cs="Arial" w:eastAsia="Arial" w:hAnsi="Arial"/>
          <w:b/>
          <w:bCs/>
          <w:color w:val="1B3A5C"/>
          <w:sz w:val="32"/>
          <w:szCs w:val="32"/>
        </w:rPr>
        <w:t xml:space="preserve">5. Consolidated Action Plan</w:t>
      </w:r>
    </w:p>
    <w:p>
      <w:pPr>
        <w:spacing w:before="60" w:after="100"/>
      </w:pPr>
      <w:r>
        <w:rPr>
          <w:rFonts w:ascii="Arial" w:cs="Arial" w:eastAsia="Arial" w:hAnsi="Arial"/>
          <w:sz w:val="22"/>
          <w:szCs w:val="22"/>
        </w:rPr>
        <w:t xml:space="preserve">The following table merges the original remediation plan with the additional issues identified in this report. Items are grouped by phase. Additions to the original plan are marked with [NEW].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557"/>
        <w:gridCol w:w="2059"/>
        <w:gridCol w:w="2995"/>
      </w:tblGrid>
      <w:tr>
        <w:trPr>
          <w:tblHeader/>
        </w:trPr>
        <w:tc>
          <w:tcPr>
            <w:tcW w:type="dxa" w:w="74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355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205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Owner</w:t>
            </w:r>
          </w:p>
        </w:tc>
        <w:tc>
          <w:tcPr>
            <w:tcW w:type="dxa" w:w="299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Launch Blocker?</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Arial" w:cs="Arial" w:eastAsia="Arial" w:hAnsi="Arial"/>
                <w:b/>
                <w:bCs/>
                <w:sz w:val="21"/>
                <w:szCs w:val="21"/>
              </w:rPr>
              <w:t xml:space="preserve">Week 1</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Return artifact ID (not content) from generation API</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Enforce release_state check on artifact retrieval endpoint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strict request validation schemas on all generation endpoints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Define YMYL review operating model: reviewer, SLA, queue cap, escalation</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Founder + Kate</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Implement server-side tier authorization before generateLetter() invocation</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Arial" w:cs="Arial" w:eastAsia="Arial" w:hAnsi="Arial"/>
                <w:b/>
                <w:bCs/>
                <w:sz w:val="21"/>
                <w:szCs w:val="21"/>
              </w:rPr>
              <w:t xml:space="preserve">Week 2</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Deploy regex PII redaction for free text (as stopgap only, not final solution)</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YES (if doc upload ships)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retention policies and sanitization pipeline for uploaded files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YES (if doc upload ships)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Add malware scanning for uploads, or explicitly defer document upload to Phase 2</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 / Founder decision</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YES (decision required)</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Implement server-side free-tier letter generation limits (not just UI gating)</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Arial" w:cs="Arial" w:eastAsia="Arial" w:hAnsi="Arial"/>
                <w:b/>
                <w:bCs/>
                <w:sz w:val="21"/>
                <w:szCs w:val="21"/>
              </w:rPr>
              <w:t xml:space="preserve">Week 3</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compliance scanning step before artifact release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Pre-Signal 1</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Implement versioned prompt registry with hash capture at generation time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Pre-Signal 1</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Test backup restoration in staging environment</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Founder</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Pre-Signal 1</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Write minimum incident response runbook (P1/P2/P3 severity, notification template)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Founder</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Pre-Signal 1</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Arial" w:cs="Arial" w:eastAsia="Arial" w:hAnsi="Arial"/>
                <w:b/>
                <w:bCs/>
                <w:sz w:val="21"/>
                <w:szCs w:val="21"/>
              </w:rPr>
              <w:t xml:space="preserve">Post-Launch / Pre-Signal 1</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Implement request hashing, generation caching, budget-based model routing</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1"/>
                <w:szCs w:val="21"/>
              </w:rPr>
              <w:t xml:space="preserve">No — cost optimization</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Build founder operations dashboard (review queue, token spend, parse volume, tool usage)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1"/>
                <w:szCs w:val="21"/>
              </w:rPr>
              <w:t xml:space="preserve">No — operational</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Add Implementation Status table to whitepaper (designed/implemented vs. planned)</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Founder</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1"/>
                <w:szCs w:val="21"/>
              </w:rPr>
              <w:t xml:space="preserve">No — documentation hygiene</w:t>
            </w:r>
          </w:p>
        </w:tc>
      </w:tr>
      <w:tr>
        <w:tc>
          <w:tcPr>
            <w:tcW w:type="dxa" w:w="749"/>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t xml:space="preserve"/>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Evaluate NER/entity detection solution to replace regex PII redaction for document uploads</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 / Founder</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Required before doc upload at scale</w:t>
            </w:r>
          </w:p>
        </w:tc>
      </w:tr>
    </w:tbl>
    <w:p>
      <w:pPr>
        <w:spacing w:before="240" w:after="0"/>
      </w:pPr>
      <w:r>
        <w:t xml:space="preserve"/>
      </w:r>
    </w:p>
    <w:p>
      <w:pPr>
        <w:pBdr>
          <w:bottom w:val="single" w:color="CCCCCC" w:sz="2" w:space="1"/>
        </w:pBdr>
        <w:spacing w:before="200" w:after="200"/>
      </w:pPr>
      <w:r>
        <w:t xml:space="preserve"/>
      </w:r>
    </w:p>
    <w:p>
      <w:pPr>
        <w:pStyle w:val="Heading1"/>
        <w:pBdr>
          <w:bottom w:val="single" w:color="1B3A5C" w:sz="6" w:space="4"/>
        </w:pBdr>
        <w:spacing w:before="360" w:after="120"/>
      </w:pPr>
      <w:r>
        <w:rPr>
          <w:rFonts w:ascii="Arial" w:cs="Arial" w:eastAsia="Arial" w:hAnsi="Arial"/>
          <w:b/>
          <w:bCs/>
          <w:color w:val="1B3A5C"/>
          <w:sz w:val="32"/>
          <w:szCs w:val="32"/>
        </w:rPr>
        <w:t xml:space="preserve">6. Additions to PassFail Audit (MA-SEC-002)</w:t>
      </w:r>
    </w:p>
    <w:p>
      <w:pPr>
        <w:spacing w:before="60" w:after="100"/>
      </w:pPr>
      <w:r>
        <w:rPr>
          <w:rFonts w:ascii="Arial" w:cs="Arial" w:eastAsia="Arial" w:hAnsi="Arial"/>
          <w:sz w:val="22"/>
          <w:szCs w:val="22"/>
        </w:rPr>
        <w:t xml:space="preserve">The following controls are missing from the current PassFail Audit table in MA-SEC-002. They should be added before launch readiness is declared.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1872"/>
        <w:gridCol w:w="2340"/>
        <w:gridCol w:w="1872"/>
      </w:tblGrid>
      <w:tr>
        <w:trPr>
          <w:tblHeader/>
        </w:trPr>
        <w:tc>
          <w:tcPr>
            <w:tcW w:type="dxa" w:w="327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Control</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Owner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Evidence to Verify</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Launch Blocker?</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Server-side free-tier letter generation limit enforced (not UI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API test: free user cannot exceed 1 letter/month/tool via direct API call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Subscription tier authorization enforced server-side before generation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Free user cannot access paid-tier features via API bypass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YMYL review operating model documented and agreed with Kate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Founder + Kate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Written SLA agreement: reviewer, response time, queue cap, escalation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YES</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Backup restoration tested in staging before launch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Founder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Staging restore completed with documented results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Pre-Signal 1</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Minimum incident response runbook written and accessible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Founder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Runbook document exists with P1/P2/P3 severity definitions and notification template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Pre-Signal 1</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Prompt version hash captured at generation time for each artifact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Engineering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Artifact record in DB includes prompt_version_hash field, populated on every generation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980B9"/>
                <w:sz w:val="21"/>
                <w:szCs w:val="21"/>
              </w:rPr>
              <w:t xml:space="preserve">Pre-Signal 1</w:t>
            </w:r>
          </w:p>
        </w:tc>
      </w:tr>
    </w:tbl>
    <w:p>
      <w:pPr>
        <w:spacing w:before="240" w:after="0"/>
      </w:pPr>
      <w:r>
        <w:t xml:space="preserve"/>
      </w:r>
    </w:p>
    <w:p>
      <w:pPr>
        <w:pBdr>
          <w:bottom w:val="single" w:color="CCCCCC" w:sz="2" w:space="1"/>
        </w:pBdr>
        <w:spacing w:before="200" w:after="200"/>
      </w:pPr>
      <w:r>
        <w:t xml:space="preserve"/>
      </w:r>
    </w:p>
    <w:p>
      <w:pPr>
        <w:pStyle w:val="Heading1"/>
        <w:pBdr>
          <w:bottom w:val="single" w:color="1B3A5C" w:sz="6" w:space="4"/>
        </w:pBdr>
        <w:spacing w:before="360" w:after="120"/>
      </w:pPr>
      <w:r>
        <w:rPr>
          <w:rFonts w:ascii="Arial" w:cs="Arial" w:eastAsia="Arial" w:hAnsi="Arial"/>
          <w:b/>
          <w:bCs/>
          <w:color w:val="1B3A5C"/>
          <w:sz w:val="32"/>
          <w:szCs w:val="32"/>
        </w:rPr>
        <w:t xml:space="preserve">7. Conclusion</w:t>
      </w:r>
    </w:p>
    <w:p>
      <w:pPr>
        <w:spacing w:before="60" w:after="100"/>
      </w:pPr>
      <w:r>
        <w:rPr>
          <w:rFonts w:ascii="Arial" w:cs="Arial" w:eastAsia="Arial" w:hAnsi="Arial"/>
          <w:sz w:val="22"/>
          <w:szCs w:val="22"/>
        </w:rPr>
        <w:t xml:space="preserve">The three documents under review reflect a security architecture that is conceptually mature and correctly prioritized. The gaps identified in this supplemental are primarily operational and procedural rather than architectural — which is consistent with a pre-launch system where the design has been documented more thoroughly than the implementation has been validated.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FF3E0" w:val="clear"/>
            <w:tcMar>
              <w:top w:type="dxa" w:w="100"/>
              <w:left w:type="dxa" w:w="160"/>
              <w:bottom w:type="dxa" w:w="100"/>
              <w:right w:type="dxa" w:w="160"/>
            </w:tcMar>
          </w:tcPr>
          <w:p>
            <w:pPr>
              <w:spacing w:after="40"/>
            </w:pPr>
            <w:r>
              <w:rPr>
                <w:rFonts w:ascii="Arial" w:cs="Arial" w:eastAsia="Arial" w:hAnsi="Arial"/>
                <w:b/>
                <w:bCs/>
                <w:color w:val="E67E22"/>
                <w:sz w:val="20"/>
                <w:szCs w:val="20"/>
              </w:rPr>
              <w:t xml:space="preserve">Three decisions that must be made before launch</w:t>
            </w:r>
          </w:p>
          <w:p>
            <w:r>
              <w:rPr>
                <w:rFonts w:ascii="Arial" w:cs="Arial" w:eastAsia="Arial" w:hAnsi="Arial"/>
                <w:sz w:val="21"/>
                <w:szCs w:val="21"/>
              </w:rPr>
              <w:t xml:space="preserve">1. Document upload scope: defer to Phase 2 (recommended) or commit to NER-grade redaction before enabling it.
2. YMYL review operating model: agree with Kate on reviewer SLA, queue depth cap, and escalation before the first user letter enters the queue.
3. Remediation timeline: split into launch blockers (Weeks 1–2) and pre-Signal 1 hardening (Weeks 3–5) to reflect solo-founder capacity constraints.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CCCCCC" w:sz="1"/>
              <w:bottom w:val="single" w:color="CCCCCC" w:sz="1"/>
              <w:right w:val="single" w:color="CCCCCC" w:sz="1"/>
            </w:tcBorders>
            <w:shd w:fill="E8F8F0" w:val="clear"/>
            <w:tcMar>
              <w:top w:type="dxa" w:w="100"/>
              <w:left w:type="dxa" w:w="160"/>
              <w:bottom w:type="dxa" w:w="100"/>
              <w:right w:type="dxa" w:w="160"/>
            </w:tcMar>
          </w:tcPr>
          <w:p>
            <w:pPr>
              <w:spacing w:after="40"/>
            </w:pPr>
            <w:r>
              <w:rPr>
                <w:rFonts w:ascii="Arial" w:cs="Arial" w:eastAsia="Arial" w:hAnsi="Arial"/>
                <w:b/>
                <w:bCs/>
                <w:color w:val="27AE60"/>
                <w:sz w:val="20"/>
                <w:szCs w:val="20"/>
              </w:rPr>
              <w:t xml:space="preserve">What is in good shape</w:t>
            </w:r>
          </w:p>
          <w:p>
            <w:r>
              <w:rPr>
                <w:rFonts w:ascii="Arial" w:cs="Arial" w:eastAsia="Arial" w:hAnsi="Arial"/>
                <w:sz w:val="21"/>
                <w:szCs w:val="21"/>
              </w:rPr>
              <w:t xml:space="preserve">The four-layer privacy architecture is correctly designed. The artifact release-state mechanism is the right structural fix. The 30-day remediation phase ordering is correct. Cost control planning is ahead of where most bootstrapped founders are at this stage. The canonical document system (MA-SEC-002, MA-LCH-004, MA-PRC-001) provides a decision framework that most platforms of this size do not have.</w:t>
            </w:r>
          </w:p>
        </w:tc>
      </w:tr>
    </w:tbl>
    <w:p>
      <w:pPr>
        <w:spacing w:before="160" w:after="0"/>
      </w:pPr>
      <w:r>
        <w:t xml:space="preserve"/>
      </w:r>
    </w:p>
    <w:p>
      <w:pPr>
        <w:spacing w:before="60" w:after="100"/>
      </w:pPr>
      <w:r>
        <w:rPr>
          <w:rFonts w:ascii="Arial" w:cs="Arial" w:eastAsia="Arial" w:hAnsi="Arial"/>
          <w:color w:val="777777"/>
          <w:sz w:val="22"/>
          <w:szCs w:val="22"/>
        </w:rPr>
        <w:t xml:space="preserve">This report should be filed in the canonical document registry as a supplemental to the three source documents and referenced during the next PassFail audit review.</w:t>
      </w:r>
    </w:p>
    <w:p>
      <w:pPr>
        <w:spacing w:before="80" w:after="0"/>
      </w:pPr>
      <w:r>
        <w:t xml:space="preserve"/>
      </w:r>
    </w:p>
    <w:p>
      <w:pPr>
        <w:spacing w:before="80"/>
      </w:pPr>
      <w:r>
        <w:rPr>
          <w:rFonts w:ascii="Arial" w:cs="Arial" w:eastAsia="Arial" w:hAnsi="Arial"/>
          <w:color w:val="999999"/>
          <w:sz w:val="18"/>
          <w:szCs w:val="18"/>
        </w:rPr>
        <w:t xml:space="preserve">MyAdvocate Supplemental Security &amp; Architecture Analysis  •  March 13, 2026  •  Prepared for Sarsh Levine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2026-03-13T16:33:49.112Z</dcterms:created>
  <dcterms:modified xsi:type="dcterms:W3CDTF">2026-03-13T16:33:49.113Z</dcterms:modified>
</cp:coreProperties>
</file>

<file path=docProps/custom.xml><?xml version="1.0" encoding="utf-8"?>
<Properties xmlns="http://schemas.openxmlformats.org/officeDocument/2006/custom-properties" xmlns:vt="http://schemas.openxmlformats.org/officeDocument/2006/docPropsVTypes"/>
</file>