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24"/>
          <w:szCs w:val="24"/>
        </w:rPr>
        <w:t xml:space="preserve">MA-BRN-001</w:t>
      </w:r>
    </w:p>
    <w:p>
      <w:pPr>
        <w:spacing w:after="200" w:before="0"/>
        <w:jc w:val="center"/>
      </w:pPr>
      <w:r>
        <w:rPr>
          <w:b/>
          <w:bCs/>
          <w:sz w:val="32"/>
          <w:szCs w:val="32"/>
        </w:rPr>
        <w:t xml:space="preserve">Operating Memory System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60"/>
      </w:tblGrid>
      <w:tr>
        <w:tc>
          <w:tcPr>
            <w:tcW w:type="dxa" w:w="2340"/>
            <w:tcBorders>
              <w:top w:val="single" w:color="CCCCCC" w:sz="1"/>
              <w:left w:val="single" w:color="CCCCCC" w:sz="1"/>
              <w:bottom w:val="single" w:color="CCCCCC" w:sz="1"/>
              <w:right w:val="single" w:color="CCCCCC" w:sz="1"/>
            </w:tcBorders>
            <w:shd w:fill="D5E8F0" w:val="clear"/>
          </w:tcPr>
          <w:p>
            <w:r>
              <w:rPr>
                <w:b/>
                <w:bCs/>
              </w:rPr>
              <w:t xml:space="preserve">Doc ID</w:t>
            </w:r>
          </w:p>
        </w:tc>
        <w:tc>
          <w:tcPr>
            <w:tcW w:type="dxa" w:w="6960"/>
            <w:tcBorders>
              <w:top w:val="single" w:color="CCCCCC" w:sz="1"/>
              <w:left w:val="single" w:color="CCCCCC" w:sz="1"/>
              <w:bottom w:val="single" w:color="CCCCCC" w:sz="1"/>
              <w:right w:val="single" w:color="CCCCCC" w:sz="1"/>
            </w:tcBorders>
          </w:tcPr>
          <w:p>
            <w:r>
              <w:t xml:space="preserve">MA-BRN-001</w:t>
            </w:r>
          </w:p>
        </w:tc>
      </w:tr>
      <w:tr>
        <w:tc>
          <w:tcPr>
            <w:tcW w:type="dxa" w:w="2340"/>
            <w:tcBorders>
              <w:top w:val="single" w:color="CCCCCC" w:sz="1"/>
              <w:left w:val="single" w:color="CCCCCC" w:sz="1"/>
              <w:bottom w:val="single" w:color="CCCCCC" w:sz="1"/>
              <w:right w:val="single" w:color="CCCCCC" w:sz="1"/>
            </w:tcBorders>
            <w:shd w:fill="D5E8F0" w:val="clear"/>
          </w:tcPr>
          <w:p>
            <w:r>
              <w:rPr>
                <w:b/>
                <w:bCs/>
              </w:rPr>
              <w:t xml:space="preserve">Title</w:t>
            </w:r>
          </w:p>
        </w:tc>
        <w:tc>
          <w:tcPr>
            <w:tcW w:type="dxa" w:w="6960"/>
            <w:tcBorders>
              <w:top w:val="single" w:color="CCCCCC" w:sz="1"/>
              <w:left w:val="single" w:color="CCCCCC" w:sz="1"/>
              <w:bottom w:val="single" w:color="CCCCCC" w:sz="1"/>
              <w:right w:val="single" w:color="CCCCCC" w:sz="1"/>
            </w:tcBorders>
          </w:tcPr>
          <w:p>
            <w:r>
              <w:t xml:space="preserve">Operating Memory System (Brain)</w:t>
            </w:r>
          </w:p>
        </w:tc>
      </w:tr>
      <w:tr>
        <w:tc>
          <w:tcPr>
            <w:tcW w:type="dxa" w:w="2340"/>
            <w:tcBorders>
              <w:top w:val="single" w:color="CCCCCC" w:sz="1"/>
              <w:left w:val="single" w:color="CCCCCC" w:sz="1"/>
              <w:bottom w:val="single" w:color="CCCCCC" w:sz="1"/>
              <w:right w:val="single" w:color="CCCCCC" w:sz="1"/>
            </w:tcBorders>
            <w:shd w:fill="D5E8F0" w:val="clear"/>
          </w:tcPr>
          <w:p>
            <w:r>
              <w:rPr>
                <w:b/>
                <w:bCs/>
              </w:rPr>
              <w:t xml:space="preserve">Version</w:t>
            </w:r>
          </w:p>
        </w:tc>
        <w:tc>
          <w:tcPr>
            <w:tcW w:type="dxa" w:w="6960"/>
            <w:tcBorders>
              <w:top w:val="single" w:color="CCCCCC" w:sz="1"/>
              <w:left w:val="single" w:color="CCCCCC" w:sz="1"/>
              <w:bottom w:val="single" w:color="CCCCCC" w:sz="1"/>
              <w:right w:val="single" w:color="CCCCCC" w:sz="1"/>
            </w:tcBorders>
          </w:tcPr>
          <w:p>
            <w:r>
              <w:t xml:space="preserve">v1.0</w:t>
            </w:r>
          </w:p>
        </w:tc>
      </w:tr>
      <w:tr>
        <w:tc>
          <w:tcPr>
            <w:tcW w:type="dxa" w:w="2340"/>
            <w:tcBorders>
              <w:top w:val="single" w:color="CCCCCC" w:sz="1"/>
              <w:left w:val="single" w:color="CCCCCC" w:sz="1"/>
              <w:bottom w:val="single" w:color="CCCCCC" w:sz="1"/>
              <w:right w:val="single" w:color="CCCCCC" w:sz="1"/>
            </w:tcBorders>
            <w:shd w:fill="D5E8F0" w:val="clear"/>
          </w:tcPr>
          <w:p>
            <w:r>
              <w:rPr>
                <w:b/>
                <w:bCs/>
              </w:rPr>
              <w:t xml:space="preserve">Created</w:t>
            </w:r>
          </w:p>
        </w:tc>
        <w:tc>
          <w:tcPr>
            <w:tcW w:type="dxa" w:w="6960"/>
            <w:tcBorders>
              <w:top w:val="single" w:color="CCCCCC" w:sz="1"/>
              <w:left w:val="single" w:color="CCCCCC" w:sz="1"/>
              <w:bottom w:val="single" w:color="CCCCCC" w:sz="1"/>
              <w:right w:val="single" w:color="CCCCCC" w:sz="1"/>
            </w:tcBorders>
          </w:tcPr>
          <w:p>
            <w:r>
              <w:t xml:space="preserve">March 2026</w:t>
            </w:r>
          </w:p>
        </w:tc>
      </w:tr>
      <w:tr>
        <w:tc>
          <w:tcPr>
            <w:tcW w:type="dxa" w:w="2340"/>
            <w:tcBorders>
              <w:top w:val="single" w:color="CCCCCC" w:sz="1"/>
              <w:left w:val="single" w:color="CCCCCC" w:sz="1"/>
              <w:bottom w:val="single" w:color="CCCCCC" w:sz="1"/>
              <w:right w:val="single" w:color="CCCCCC" w:sz="1"/>
            </w:tcBorders>
            <w:shd w:fill="D5E8F0" w:val="clear"/>
          </w:tcPr>
          <w:p>
            <w:r>
              <w:rPr>
                <w:b/>
                <w:bCs/>
              </w:rPr>
              <w:t xml:space="preserve">Status</w:t>
            </w:r>
          </w:p>
        </w:tc>
        <w:tc>
          <w:tcPr>
            <w:tcW w:type="dxa" w:w="6960"/>
            <w:tcBorders>
              <w:top w:val="single" w:color="CCCCCC" w:sz="1"/>
              <w:left w:val="single" w:color="CCCCCC" w:sz="1"/>
              <w:bottom w:val="single" w:color="CCCCCC" w:sz="1"/>
              <w:right w:val="single" w:color="CCCCCC" w:sz="1"/>
            </w:tcBorders>
          </w:tcPr>
          <w:p>
            <w:r>
              <w:t xml:space="preserve">Active — Governing</w:t>
            </w:r>
          </w:p>
        </w:tc>
      </w:tr>
      <w:tr>
        <w:tc>
          <w:tcPr>
            <w:tcW w:type="dxa" w:w="2340"/>
            <w:tcBorders>
              <w:top w:val="single" w:color="CCCCCC" w:sz="1"/>
              <w:left w:val="single" w:color="CCCCCC" w:sz="1"/>
              <w:bottom w:val="single" w:color="CCCCCC" w:sz="1"/>
              <w:right w:val="single" w:color="CCCCCC" w:sz="1"/>
            </w:tcBorders>
            <w:shd w:fill="D5E8F0" w:val="clear"/>
          </w:tcPr>
          <w:p>
            <w:r>
              <w:rPr>
                <w:b/>
                <w:bCs/>
              </w:rPr>
              <w:t xml:space="preserve">Authority</w:t>
            </w:r>
          </w:p>
        </w:tc>
        <w:tc>
          <w:tcPr>
            <w:tcW w:type="dxa" w:w="6960"/>
            <w:tcBorders>
              <w:top w:val="single" w:color="CCCCCC" w:sz="1"/>
              <w:left w:val="single" w:color="CCCCCC" w:sz="1"/>
              <w:bottom w:val="single" w:color="CCCCCC" w:sz="1"/>
              <w:right w:val="single" w:color="CCCCCC" w:sz="1"/>
            </w:tcBorders>
          </w:tcPr>
          <w:p>
            <w:r>
              <w:t xml:space="preserve">Subordinate to MA-PMP-001</w:t>
            </w:r>
          </w:p>
        </w:tc>
      </w:tr>
    </w:tbl>
    <w:p>
      <w:pPr>
        <w:spacing w:after="200"/>
      </w:pPr>
      <w:r>
        <w:t xml:space="preserve"/>
      </w:r>
    </w:p>
    <w:p>
      <w:r>
        <w:br w:type="page"/>
      </w:r>
    </w:p>
    <w:p>
      <w:pPr>
        <w:pStyle w:val="Heading1"/>
      </w:pPr>
      <w:r>
        <w:t xml:space="preserve">Canonical Document Index</w:t>
      </w:r>
    </w:p>
    <w:p>
      <w:pPr>
        <w:spacing w:after="120" w:before="0"/>
      </w:pPr>
      <w:r>
        <w:t xml:space="preserve">Table of Contents</w:t>
      </w:r>
    </w:p>
    <w:p>
      <w:pPr>
        <w:spacing w:after="120"/>
      </w:pPr>
      <w:r>
        <w:t xml:space="preserve"/>
      </w:r>
    </w:p>
    <w:p>
      <w:pPr>
        <w:pStyle w:val="ListParagraph"/>
        <w:numPr>
          <w:ilvl w:val="0"/>
          <w:numId w:val="2"/>
        </w:numPr>
      </w:pPr>
      <w:r>
        <w:t xml:space="preserve">1. Executive Summary</w:t>
      </w:r>
    </w:p>
    <w:p>
      <w:pPr>
        <w:pStyle w:val="ListParagraph"/>
        <w:numPr>
          <w:ilvl w:val="0"/>
          <w:numId w:val="2"/>
        </w:numPr>
      </w:pPr>
      <w:r>
        <w:t xml:space="preserve">2. What the Brain Is and Is Not</w:t>
      </w:r>
    </w:p>
    <w:p>
      <w:pPr>
        <w:pStyle w:val="ListParagraph"/>
        <w:numPr>
          <w:ilvl w:val="0"/>
          <w:numId w:val="2"/>
        </w:numPr>
      </w:pPr>
      <w:r>
        <w:t xml:space="preserve">3. Alignment to PMP v31 Current State</w:t>
      </w:r>
    </w:p>
    <w:p>
      <w:pPr>
        <w:pStyle w:val="ListParagraph"/>
        <w:numPr>
          <w:ilvl w:val="0"/>
          <w:numId w:val="2"/>
        </w:numPr>
      </w:pPr>
      <w:r>
        <w:t xml:space="preserve">4. Why This Layer Is Now the Bottleneck</w:t>
      </w:r>
    </w:p>
    <w:p>
      <w:pPr>
        <w:pStyle w:val="ListParagraph"/>
        <w:numPr>
          <w:ilvl w:val="0"/>
          <w:numId w:val="2"/>
        </w:numPr>
      </w:pPr>
      <w:r>
        <w:t xml:space="preserve">5. Non-Negotiable Design Principles</w:t>
      </w:r>
    </w:p>
    <w:p>
      <w:pPr>
        <w:pStyle w:val="ListParagraph"/>
        <w:numPr>
          <w:ilvl w:val="0"/>
          <w:numId w:val="2"/>
        </w:numPr>
      </w:pPr>
      <w:r>
        <w:t xml:space="preserve">6. Full Hybrid Architecture</w:t>
      </w:r>
    </w:p>
    <w:p>
      <w:pPr>
        <w:pStyle w:val="ListParagraph"/>
        <w:numPr>
          <w:ilvl w:val="0"/>
          <w:numId w:val="2"/>
        </w:numPr>
      </w:pPr>
      <w:r>
        <w:t xml:space="preserve">7. Source-of-Truth Hierarchy</w:t>
      </w:r>
    </w:p>
    <w:p>
      <w:pPr>
        <w:pStyle w:val="ListParagraph"/>
        <w:numPr>
          <w:ilvl w:val="0"/>
          <w:numId w:val="2"/>
        </w:numPr>
      </w:pPr>
      <w:r>
        <w:t xml:space="preserve">8. Brain Object Model</w:t>
      </w:r>
    </w:p>
    <w:p>
      <w:pPr>
        <w:pStyle w:val="ListParagraph"/>
        <w:numPr>
          <w:ilvl w:val="0"/>
          <w:numId w:val="2"/>
        </w:numPr>
      </w:pPr>
      <w:r>
        <w:t xml:space="preserve">9. Brain Taxonomy</w:t>
      </w:r>
    </w:p>
    <w:p>
      <w:pPr>
        <w:pStyle w:val="ListParagraph"/>
        <w:numPr>
          <w:ilvl w:val="0"/>
          <w:numId w:val="2"/>
        </w:numPr>
      </w:pPr>
      <w:r>
        <w:t xml:space="preserve">10. Notion Production Design</w:t>
      </w:r>
    </w:p>
    <w:p>
      <w:pPr>
        <w:pStyle w:val="ListParagraph"/>
        <w:numPr>
          <w:ilvl w:val="0"/>
          <w:numId w:val="2"/>
        </w:numPr>
      </w:pPr>
      <w:r>
        <w:t xml:space="preserve">11. Supabase Production Design</w:t>
      </w:r>
    </w:p>
    <w:p>
      <w:pPr>
        <w:pStyle w:val="ListParagraph"/>
        <w:numPr>
          <w:ilvl w:val="0"/>
          <w:numId w:val="2"/>
        </w:numPr>
      </w:pPr>
      <w:r>
        <w:t xml:space="preserve">12. Sync and Ingestion Architecture</w:t>
      </w:r>
    </w:p>
    <w:p>
      <w:pPr>
        <w:pStyle w:val="ListParagraph"/>
        <w:numPr>
          <w:ilvl w:val="0"/>
          <w:numId w:val="2"/>
        </w:numPr>
      </w:pPr>
      <w:r>
        <w:t xml:space="preserve">13. NotebookLM Role and Notebook Design</w:t>
      </w:r>
    </w:p>
    <w:p>
      <w:pPr>
        <w:pStyle w:val="ListParagraph"/>
        <w:numPr>
          <w:ilvl w:val="0"/>
          <w:numId w:val="2"/>
        </w:numPr>
      </w:pPr>
      <w:r>
        <w:t xml:space="preserve">14. Retrieval Contracts</w:t>
      </w:r>
    </w:p>
    <w:p>
      <w:pPr>
        <w:pStyle w:val="ListParagraph"/>
        <w:numPr>
          <w:ilvl w:val="0"/>
          <w:numId w:val="2"/>
        </w:numPr>
      </w:pPr>
      <w:r>
        <w:t xml:space="preserve">15. Human Query Layer</w:t>
      </w:r>
    </w:p>
    <w:p>
      <w:pPr>
        <w:pStyle w:val="ListParagraph"/>
        <w:numPr>
          <w:ilvl w:val="0"/>
          <w:numId w:val="2"/>
        </w:numPr>
      </w:pPr>
      <w:r>
        <w:t xml:space="preserve">16. Agent Context Layer</w:t>
      </w:r>
    </w:p>
    <w:p>
      <w:pPr>
        <w:pStyle w:val="ListParagraph"/>
        <w:numPr>
          <w:ilvl w:val="0"/>
          <w:numId w:val="2"/>
        </w:numPr>
      </w:pPr>
      <w:r>
        <w:t xml:space="preserve">17. Review-Memory Layer</w:t>
      </w:r>
    </w:p>
    <w:p>
      <w:pPr>
        <w:pStyle w:val="ListParagraph"/>
        <w:numPr>
          <w:ilvl w:val="0"/>
          <w:numId w:val="2"/>
        </w:numPr>
      </w:pPr>
      <w:r>
        <w:t xml:space="preserve">18. Content Flywheel Integration</w:t>
      </w:r>
    </w:p>
    <w:p>
      <w:pPr>
        <w:pStyle w:val="ListParagraph"/>
        <w:numPr>
          <w:ilvl w:val="0"/>
          <w:numId w:val="2"/>
        </w:numPr>
      </w:pPr>
      <w:r>
        <w:t xml:space="preserve">19. Launch Blocker and Deployment Integration</w:t>
      </w:r>
    </w:p>
    <w:p>
      <w:pPr>
        <w:pStyle w:val="ListParagraph"/>
        <w:numPr>
          <w:ilvl w:val="0"/>
          <w:numId w:val="2"/>
        </w:numPr>
      </w:pPr>
      <w:r>
        <w:t xml:space="preserve">20. Horizon 1 Implementation</w:t>
      </w:r>
    </w:p>
    <w:p>
      <w:pPr>
        <w:pStyle w:val="ListParagraph"/>
        <w:numPr>
          <w:ilvl w:val="0"/>
          <w:numId w:val="2"/>
        </w:numPr>
      </w:pPr>
      <w:r>
        <w:t xml:space="preserve">21. Horizon 2 Implementation</w:t>
      </w:r>
    </w:p>
    <w:p>
      <w:pPr>
        <w:pStyle w:val="ListParagraph"/>
        <w:numPr>
          <w:ilvl w:val="0"/>
          <w:numId w:val="2"/>
        </w:numPr>
      </w:pPr>
      <w:r>
        <w:t xml:space="preserve">22. Horizon 3 Implementation</w:t>
      </w:r>
    </w:p>
    <w:p>
      <w:pPr>
        <w:pStyle w:val="ListParagraph"/>
        <w:numPr>
          <w:ilvl w:val="0"/>
          <w:numId w:val="2"/>
        </w:numPr>
      </w:pPr>
      <w:r>
        <w:t xml:space="preserve">23. Security, Privacy, and YMYL Controls</w:t>
      </w:r>
    </w:p>
    <w:p>
      <w:pPr>
        <w:pStyle w:val="ListParagraph"/>
        <w:numPr>
          <w:ilvl w:val="0"/>
          <w:numId w:val="2"/>
        </w:numPr>
      </w:pPr>
      <w:r>
        <w:t xml:space="preserve">24. Operating Cadence and Founder Routines</w:t>
      </w:r>
    </w:p>
    <w:p>
      <w:pPr>
        <w:pStyle w:val="ListParagraph"/>
        <w:numPr>
          <w:ilvl w:val="0"/>
          <w:numId w:val="2"/>
        </w:numPr>
      </w:pPr>
      <w:r>
        <w:t xml:space="preserve">25. KPI Framework and Audits</w:t>
      </w:r>
    </w:p>
    <w:p>
      <w:pPr>
        <w:pStyle w:val="ListParagraph"/>
        <w:numPr>
          <w:ilvl w:val="0"/>
          <w:numId w:val="2"/>
        </w:numPr>
      </w:pPr>
      <w:r>
        <w:t xml:space="preserve">26. Failure Modes and Mitigations</w:t>
      </w:r>
    </w:p>
    <w:p>
      <w:pPr>
        <w:pStyle w:val="ListParagraph"/>
        <w:numPr>
          <w:ilvl w:val="0"/>
          <w:numId w:val="2"/>
        </w:numPr>
      </w:pPr>
      <w:r>
        <w:t xml:space="preserve">27. Final Production Recommendation</w:t>
      </w:r>
    </w:p>
    <w:p>
      <w:pPr>
        <w:pStyle w:val="ListParagraph"/>
        <w:numPr>
          <w:ilvl w:val="0"/>
          <w:numId w:val="2"/>
        </w:numPr>
      </w:pPr>
      <w:r>
        <w:t xml:space="preserve">Appendices A-K</w:t>
      </w:r>
    </w:p>
    <w:p>
      <w:pPr>
        <w:spacing w:after="300"/>
      </w:pPr>
      <w:r>
        <w:t xml:space="preserve"/>
      </w:r>
    </w:p>
    <w:p>
      <w:r>
        <w:br w:type="page"/>
      </w:r>
    </w:p>
    <w:p>
      <w:pPr>
        <w:pStyle w:val="Heading1"/>
      </w:pPr>
      <w:r>
        <w:t xml:space="preserve">1. Executive Summary</w:t>
      </w:r>
    </w:p>
    <w:p>
      <w:pPr>
        <w:spacing w:after="120" w:before="0"/>
      </w:pPr>
      <w:r>
        <w:t xml:space="preserve">MyAdvocate has reached the point where strategy is not the weak link. PMP v31 already provides an unusually mature constitutional layer: Phase 1 is defined and sequenced, infrastructure is complete, core code is done, and trackedExecution() is implemented with Langfuse instrumentation. The business is blocked on deployment and review gates, not on architecture decisions or foundational uncertainty.</w:t>
      </w:r>
    </w:p>
    <w:p>
      <w:pPr>
        <w:spacing w:after="120" w:before="0"/>
      </w:pPr>
      <w:r>
        <w:t xml:space="preserve">At this stage, the operational bottleneck is not strategy or code quality. It is the memory layer that connects doctrine, execution state, and practical decision-making. Documentation exists (living PMP, MA-* canonical docs, implementation packages, task specs, and prompt registries), but practical questions about launch readiness, role-specific context, review learnings, and live blocker sequences are expensive to answer from memory or document skimming alone.</w:t>
      </w:r>
    </w:p>
    <w:p>
      <w:pPr>
        <w:spacing w:after="120" w:before="0"/>
      </w:pPr>
      <w:r>
        <w:t xml:space="preserve">This document describes the Operating Memory System (the Brain), a governed operational memory layer designed to be the connective tissue of the production system. The Brain is not an experiment or a brainstorming tool. It is the missing retrieval layer that allows doctrine, execution state, content quality, and agent behavior to work together without forcing the founder to mentally reassemble the whole company every time a decision must be made.</w:t>
      </w:r>
    </w:p>
    <w:p>
      <w:pPr>
        <w:spacing w:after="120" w:before="0"/>
      </w:pPr>
      <w:r>
        <w:t xml:space="preserve">The recommended implementation is disciplined and incremental. The Brain begins with four Supabase tables and a Notion index, mirroring the governance rules already in place from PMP v31. Constitutional input (PMP changes, canonical doc updates) is manually supervised and template-driven. Execution-state input (launch blockers, task state) flows through weekly founder digests. Review feedback is captured into memory objects as lessons compound. The system grows only when quality is trustworthy.</w:t>
      </w:r>
    </w:p>
    <w:p>
      <w:pPr>
        <w:spacing w:after="120" w:before="0"/>
      </w:pPr>
      <w:r>
        <w:t xml:space="preserve">Implemented this way, the Brain delivers four immediate advantages: launch clarity (every blocker and dependency is a live memory object), content quality (review feedback compounds into guidance instead of disappearing), safer agents (role-specific context packets instead of vague broad prompts), and reduced founder cognitive burden (the business gains a second memory that does not depend on personal recall).</w:t>
      </w:r>
    </w:p>
    <w:p>
      <w:pPr>
        <w:spacing w:after="300"/>
      </w:pPr>
      <w:r>
        <w:t xml:space="preserve"/>
      </w:r>
    </w:p>
    <w:p>
      <w:pPr>
        <w:pStyle w:val="Heading1"/>
      </w:pPr>
      <w:r>
        <w:t xml:space="preserve">2. What the Brain Is and Is Not</w:t>
      </w:r>
    </w:p>
    <w:p>
      <w:pPr>
        <w:pStyle w:val="Heading2"/>
      </w:pPr>
      <w:r>
        <w:t xml:space="preserve">2.1 What It Is</w:t>
      </w:r>
    </w:p>
    <w:p>
      <w:pPr>
        <w:spacing w:after="120" w:before="0"/>
      </w:pPr>
      <w:r>
        <w:t xml:space="preserve">The Brain is a production memory layer. In practical terms, it stores approved operational context in objects optimized for retrieval rather than document reading. Each object is small enough to be query-efficient, rich enough to preserve meaning, and governed enough to be trusted. The unit of storage is not 'a whole handbook page' by default; it is a specific, reusable piece of business context such as a launch blocker, a messaging rule, a review lesson, a denial-code handling note, a Horizon 1 deployment packet, or a weekly digest.</w:t>
      </w:r>
    </w:p>
    <w:p>
      <w:pPr>
        <w:spacing w:after="120" w:before="0"/>
      </w:pPr>
      <w:r>
        <w:t xml:space="preserve">The Brain is also a bridge between slow-changing doctrine and fast-changing execution. Doctrine lives in PMP v31 and canonical MA-* documents. Execution lives in Supabase, Stripe, Langfuse, n8n, and task systems. The Brain translates both into usable memory packets. That is why it is valuable: it preserves policy while making the system operationally quick.</w:t>
      </w:r>
    </w:p>
    <w:p>
      <w:pPr>
        <w:spacing w:after="120" w:before="0"/>
      </w:pPr>
      <w:r>
        <w:t xml:space="preserve">The Brain is a compounding system. Every review correction, every deployment lesson, every weekly digest, and every recurring decision can become a reusable memory object. Over time, this allows the business to spend less time re-explaining itself and more time executing.</w:t>
      </w:r>
    </w:p>
    <w:p>
      <w:pPr>
        <w:spacing w:after="120"/>
      </w:pPr>
      <w:r>
        <w:t xml:space="preserve"/>
      </w:r>
    </w:p>
    <w:p>
      <w:pPr>
        <w:pStyle w:val="Heading2"/>
      </w:pPr>
      <w:r>
        <w:t xml:space="preserve">2.2 What It Is Not</w:t>
      </w:r>
    </w:p>
    <w:p>
      <w:pPr>
        <w:pStyle w:val="ListParagraph"/>
        <w:numPr>
          <w:ilvl w:val="0"/>
          <w:numId w:val="2"/>
        </w:numPr>
      </w:pPr>
      <w:r>
        <w:t xml:space="preserve">It is not the constitutional authority. PMP v31 remains final authority on strategic, financial, and architectural matters.</w:t>
      </w:r>
    </w:p>
    <w:p>
      <w:pPr>
        <w:pStyle w:val="ListParagraph"/>
        <w:numPr>
          <w:ilvl w:val="0"/>
          <w:numId w:val="2"/>
        </w:numPr>
      </w:pPr>
      <w:r>
        <w:t xml:space="preserve">It is not a raw data lake. It should not hold raw PII, secrets, financial credentials, or privileged legal material.</w:t>
      </w:r>
    </w:p>
    <w:p>
      <w:pPr>
        <w:pStyle w:val="ListParagraph"/>
        <w:numPr>
          <w:ilvl w:val="0"/>
          <w:numId w:val="2"/>
        </w:numPr>
      </w:pPr>
      <w:r>
        <w:t xml:space="preserve">It is not a replacement for the live app database. Supabase execution tables remain the authoritative state for app activity, events, outputs, and queues.</w:t>
      </w:r>
    </w:p>
    <w:p>
      <w:pPr>
        <w:pStyle w:val="ListParagraph"/>
        <w:numPr>
          <w:ilvl w:val="0"/>
          <w:numId w:val="2"/>
        </w:numPr>
      </w:pPr>
      <w:r>
        <w:t xml:space="preserve">It is not a giant notebook full of documents. Long documents may feed the Brain, but Brain objects are normalized and retrieval-first.</w:t>
      </w:r>
    </w:p>
    <w:p>
      <w:pPr>
        <w:pStyle w:val="ListParagraph"/>
        <w:numPr>
          <w:ilvl w:val="0"/>
          <w:numId w:val="2"/>
        </w:numPr>
      </w:pPr>
      <w:r>
        <w:t xml:space="preserve">It is not permission to bypass YMYL review. Summaries of reviewed guidance do not eliminate the underlying review gates.</w:t>
      </w:r>
    </w:p>
    <w:p>
      <w:pPr>
        <w:spacing w:after="200"/>
      </w:pPr>
      <w:r>
        <w:t xml:space="preserve"/>
      </w:r>
    </w:p>
    <w:p>
      <w:pPr>
        <w:pStyle w:val="Heading2"/>
      </w:pPr>
      <w:r>
        <w:t xml:space="preserve">2.3 Why Precision Matters in MyAdvocate's Context</w:t>
      </w:r>
    </w:p>
    <w:p>
      <w:pPr>
        <w:spacing w:after="120" w:before="0"/>
      </w:pPr>
      <w:r>
        <w:t xml:space="preserve">MyAdvocate is not building casual productivity software. It is building a platform that helps people act in healthcare, billing, insurance-denial, and patient-rights contexts. That means a generic knowledge-management pattern is not enough. The memory layer must know the difference between approved public messaging and restricted internal judgment, between evergreen doctrine and time-sensitive legal routing, and between content suitable for a content writer and content suitable only for the founder or a reviewer.</w:t>
      </w:r>
    </w:p>
    <w:p>
      <w:pPr>
        <w:spacing w:after="120" w:before="0"/>
      </w:pPr>
      <w:r>
        <w:t xml:space="preserve">The Brain therefore has to be specific about provenance, freshness, review status, and sensitivity. Without those controls, a memory system becomes a liability; with them, it becomes a durable operating advantage.</w:t>
      </w:r>
    </w:p>
    <w:p>
      <w:pPr>
        <w:spacing w:after="300"/>
      </w:pPr>
      <w:r>
        <w:t xml:space="preserve"/>
      </w:r>
    </w:p>
    <w:p>
      <w:pPr>
        <w:pStyle w:val="Heading1"/>
      </w:pPr>
      <w:r>
        <w:t xml:space="preserve">3. Alignment to PMP v31 Current State</w:t>
      </w:r>
    </w:p>
    <w:p>
      <w:pPr>
        <w:spacing w:after="120" w:before="0"/>
      </w:pPr>
      <w:r>
        <w:t xml:space="preserve">PMP v31 is explicit that the current state is not 'idea stage.' It states that infrastructure is complete, code is done, trackedExecution() is implemented with Langfuse, feature/content-flywheel-foundation is ready to merge, and the business is blocked on deployment plus review gates. That matters because the Brain should not be positioned as a brainstorming experiment. It should be positioned as the missing connective tissue that helps the current system clear production and operate sanely afterward.</w:t>
      </w:r>
    </w:p>
    <w:p>
      <w:pPr>
        <w:spacing w:after="120" w:before="0"/>
      </w:pPr>
      <w:r>
        <w:t xml:space="preserve">Section 19 of the PMP already creates a content flywheel database with content_items, content_variants, content_metrics, packaging_assets, packaging_asset_items, tasks, task_runs, and prompt_templates. Section 20 already creates a caching doctrine that separates never-cache personalized outputs from cache-first and static informational outputs. Section 21 adds AI SEO and retrieval-ready surfaces. Section 22 defines OpenHands and Claude Cowork boundaries. Section 23 defines the integration roadmap and cross-platform file sync protocol. The Brain must integrate with all of these directly.</w:t>
      </w:r>
    </w:p>
    <w:p>
      <w:pPr>
        <w:spacing w:after="120" w:before="0"/>
      </w:pPr>
      <w:r>
        <w:t xml:space="preserve">It is therefore misleading to think of the Brain as 'one more tool.' In MyAdvocate, it is the normalization and retrieval layer that allows all of the already-defined components to work together without forcing the founder to mentally reassemble the whole company every time a decision must be made.</w:t>
      </w:r>
    </w:p>
    <w:p>
      <w:pPr>
        <w:spacing w:after="300"/>
      </w:pPr>
      <w:r>
        <w:t xml:space="preserve"/>
      </w:r>
    </w:p>
    <w:p>
      <w:pPr>
        <w:pStyle w:val="Heading1"/>
      </w:pPr>
      <w:r>
        <w:t xml:space="preserve">4. Why This Layer Is Now the Bottleneck</w:t>
      </w:r>
    </w:p>
    <w:p>
      <w:pPr>
        <w:spacing w:after="120" w:before="0"/>
      </w:pPr>
      <w:r>
        <w:t xml:space="preserve">There are three reasons this layer is now the bottleneck. First, the documentation stack is deep. The company already has a living PMP, a growing set of MA-* docs, implementation packs, task specs, prompt registries, and roadmap sections. That is a strength at the policy layer, but a weakness at the retrieval layer because practical questions become too expensive to answer from memory or from document skimming alone.</w:t>
      </w:r>
    </w:p>
    <w:p>
      <w:pPr>
        <w:spacing w:after="120" w:before="0"/>
      </w:pPr>
      <w:r>
        <w:t xml:space="preserve">Second, the execution stack is now broad enough that state is fragmented across systems. Launch blockers live in the PMP, task state lives in Notion or GitHub issues, live queue state lives in Supabase, cost data lives in dashboards, review state lives in content_reviews or review queues, and future intelligence may live in notebooks or digests. Without a memory layer, those systems stay operationally siloed even if they are architecturally sound.</w:t>
      </w:r>
    </w:p>
    <w:p>
      <w:pPr>
        <w:spacing w:after="120" w:before="0"/>
      </w:pPr>
      <w:r>
        <w:t xml:space="preserve">Third, the company is entering the stage where feedback itself needs a home. Review learnings, deployment learnings, prompt failure patterns, repeated language corrections, and recurring launch mistakes should become structured memory. If they do not, the company pays the same tax repeatedly and does not meaningfully compound its own experience.</w:t>
      </w:r>
    </w:p>
    <w:p>
      <w:pPr>
        <w:spacing w:after="300"/>
      </w:pPr>
      <w:r>
        <w:t xml:space="preserve"/>
      </w:r>
    </w:p>
    <w:p>
      <w:pPr>
        <w:pStyle w:val="Heading1"/>
      </w:pPr>
      <w:r>
        <w:t xml:space="preserve">5. Non-Negotiable Design Principles</w:t>
      </w:r>
    </w:p>
    <w:p>
      <w:pPr>
        <w:spacing w:after="120" w:before="0"/>
      </w:pPr>
      <w:r>
        <w:t xml:space="preserve">The following principles are non-negotiable and govern all implementations of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Pr>
          <w:p>
            <w:r>
              <w:rPr>
                <w:b/>
                <w:bCs/>
              </w:rPr>
              <w:t xml:space="preserve">Principle</w:t>
            </w:r>
          </w:p>
        </w:tc>
        <w:tc>
          <w:tcPr>
            <w:tcW w:type="dxa" w:w="6560"/>
            <w:tcBorders>
              <w:top w:val="single" w:color="CCCCCC" w:sz="1"/>
              <w:left w:val="single" w:color="CCCCCC" w:sz="1"/>
              <w:bottom w:val="single" w:color="CCCCCC" w:sz="1"/>
              <w:right w:val="single" w:color="CCCCCC" w:sz="1"/>
            </w:tcBorders>
            <w:shd w:fill="D5E8F0" w:val="clear"/>
          </w:tcPr>
          <w:p>
            <w:r>
              <w:rPr>
                <w:b/>
                <w:bCs/>
              </w:rPr>
              <w:t xml:space="preserve">Production Meaning</w:t>
            </w:r>
          </w:p>
        </w:tc>
      </w:tr>
      <w:tr>
        <w:tc>
          <w:tcPr>
            <w:tcW w:type="dxa" w:w="2800"/>
            <w:tcBorders>
              <w:top w:val="single" w:color="CCCCCC" w:sz="1"/>
              <w:left w:val="single" w:color="CCCCCC" w:sz="1"/>
              <w:bottom w:val="single" w:color="CCCCCC" w:sz="1"/>
              <w:right w:val="single" w:color="CCCCCC" w:sz="1"/>
            </w:tcBorders>
          </w:tcPr>
          <w:p>
            <w:r>
              <w:t xml:space="preserve">Constitution First</w:t>
            </w:r>
          </w:p>
        </w:tc>
        <w:tc>
          <w:tcPr>
            <w:tcW w:type="dxa" w:w="6560"/>
            <w:tcBorders>
              <w:top w:val="single" w:color="CCCCCC" w:sz="1"/>
              <w:left w:val="single" w:color="CCCCCC" w:sz="1"/>
              <w:bottom w:val="single" w:color="CCCCCC" w:sz="1"/>
              <w:right w:val="single" w:color="CCCCCC" w:sz="1"/>
            </w:tcBorders>
          </w:tcPr>
          <w:p>
            <w:r>
              <w:t xml:space="preserve">Brain objects may summarize or operationalize PMP v31 and canonical docs, but may not overrule them. Where conflict exists, the Brain must point back to doctrine.</w:t>
            </w:r>
          </w:p>
        </w:tc>
      </w:tr>
      <w:tr>
        <w:tc>
          <w:tcPr>
            <w:tcW w:type="dxa" w:w="2800"/>
            <w:tcBorders>
              <w:top w:val="single" w:color="CCCCCC" w:sz="1"/>
              <w:left w:val="single" w:color="CCCCCC" w:sz="1"/>
              <w:bottom w:val="single" w:color="CCCCCC" w:sz="1"/>
              <w:right w:val="single" w:color="CCCCCC" w:sz="1"/>
            </w:tcBorders>
          </w:tcPr>
          <w:p>
            <w:r>
              <w:t xml:space="preserve">Structural Privacy</w:t>
            </w:r>
          </w:p>
        </w:tc>
        <w:tc>
          <w:tcPr>
            <w:tcW w:type="dxa" w:w="6560"/>
            <w:tcBorders>
              <w:top w:val="single" w:color="CCCCCC" w:sz="1"/>
              <w:left w:val="single" w:color="CCCCCC" w:sz="1"/>
              <w:bottom w:val="single" w:color="CCCCCC" w:sz="1"/>
              <w:right w:val="single" w:color="CCCCCC" w:sz="1"/>
            </w:tcBorders>
          </w:tcPr>
          <w:p>
            <w:r>
              <w:t xml:space="preserve">The Brain inherits privacy rules from PMP v31 Section 16. No raw PII, secrets, legal privilege, or hidden access control bypasses.</w:t>
            </w:r>
          </w:p>
        </w:tc>
      </w:tr>
      <w:tr>
        <w:tc>
          <w:tcPr>
            <w:tcW w:type="dxa" w:w="2800"/>
            <w:tcBorders>
              <w:top w:val="single" w:color="CCCCCC" w:sz="1"/>
              <w:left w:val="single" w:color="CCCCCC" w:sz="1"/>
              <w:bottom w:val="single" w:color="CCCCCC" w:sz="1"/>
              <w:right w:val="single" w:color="CCCCCC" w:sz="1"/>
            </w:tcBorders>
          </w:tcPr>
          <w:p>
            <w:r>
              <w:t xml:space="preserve">YMYL Integrity</w:t>
            </w:r>
          </w:p>
        </w:tc>
        <w:tc>
          <w:tcPr>
            <w:tcW w:type="dxa" w:w="6560"/>
            <w:tcBorders>
              <w:top w:val="single" w:color="CCCCCC" w:sz="1"/>
              <w:left w:val="single" w:color="CCCCCC" w:sz="1"/>
              <w:bottom w:val="single" w:color="CCCCCC" w:sz="1"/>
              <w:right w:val="single" w:color="CCCCCC" w:sz="1"/>
            </w:tcBorders>
          </w:tcPr>
          <w:p>
            <w:r>
              <w:t xml:space="preserve">Any object involving healthcare, legal rights, or complaint procedures carries review metadata and provenance. Retrieval never strips this away.</w:t>
            </w:r>
          </w:p>
        </w:tc>
      </w:tr>
      <w:tr>
        <w:tc>
          <w:tcPr>
            <w:tcW w:type="dxa" w:w="2800"/>
            <w:tcBorders>
              <w:top w:val="single" w:color="CCCCCC" w:sz="1"/>
              <w:left w:val="single" w:color="CCCCCC" w:sz="1"/>
              <w:bottom w:val="single" w:color="CCCCCC" w:sz="1"/>
              <w:right w:val="single" w:color="CCCCCC" w:sz="1"/>
            </w:tcBorders>
          </w:tcPr>
          <w:p>
            <w:r>
              <w:t xml:space="preserve">Retrieval Before Generation</w:t>
            </w:r>
          </w:p>
        </w:tc>
        <w:tc>
          <w:tcPr>
            <w:tcW w:type="dxa" w:w="6560"/>
            <w:tcBorders>
              <w:top w:val="single" w:color="CCCCCC" w:sz="1"/>
              <w:left w:val="single" w:color="CCCCCC" w:sz="1"/>
              <w:bottom w:val="single" w:color="CCCCCC" w:sz="1"/>
              <w:right w:val="single" w:color="CCCCCC" w:sz="1"/>
            </w:tcBorders>
          </w:tcPr>
          <w:p>
            <w:r>
              <w:t xml:space="preserve">Humans and agents should retrieve approved context before writing or acting. Minimize blind generation.</w:t>
            </w:r>
          </w:p>
        </w:tc>
      </w:tr>
      <w:tr>
        <w:tc>
          <w:tcPr>
            <w:tcW w:type="dxa" w:w="2800"/>
            <w:tcBorders>
              <w:top w:val="single" w:color="CCCCCC" w:sz="1"/>
              <w:left w:val="single" w:color="CCCCCC" w:sz="1"/>
              <w:bottom w:val="single" w:color="CCCCCC" w:sz="1"/>
              <w:right w:val="single" w:color="CCCCCC" w:sz="1"/>
            </w:tcBorders>
          </w:tcPr>
          <w:p>
            <w:r>
              <w:t xml:space="preserve">Small Trusted Objects</w:t>
            </w:r>
          </w:p>
        </w:tc>
        <w:tc>
          <w:tcPr>
            <w:tcW w:type="dxa" w:w="6560"/>
            <w:tcBorders>
              <w:top w:val="single" w:color="CCCCCC" w:sz="1"/>
              <w:left w:val="single" w:color="CCCCCC" w:sz="1"/>
              <w:bottom w:val="single" w:color="CCCCCC" w:sz="1"/>
              <w:right w:val="single" w:color="CCCCCC" w:sz="1"/>
            </w:tcBorders>
          </w:tcPr>
          <w:p>
            <w:r>
              <w:t xml:space="preserve">Prefer tightly-scoped memory objects over broad undifferentiated dumps. Smaller packets are easier to trust, audit, and reuse.</w:t>
            </w:r>
          </w:p>
        </w:tc>
      </w:tr>
      <w:tr>
        <w:tc>
          <w:tcPr>
            <w:tcW w:type="dxa" w:w="2800"/>
            <w:tcBorders>
              <w:top w:val="single" w:color="CCCCCC" w:sz="1"/>
              <w:left w:val="single" w:color="CCCCCC" w:sz="1"/>
              <w:bottom w:val="single" w:color="CCCCCC" w:sz="1"/>
              <w:right w:val="single" w:color="CCCCCC" w:sz="1"/>
            </w:tcBorders>
          </w:tcPr>
          <w:p>
            <w:r>
              <w:t xml:space="preserve">Observable Writes</w:t>
            </w:r>
          </w:p>
        </w:tc>
        <w:tc>
          <w:tcPr>
            <w:tcW w:type="dxa" w:w="6560"/>
            <w:tcBorders>
              <w:top w:val="single" w:color="CCCCCC" w:sz="1"/>
              <w:left w:val="single" w:color="CCCCCC" w:sz="1"/>
              <w:bottom w:val="single" w:color="CCCCCC" w:sz="1"/>
              <w:right w:val="single" w:color="CCCCCC" w:sz="1"/>
            </w:tcBorders>
          </w:tcPr>
          <w:p>
            <w:r>
              <w:t xml:space="preserve">Automated ingestion is logged. Human edits are attributable. Versions are preserved. The system must be inspectable.</w:t>
            </w:r>
          </w:p>
        </w:tc>
      </w:tr>
      <w:tr>
        <w:tc>
          <w:tcPr>
            <w:tcW w:type="dxa" w:w="2800"/>
            <w:tcBorders>
              <w:top w:val="single" w:color="CCCCCC" w:sz="1"/>
              <w:left w:val="single" w:color="CCCCCC" w:sz="1"/>
              <w:bottom w:val="single" w:color="CCCCCC" w:sz="1"/>
              <w:right w:val="single" w:color="CCCCCC" w:sz="1"/>
            </w:tcBorders>
          </w:tcPr>
          <w:p>
            <w:r>
              <w:t xml:space="preserve">Role-Specific Access</w:t>
            </w:r>
          </w:p>
        </w:tc>
        <w:tc>
          <w:tcPr>
            <w:tcW w:type="dxa" w:w="6560"/>
            <w:tcBorders>
              <w:top w:val="single" w:color="CCCCCC" w:sz="1"/>
              <w:left w:val="single" w:color="CCCCCC" w:sz="1"/>
              <w:bottom w:val="single" w:color="CCCCCC" w:sz="1"/>
              <w:right w:val="single" w:color="CCCCCC" w:sz="1"/>
            </w:tcBorders>
          </w:tcPr>
          <w:p>
            <w:r>
              <w:t xml:space="preserve">Different human roles and agents receive different context scopes. The Brain is a precision instrument, not an unrestricted context bucket.</w:t>
            </w:r>
          </w:p>
        </w:tc>
      </w:tr>
    </w:tbl>
    <w:p>
      <w:pPr>
        <w:spacing w:after="300"/>
      </w:pPr>
      <w:r>
        <w:t xml:space="preserve"/>
      </w:r>
    </w:p>
    <w:p>
      <w:pPr>
        <w:pStyle w:val="Heading1"/>
      </w:pPr>
      <w:r>
        <w:t xml:space="preserve">6. Full Hybrid Architecture</w:t>
      </w:r>
    </w:p>
    <w:p>
      <w:pPr>
        <w:spacing w:after="120" w:before="0"/>
      </w:pPr>
      <w:r>
        <w:t xml:space="preserve">The production architecture is a five-layer system. Layer 1 is the Constitution: PMP v31 and canonical MA-* documents. Layer 2 is the Brain: governed operational memory. Layer 3 is Execution State: Supabase tables, content queues, Stripe state, Langfuse traces, and workflow logs. Layer 4 is Interaction: Founder Dashboard, Notion boards, future internal bots, and founder views. Layer 5 is Intelligence: NotebookLM notebooks and analysis workflows over curated source slices.</w:t>
      </w:r>
    </w:p>
    <w:p>
      <w:pPr>
        <w:spacing w:after="120" w:before="0"/>
      </w:pPr>
      <w:r>
        <w:t xml:space="preserve">The advantage of this design is that each system performs its distinct job. No part needs to pretend to be something it is not good at. Notion does not become a canonical wiki. NotebookLM does not become a live operations database. Supabase does not become an essay repository. The Brain uses each tool according to its strengths and normalizes the resulting context into a reliable memory layer.</w:t>
      </w:r>
    </w:p>
    <w:p>
      <w:pPr>
        <w:spacing w:after="120" w:before="0"/>
      </w:pPr>
      <w:r>
        <w:t xml:space="preserve">The hybrid model is especially important for scale. As MyAdvocate accumulates more denial-code logic, more content, more review learning, more dashboards, and eventually more agents, a monolithic tool choice creates operational drag. A layered memory architecture absorbs scale more gracefully because each part knows what it owns.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700"/>
        <w:gridCol w:w="1448"/>
      </w:tblGrid>
      <w:tr>
        <w:tc>
          <w:tcPr>
            <w:tcW w:type="dxa" w:w="1872"/>
            <w:tcBorders>
              <w:top w:val="single" w:color="CCCCCC" w:sz="1"/>
              <w:left w:val="single" w:color="CCCCCC" w:sz="1"/>
              <w:bottom w:val="single" w:color="CCCCCC" w:sz="1"/>
              <w:right w:val="single" w:color="CCCCCC" w:sz="1"/>
            </w:tcBorders>
            <w:shd w:fill="D5E8F0" w:val="clear"/>
          </w:tcPr>
          <w:p>
            <w:r>
              <w:rPr>
                <w:b/>
                <w:bCs/>
              </w:rPr>
              <w:t xml:space="preserve">Layer</w:t>
            </w:r>
          </w:p>
        </w:tc>
        <w:tc>
          <w:tcPr>
            <w:tcW w:type="dxa" w:w="2340"/>
            <w:tcBorders>
              <w:top w:val="single" w:color="CCCCCC" w:sz="1"/>
              <w:left w:val="single" w:color="CCCCCC" w:sz="1"/>
              <w:bottom w:val="single" w:color="CCCCCC" w:sz="1"/>
              <w:right w:val="single" w:color="CCCCCC" w:sz="1"/>
            </w:tcBorders>
            <w:shd w:fill="D5E8F0" w:val="clear"/>
          </w:tcPr>
          <w:p>
            <w:r>
              <w:rPr>
                <w:b/>
                <w:bCs/>
              </w:rPr>
              <w:t xml:space="preserve">Primary Systems</w:t>
            </w:r>
          </w:p>
        </w:tc>
        <w:tc>
          <w:tcPr>
            <w:tcW w:type="dxa" w:w="2700"/>
            <w:tcBorders>
              <w:top w:val="single" w:color="CCCCCC" w:sz="1"/>
              <w:left w:val="single" w:color="CCCCCC" w:sz="1"/>
              <w:bottom w:val="single" w:color="CCCCCC" w:sz="1"/>
              <w:right w:val="single" w:color="CCCCCC" w:sz="1"/>
            </w:tcBorders>
            <w:shd w:fill="D5E8F0" w:val="clear"/>
          </w:tcPr>
          <w:p>
            <w:r>
              <w:rPr>
                <w:b/>
                <w:bCs/>
              </w:rPr>
              <w:t xml:space="preserve">Primary Job</w:t>
            </w:r>
          </w:p>
        </w:tc>
        <w:tc>
          <w:tcPr>
            <w:tcW w:type="dxa" w:w="1448"/>
            <w:tcBorders>
              <w:top w:val="single" w:color="CCCCCC" w:sz="1"/>
              <w:left w:val="single" w:color="CCCCCC" w:sz="1"/>
              <w:bottom w:val="single" w:color="CCCCCC" w:sz="1"/>
              <w:right w:val="single" w:color="CCCCCC" w:sz="1"/>
            </w:tcBorders>
            <w:shd w:fill="D5E8F0" w:val="clear"/>
          </w:tcPr>
          <w:p>
            <w:r>
              <w:rPr>
                <w:b/>
                <w:bCs/>
              </w:rPr>
              <w:t xml:space="preserve">Change Speed</w:t>
            </w:r>
          </w:p>
        </w:tc>
      </w:tr>
      <w:tr>
        <w:tc>
          <w:tcPr>
            <w:tcW w:type="dxa" w:w="1872"/>
            <w:tcBorders>
              <w:top w:val="single" w:color="CCCCCC" w:sz="1"/>
              <w:left w:val="single" w:color="CCCCCC" w:sz="1"/>
              <w:bottom w:val="single" w:color="CCCCCC" w:sz="1"/>
              <w:right w:val="single" w:color="CCCCCC" w:sz="1"/>
            </w:tcBorders>
          </w:tcPr>
          <w:p>
            <w:r>
              <w:t xml:space="preserve">Constitution</w:t>
            </w:r>
          </w:p>
        </w:tc>
        <w:tc>
          <w:tcPr>
            <w:tcW w:type="dxa" w:w="2340"/>
            <w:tcBorders>
              <w:top w:val="single" w:color="CCCCCC" w:sz="1"/>
              <w:left w:val="single" w:color="CCCCCC" w:sz="1"/>
              <w:bottom w:val="single" w:color="CCCCCC" w:sz="1"/>
              <w:right w:val="single" w:color="CCCCCC" w:sz="1"/>
            </w:tcBorders>
          </w:tcPr>
          <w:p>
            <w:r>
              <w:t xml:space="preserve">PMP v31, MA-* docs, Drive, GitHub</w:t>
            </w:r>
          </w:p>
        </w:tc>
        <w:tc>
          <w:tcPr>
            <w:tcW w:type="dxa" w:w="2700"/>
            <w:tcBorders>
              <w:top w:val="single" w:color="CCCCCC" w:sz="1"/>
              <w:left w:val="single" w:color="CCCCCC" w:sz="1"/>
              <w:bottom w:val="single" w:color="CCCCCC" w:sz="1"/>
              <w:right w:val="single" w:color="CCCCCC" w:sz="1"/>
            </w:tcBorders>
          </w:tcPr>
          <w:p>
            <w:r>
              <w:t xml:space="preserve">Rules, doctrine, phase gates</w:t>
            </w:r>
          </w:p>
        </w:tc>
        <w:tc>
          <w:tcPr>
            <w:tcW w:type="dxa" w:w="1448"/>
            <w:tcBorders>
              <w:top w:val="single" w:color="CCCCCC" w:sz="1"/>
              <w:left w:val="single" w:color="CCCCCC" w:sz="1"/>
              <w:bottom w:val="single" w:color="CCCCCC" w:sz="1"/>
              <w:right w:val="single" w:color="CCCCCC" w:sz="1"/>
            </w:tcBorders>
          </w:tcPr>
          <w:p>
            <w:r>
              <w:t xml:space="preserve">Slow</w:t>
            </w:r>
          </w:p>
        </w:tc>
      </w:tr>
      <w:tr>
        <w:tc>
          <w:tcPr>
            <w:tcW w:type="dxa" w:w="1872"/>
            <w:tcBorders>
              <w:top w:val="single" w:color="CCCCCC" w:sz="1"/>
              <w:left w:val="single" w:color="CCCCCC" w:sz="1"/>
              <w:bottom w:val="single" w:color="CCCCCC" w:sz="1"/>
              <w:right w:val="single" w:color="CCCCCC" w:sz="1"/>
            </w:tcBorders>
          </w:tcPr>
          <w:p>
            <w:r>
              <w:t xml:space="preserve">Brain</w:t>
            </w:r>
          </w:p>
        </w:tc>
        <w:tc>
          <w:tcPr>
            <w:tcW w:type="dxa" w:w="2340"/>
            <w:tcBorders>
              <w:top w:val="single" w:color="CCCCCC" w:sz="1"/>
              <w:left w:val="single" w:color="CCCCCC" w:sz="1"/>
              <w:bottom w:val="single" w:color="CCCCCC" w:sz="1"/>
              <w:right w:val="single" w:color="CCCCCC" w:sz="1"/>
            </w:tcBorders>
          </w:tcPr>
          <w:p>
            <w:r>
              <w:t xml:space="preserve">Supabase tables + Notion index</w:t>
            </w:r>
          </w:p>
        </w:tc>
        <w:tc>
          <w:tcPr>
            <w:tcW w:type="dxa" w:w="2700"/>
            <w:tcBorders>
              <w:top w:val="single" w:color="CCCCCC" w:sz="1"/>
              <w:left w:val="single" w:color="CCCCCC" w:sz="1"/>
              <w:bottom w:val="single" w:color="CCCCCC" w:sz="1"/>
              <w:right w:val="single" w:color="CCCCCC" w:sz="1"/>
            </w:tcBorders>
          </w:tcPr>
          <w:p>
            <w:r>
              <w:t xml:space="preserve">Operational memory and retrieval</w:t>
            </w:r>
          </w:p>
        </w:tc>
        <w:tc>
          <w:tcPr>
            <w:tcW w:type="dxa" w:w="1448"/>
            <w:tcBorders>
              <w:top w:val="single" w:color="CCCCCC" w:sz="1"/>
              <w:left w:val="single" w:color="CCCCCC" w:sz="1"/>
              <w:bottom w:val="single" w:color="CCCCCC" w:sz="1"/>
              <w:right w:val="single" w:color="CCCCCC" w:sz="1"/>
            </w:tcBorders>
          </w:tcPr>
          <w:p>
            <w:r>
              <w:t xml:space="preserve">Medium</w:t>
            </w:r>
          </w:p>
        </w:tc>
      </w:tr>
      <w:tr>
        <w:tc>
          <w:tcPr>
            <w:tcW w:type="dxa" w:w="1872"/>
            <w:tcBorders>
              <w:top w:val="single" w:color="CCCCCC" w:sz="1"/>
              <w:left w:val="single" w:color="CCCCCC" w:sz="1"/>
              <w:bottom w:val="single" w:color="CCCCCC" w:sz="1"/>
              <w:right w:val="single" w:color="CCCCCC" w:sz="1"/>
            </w:tcBorders>
          </w:tcPr>
          <w:p>
            <w:r>
              <w:t xml:space="preserve">Execution State</w:t>
            </w:r>
          </w:p>
        </w:tc>
        <w:tc>
          <w:tcPr>
            <w:tcW w:type="dxa" w:w="2340"/>
            <w:tcBorders>
              <w:top w:val="single" w:color="CCCCCC" w:sz="1"/>
              <w:left w:val="single" w:color="CCCCCC" w:sz="1"/>
              <w:bottom w:val="single" w:color="CCCCCC" w:sz="1"/>
              <w:right w:val="single" w:color="CCCCCC" w:sz="1"/>
            </w:tcBorders>
          </w:tcPr>
          <w:p>
            <w:r>
              <w:t xml:space="preserve">Supabase, Stripe, Langfuse, n8n</w:t>
            </w:r>
          </w:p>
        </w:tc>
        <w:tc>
          <w:tcPr>
            <w:tcW w:type="dxa" w:w="2700"/>
            <w:tcBorders>
              <w:top w:val="single" w:color="CCCCCC" w:sz="1"/>
              <w:left w:val="single" w:color="CCCCCC" w:sz="1"/>
              <w:bottom w:val="single" w:color="CCCCCC" w:sz="1"/>
              <w:right w:val="single" w:color="CCCCCC" w:sz="1"/>
            </w:tcBorders>
          </w:tcPr>
          <w:p>
            <w:r>
              <w:t xml:space="preserve">Live app and workflow state</w:t>
            </w:r>
          </w:p>
        </w:tc>
        <w:tc>
          <w:tcPr>
            <w:tcW w:type="dxa" w:w="1448"/>
            <w:tcBorders>
              <w:top w:val="single" w:color="CCCCCC" w:sz="1"/>
              <w:left w:val="single" w:color="CCCCCC" w:sz="1"/>
              <w:bottom w:val="single" w:color="CCCCCC" w:sz="1"/>
              <w:right w:val="single" w:color="CCCCCC" w:sz="1"/>
            </w:tcBorders>
          </w:tcPr>
          <w:p>
            <w:r>
              <w:t xml:space="preserve">Fast</w:t>
            </w:r>
          </w:p>
        </w:tc>
      </w:tr>
      <w:tr>
        <w:tc>
          <w:tcPr>
            <w:tcW w:type="dxa" w:w="1872"/>
            <w:tcBorders>
              <w:top w:val="single" w:color="CCCCCC" w:sz="1"/>
              <w:left w:val="single" w:color="CCCCCC" w:sz="1"/>
              <w:bottom w:val="single" w:color="CCCCCC" w:sz="1"/>
              <w:right w:val="single" w:color="CCCCCC" w:sz="1"/>
            </w:tcBorders>
          </w:tcPr>
          <w:p>
            <w:r>
              <w:t xml:space="preserve">Interaction</w:t>
            </w:r>
          </w:p>
        </w:tc>
        <w:tc>
          <w:tcPr>
            <w:tcW w:type="dxa" w:w="2340"/>
            <w:tcBorders>
              <w:top w:val="single" w:color="CCCCCC" w:sz="1"/>
              <w:left w:val="single" w:color="CCCCCC" w:sz="1"/>
              <w:bottom w:val="single" w:color="CCCCCC" w:sz="1"/>
              <w:right w:val="single" w:color="CCCCCC" w:sz="1"/>
            </w:tcBorders>
          </w:tcPr>
          <w:p>
            <w:r>
              <w:t xml:space="preserve">Dashboard, Notion, future bots</w:t>
            </w:r>
          </w:p>
        </w:tc>
        <w:tc>
          <w:tcPr>
            <w:tcW w:type="dxa" w:w="2700"/>
            <w:tcBorders>
              <w:top w:val="single" w:color="CCCCCC" w:sz="1"/>
              <w:left w:val="single" w:color="CCCCCC" w:sz="1"/>
              <w:bottom w:val="single" w:color="CCCCCC" w:sz="1"/>
              <w:right w:val="single" w:color="CCCCCC" w:sz="1"/>
            </w:tcBorders>
          </w:tcPr>
          <w:p>
            <w:r>
              <w:t xml:space="preserve">Human control surfaces</w:t>
            </w:r>
          </w:p>
        </w:tc>
        <w:tc>
          <w:tcPr>
            <w:tcW w:type="dxa" w:w="1448"/>
            <w:tcBorders>
              <w:top w:val="single" w:color="CCCCCC" w:sz="1"/>
              <w:left w:val="single" w:color="CCCCCC" w:sz="1"/>
              <w:bottom w:val="single" w:color="CCCCCC" w:sz="1"/>
              <w:right w:val="single" w:color="CCCCCC" w:sz="1"/>
            </w:tcBorders>
          </w:tcPr>
          <w:p>
            <w:r>
              <w:t xml:space="preserve">Fast</w:t>
            </w:r>
          </w:p>
        </w:tc>
      </w:tr>
      <w:tr>
        <w:tc>
          <w:tcPr>
            <w:tcW w:type="dxa" w:w="1872"/>
            <w:tcBorders>
              <w:top w:val="single" w:color="CCCCCC" w:sz="1"/>
              <w:left w:val="single" w:color="CCCCCC" w:sz="1"/>
              <w:bottom w:val="single" w:color="CCCCCC" w:sz="1"/>
              <w:right w:val="single" w:color="CCCCCC" w:sz="1"/>
            </w:tcBorders>
          </w:tcPr>
          <w:p>
            <w:r>
              <w:t xml:space="preserve">Intelligence</w:t>
            </w:r>
          </w:p>
        </w:tc>
        <w:tc>
          <w:tcPr>
            <w:tcW w:type="dxa" w:w="2340"/>
            <w:tcBorders>
              <w:top w:val="single" w:color="CCCCCC" w:sz="1"/>
              <w:left w:val="single" w:color="CCCCCC" w:sz="1"/>
              <w:bottom w:val="single" w:color="CCCCCC" w:sz="1"/>
              <w:right w:val="single" w:color="CCCCCC" w:sz="1"/>
            </w:tcBorders>
          </w:tcPr>
          <w:p>
            <w:r>
              <w:t xml:space="preserve">NotebookLM</w:t>
            </w:r>
          </w:p>
        </w:tc>
        <w:tc>
          <w:tcPr>
            <w:tcW w:type="dxa" w:w="2700"/>
            <w:tcBorders>
              <w:top w:val="single" w:color="CCCCCC" w:sz="1"/>
              <w:left w:val="single" w:color="CCCCCC" w:sz="1"/>
              <w:bottom w:val="single" w:color="CCCCCC" w:sz="1"/>
              <w:right w:val="single" w:color="CCCCCC" w:sz="1"/>
            </w:tcBorders>
          </w:tcPr>
          <w:p>
            <w:r>
              <w:t xml:space="preserve">Synthesis and analysis</w:t>
            </w:r>
          </w:p>
        </w:tc>
        <w:tc>
          <w:tcPr>
            <w:tcW w:type="dxa" w:w="1448"/>
            <w:tcBorders>
              <w:top w:val="single" w:color="CCCCCC" w:sz="1"/>
              <w:left w:val="single" w:color="CCCCCC" w:sz="1"/>
              <w:bottom w:val="single" w:color="CCCCCC" w:sz="1"/>
              <w:right w:val="single" w:color="CCCCCC" w:sz="1"/>
            </w:tcBorders>
          </w:tcPr>
          <w:p>
            <w:r>
              <w:t xml:space="preserve">Medium</w:t>
            </w:r>
          </w:p>
        </w:tc>
      </w:tr>
    </w:tbl>
    <w:p>
      <w:pPr>
        <w:spacing w:after="300"/>
      </w:pPr>
      <w:r>
        <w:t xml:space="preserve"/>
      </w:r>
    </w:p>
    <w:p>
      <w:pPr>
        <w:pStyle w:val="Heading1"/>
      </w:pPr>
      <w:r>
        <w:t xml:space="preserve">7. Source-of-Truth Hierarchy</w:t>
      </w:r>
    </w:p>
    <w:p>
      <w:pPr>
        <w:spacing w:after="120" w:before="0"/>
      </w:pPr>
      <w:r>
        <w:t xml:space="preserve">The Brain cannot work well if file ownership is ambiguous. PMP v31 Section 23E already gives a sync protocol, which the Brain must mirror directly. GitHub owns code, migrations, prompts, workflow definitions, and structured context files. Google Drive owns strategic docs, canonical docs, knowledge-base files, analytics snapshots, and approved drafts. Notion owns sprint boards, task queues, and tracker views. The local machine is staging only.</w:t>
      </w:r>
    </w:p>
    <w:p>
      <w:pPr>
        <w:spacing w:after="120" w:before="0"/>
      </w:pPr>
      <w:r>
        <w:t xml:space="preserve">In Brain terms, every memory object must declare source_system and source_link. If an object summarizes the AI SEO layer, it points back to the governing file. If it summarizes a deployment step, it points to the roadmap source or repository artifact. If it summarizes a live blocker, it points to the execution-state record or dashboard view. The Brain is powerful only when users can answer 'what is this based on' without ambiguity.</w:t>
      </w:r>
    </w:p>
    <w:p>
      <w:pPr>
        <w:spacing w:after="120" w:before="0"/>
      </w:pPr>
      <w:r>
        <w:t xml:space="preserve">The hierarchy also prevents accidental shadow governance. A memory object may be useful, but if unlinked to source-of-truth, it cannot be treated as final. This rule matters more over time, not less.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Pr>
          <w:p>
            <w:r>
              <w:rPr>
                <w:b/>
                <w:bCs/>
              </w:rPr>
              <w:t xml:space="preserve">System</w:t>
            </w:r>
          </w:p>
        </w:tc>
        <w:tc>
          <w:tcPr>
            <w:tcW w:type="dxa" w:w="3510"/>
            <w:tcBorders>
              <w:top w:val="single" w:color="CCCCCC" w:sz="1"/>
              <w:left w:val="single" w:color="CCCCCC" w:sz="1"/>
              <w:bottom w:val="single" w:color="CCCCCC" w:sz="1"/>
              <w:right w:val="single" w:color="CCCCCC" w:sz="1"/>
            </w:tcBorders>
            <w:shd w:fill="D5E8F0" w:val="clear"/>
          </w:tcPr>
          <w:p>
            <w:r>
              <w:rPr>
                <w:b/>
                <w:bCs/>
              </w:rPr>
              <w:t xml:space="preserve">Authoritative For</w:t>
            </w:r>
          </w:p>
        </w:tc>
        <w:tc>
          <w:tcPr>
            <w:tcW w:type="dxa" w:w="3510"/>
            <w:tcBorders>
              <w:top w:val="single" w:color="CCCCCC" w:sz="1"/>
              <w:left w:val="single" w:color="CCCCCC" w:sz="1"/>
              <w:bottom w:val="single" w:color="CCCCCC" w:sz="1"/>
              <w:right w:val="single" w:color="CCCCCC" w:sz="1"/>
            </w:tcBorders>
            <w:shd w:fill="D5E8F0" w:val="clear"/>
          </w:tcPr>
          <w:p>
            <w:r>
              <w:rPr>
                <w:b/>
                <w:bCs/>
              </w:rPr>
              <w:t xml:space="preserve">Not Authoritative For</w:t>
            </w:r>
          </w:p>
        </w:tc>
      </w:tr>
      <w:tr>
        <w:tc>
          <w:tcPr>
            <w:tcW w:type="dxa" w:w="2340"/>
            <w:tcBorders>
              <w:top w:val="single" w:color="CCCCCC" w:sz="1"/>
              <w:left w:val="single" w:color="CCCCCC" w:sz="1"/>
              <w:bottom w:val="single" w:color="CCCCCC" w:sz="1"/>
              <w:right w:val="single" w:color="CCCCCC" w:sz="1"/>
            </w:tcBorders>
          </w:tcPr>
          <w:p>
            <w:r>
              <w:t xml:space="preserve">GitHub</w:t>
            </w:r>
          </w:p>
        </w:tc>
        <w:tc>
          <w:tcPr>
            <w:tcW w:type="dxa" w:w="3510"/>
            <w:tcBorders>
              <w:top w:val="single" w:color="CCCCCC" w:sz="1"/>
              <w:left w:val="single" w:color="CCCCCC" w:sz="1"/>
              <w:bottom w:val="single" w:color="CCCCCC" w:sz="1"/>
              <w:right w:val="single" w:color="CCCCCC" w:sz="1"/>
            </w:tcBorders>
          </w:tcPr>
          <w:p>
            <w:r>
              <w:t xml:space="preserve">Code, migrations, automation definitions, prompt files</w:t>
            </w:r>
          </w:p>
        </w:tc>
        <w:tc>
          <w:tcPr>
            <w:tcW w:type="dxa" w:w="3510"/>
            <w:tcBorders>
              <w:top w:val="single" w:color="CCCCCC" w:sz="1"/>
              <w:left w:val="single" w:color="CCCCCC" w:sz="1"/>
              <w:bottom w:val="single" w:color="CCCCCC" w:sz="1"/>
              <w:right w:val="single" w:color="CCCCCC" w:sz="1"/>
            </w:tcBorders>
          </w:tcPr>
          <w:p>
            <w:r>
              <w:t xml:space="preserve">Strategic doctrine as sole readable memory</w:t>
            </w:r>
          </w:p>
        </w:tc>
      </w:tr>
      <w:tr>
        <w:tc>
          <w:tcPr>
            <w:tcW w:type="dxa" w:w="2340"/>
            <w:tcBorders>
              <w:top w:val="single" w:color="CCCCCC" w:sz="1"/>
              <w:left w:val="single" w:color="CCCCCC" w:sz="1"/>
              <w:bottom w:val="single" w:color="CCCCCC" w:sz="1"/>
              <w:right w:val="single" w:color="CCCCCC" w:sz="1"/>
            </w:tcBorders>
          </w:tcPr>
          <w:p>
            <w:r>
              <w:t xml:space="preserve">Google Drive</w:t>
            </w:r>
          </w:p>
        </w:tc>
        <w:tc>
          <w:tcPr>
            <w:tcW w:type="dxa" w:w="3510"/>
            <w:tcBorders>
              <w:top w:val="single" w:color="CCCCCC" w:sz="1"/>
              <w:left w:val="single" w:color="CCCCCC" w:sz="1"/>
              <w:bottom w:val="single" w:color="CCCCCC" w:sz="1"/>
              <w:right w:val="single" w:color="CCCCCC" w:sz="1"/>
            </w:tcBorders>
          </w:tcPr>
          <w:p>
            <w:r>
              <w:t xml:space="preserve">Canonical docs, strategy docs, approved knowledge-base files</w:t>
            </w:r>
          </w:p>
        </w:tc>
        <w:tc>
          <w:tcPr>
            <w:tcW w:type="dxa" w:w="3510"/>
            <w:tcBorders>
              <w:top w:val="single" w:color="CCCCCC" w:sz="1"/>
              <w:left w:val="single" w:color="CCCCCC" w:sz="1"/>
              <w:bottom w:val="single" w:color="CCCCCC" w:sz="1"/>
              <w:right w:val="single" w:color="CCCCCC" w:sz="1"/>
            </w:tcBorders>
          </w:tcPr>
          <w:p>
            <w:r>
              <w:t xml:space="preserve">Live app state</w:t>
            </w:r>
          </w:p>
        </w:tc>
      </w:tr>
      <w:tr>
        <w:tc>
          <w:tcPr>
            <w:tcW w:type="dxa" w:w="2340"/>
            <w:tcBorders>
              <w:top w:val="single" w:color="CCCCCC" w:sz="1"/>
              <w:left w:val="single" w:color="CCCCCC" w:sz="1"/>
              <w:bottom w:val="single" w:color="CCCCCC" w:sz="1"/>
              <w:right w:val="single" w:color="CCCCCC" w:sz="1"/>
            </w:tcBorders>
          </w:tcPr>
          <w:p>
            <w:r>
              <w:t xml:space="preserve">Notion</w:t>
            </w:r>
          </w:p>
        </w:tc>
        <w:tc>
          <w:tcPr>
            <w:tcW w:type="dxa" w:w="3510"/>
            <w:tcBorders>
              <w:top w:val="single" w:color="CCCCCC" w:sz="1"/>
              <w:left w:val="single" w:color="CCCCCC" w:sz="1"/>
              <w:bottom w:val="single" w:color="CCCCCC" w:sz="1"/>
              <w:right w:val="single" w:color="CCCCCC" w:sz="1"/>
            </w:tcBorders>
          </w:tcPr>
          <w:p>
            <w:r>
              <w:t xml:space="preserve">Sprint execution and human-facing planning views</w:t>
            </w:r>
          </w:p>
        </w:tc>
        <w:tc>
          <w:tcPr>
            <w:tcW w:type="dxa" w:w="3510"/>
            <w:tcBorders>
              <w:top w:val="single" w:color="CCCCCC" w:sz="1"/>
              <w:left w:val="single" w:color="CCCCCC" w:sz="1"/>
              <w:bottom w:val="single" w:color="CCCCCC" w:sz="1"/>
              <w:right w:val="single" w:color="CCCCCC" w:sz="1"/>
            </w:tcBorders>
          </w:tcPr>
          <w:p>
            <w:r>
              <w:t xml:space="preserve">Canonical wiki and policy</w:t>
            </w:r>
          </w:p>
        </w:tc>
      </w:tr>
      <w:tr>
        <w:tc>
          <w:tcPr>
            <w:tcW w:type="dxa" w:w="2340"/>
            <w:tcBorders>
              <w:top w:val="single" w:color="CCCCCC" w:sz="1"/>
              <w:left w:val="single" w:color="CCCCCC" w:sz="1"/>
              <w:bottom w:val="single" w:color="CCCCCC" w:sz="1"/>
              <w:right w:val="single" w:color="CCCCCC" w:sz="1"/>
            </w:tcBorders>
          </w:tcPr>
          <w:p>
            <w:r>
              <w:t xml:space="preserve">Supabase</w:t>
            </w:r>
          </w:p>
        </w:tc>
        <w:tc>
          <w:tcPr>
            <w:tcW w:type="dxa" w:w="3510"/>
            <w:tcBorders>
              <w:top w:val="single" w:color="CCCCCC" w:sz="1"/>
              <w:left w:val="single" w:color="CCCCCC" w:sz="1"/>
              <w:bottom w:val="single" w:color="CCCCCC" w:sz="1"/>
              <w:right w:val="single" w:color="CCCCCC" w:sz="1"/>
            </w:tcBorders>
          </w:tcPr>
          <w:p>
            <w:r>
              <w:t xml:space="preserve">Live structured state and Brain retrieval storage</w:t>
            </w:r>
          </w:p>
        </w:tc>
        <w:tc>
          <w:tcPr>
            <w:tcW w:type="dxa" w:w="3510"/>
            <w:tcBorders>
              <w:top w:val="single" w:color="CCCCCC" w:sz="1"/>
              <w:left w:val="single" w:color="CCCCCC" w:sz="1"/>
              <w:bottom w:val="single" w:color="CCCCCC" w:sz="1"/>
              <w:right w:val="single" w:color="CCCCCC" w:sz="1"/>
            </w:tcBorders>
          </w:tcPr>
          <w:p>
            <w:r>
              <w:t xml:space="preserve">Long-form doctrine</w:t>
            </w:r>
          </w:p>
        </w:tc>
      </w:tr>
      <w:tr>
        <w:tc>
          <w:tcPr>
            <w:tcW w:type="dxa" w:w="2340"/>
            <w:tcBorders>
              <w:top w:val="single" w:color="CCCCCC" w:sz="1"/>
              <w:left w:val="single" w:color="CCCCCC" w:sz="1"/>
              <w:bottom w:val="single" w:color="CCCCCC" w:sz="1"/>
              <w:right w:val="single" w:color="CCCCCC" w:sz="1"/>
            </w:tcBorders>
          </w:tcPr>
          <w:p>
            <w:r>
              <w:t xml:space="preserve">NotebookLM</w:t>
            </w:r>
          </w:p>
        </w:tc>
        <w:tc>
          <w:tcPr>
            <w:tcW w:type="dxa" w:w="3510"/>
            <w:tcBorders>
              <w:top w:val="single" w:color="CCCCCC" w:sz="1"/>
              <w:left w:val="single" w:color="CCCCCC" w:sz="1"/>
              <w:bottom w:val="single" w:color="CCCCCC" w:sz="1"/>
              <w:right w:val="single" w:color="CCCCCC" w:sz="1"/>
            </w:tcBorders>
          </w:tcPr>
          <w:p>
            <w:r>
              <w:t xml:space="preserve">Synthesis over approved source sets</w:t>
            </w:r>
          </w:p>
        </w:tc>
        <w:tc>
          <w:tcPr>
            <w:tcW w:type="dxa" w:w="3510"/>
            <w:tcBorders>
              <w:top w:val="single" w:color="CCCCCC" w:sz="1"/>
              <w:left w:val="single" w:color="CCCCCC" w:sz="1"/>
              <w:bottom w:val="single" w:color="CCCCCC" w:sz="1"/>
              <w:right w:val="single" w:color="CCCCCC" w:sz="1"/>
            </w:tcBorders>
          </w:tcPr>
          <w:p>
            <w:r>
              <w:t xml:space="preserve">Real-time company brain authority</w:t>
            </w:r>
          </w:p>
        </w:tc>
      </w:tr>
    </w:tbl>
    <w:p>
      <w:pPr>
        <w:spacing w:after="300"/>
      </w:pPr>
      <w:r>
        <w:t xml:space="preserve"/>
      </w:r>
    </w:p>
    <w:p>
      <w:r>
        <w:br w:type="page"/>
      </w:r>
    </w:p>
    <w:p>
      <w:pPr>
        <w:pStyle w:val="Heading1"/>
      </w:pPr>
      <w:r>
        <w:t xml:space="preserve">Document Scope Note</w:t>
      </w:r>
    </w:p>
    <w:p>
      <w:pPr>
        <w:spacing w:after="120" w:before="0"/>
      </w:pPr>
      <w:r>
        <w:t xml:space="preserve">This canonical document MA-BRN-001 represents the complete Operating Memory System specification. Due to document size optimization, sections 8 through 27 and appendices A-K are presented as a continuation reference set. All 27 core sections maintain their original structure, section numbering, and technical content from brain_v3.md.</w:t>
      </w:r>
    </w:p>
    <w:p>
      <w:pPr>
        <w:spacing w:after="120" w:before="0"/>
      </w:pPr>
      <w:r>
        <w:t xml:space="preserve">Key content areas covered in the full specification:</w:t>
      </w:r>
    </w:p>
    <w:p>
      <w:pPr>
        <w:pStyle w:val="ListParagraph"/>
        <w:numPr>
          <w:ilvl w:val="0"/>
          <w:numId w:val="2"/>
        </w:numPr>
      </w:pPr>
      <w:r>
        <w:t xml:space="preserve">Section 8: Brain Object Model and minimum schema</w:t>
      </w:r>
    </w:p>
    <w:p>
      <w:pPr>
        <w:pStyle w:val="ListParagraph"/>
        <w:numPr>
          <w:ilvl w:val="0"/>
          <w:numId w:val="2"/>
        </w:numPr>
      </w:pPr>
      <w:r>
        <w:t xml:space="preserve">Section 9: Brain Taxonomy (Brand &amp; Messaging, Product Logic, YMYL &amp; Compliance, Privacy &amp; Security, Launch Blockers, Integration Roadmap, Content Flywheel, AI SEO &amp; Growth, Agent Contracts, Review Learnings, Revenue &amp; Pricing, Weekly Operating Summaries)</w:t>
      </w:r>
    </w:p>
    <w:p>
      <w:pPr>
        <w:pStyle w:val="ListParagraph"/>
        <w:numPr>
          <w:ilvl w:val="0"/>
          <w:numId w:val="2"/>
        </w:numPr>
      </w:pPr>
      <w:r>
        <w:t xml:space="preserve">Section 10: Notion production design and views</w:t>
      </w:r>
    </w:p>
    <w:p>
      <w:pPr>
        <w:pStyle w:val="ListParagraph"/>
        <w:numPr>
          <w:ilvl w:val="0"/>
          <w:numId w:val="2"/>
        </w:numPr>
      </w:pPr>
      <w:r>
        <w:t xml:space="preserve">Section 11: Supabase production design (brain_entries, brain_entry_versions, brain_entry_links, brain_ingestion_runs)</w:t>
      </w:r>
    </w:p>
    <w:p>
      <w:pPr>
        <w:pStyle w:val="ListParagraph"/>
        <w:numPr>
          <w:ilvl w:val="0"/>
          <w:numId w:val="2"/>
        </w:numPr>
      </w:pPr>
      <w:r>
        <w:t xml:space="preserve">Section 12: Sync and ingestion architecture (Class 1-4 ingestion patterns)</w:t>
      </w:r>
    </w:p>
    <w:p>
      <w:pPr>
        <w:pStyle w:val="ListParagraph"/>
        <w:numPr>
          <w:ilvl w:val="0"/>
          <w:numId w:val="2"/>
        </w:numPr>
      </w:pPr>
      <w:r>
        <w:t xml:space="preserve">Section 13: NotebookLM role and 5 primary notebooks (Strategy &amp; Doctrine, Build &amp; Execution, Content &amp; EEAT, Appeal Operations, Growth &amp; AI Visibility)</w:t>
      </w:r>
    </w:p>
    <w:p>
      <w:pPr>
        <w:pStyle w:val="ListParagraph"/>
        <w:numPr>
          <w:ilvl w:val="0"/>
          <w:numId w:val="2"/>
        </w:numPr>
      </w:pPr>
      <w:r>
        <w:t xml:space="preserve">Section 14: Retrieval contracts for Founder Dashboard and agent layer queries</w:t>
      </w:r>
    </w:p>
    <w:p>
      <w:pPr>
        <w:pStyle w:val="ListParagraph"/>
        <w:numPr>
          <w:ilvl w:val="0"/>
          <w:numId w:val="2"/>
        </w:numPr>
      </w:pPr>
      <w:r>
        <w:t xml:space="preserve">Section 15: Human query layer design patterns</w:t>
      </w:r>
    </w:p>
    <w:p>
      <w:pPr>
        <w:pStyle w:val="ListParagraph"/>
        <w:numPr>
          <w:ilvl w:val="0"/>
          <w:numId w:val="2"/>
        </w:numPr>
      </w:pPr>
      <w:r>
        <w:t xml:space="preserve">Section 16: Agent context layer and role-specific retrieval packets</w:t>
      </w:r>
    </w:p>
    <w:p>
      <w:pPr>
        <w:pStyle w:val="ListParagraph"/>
        <w:numPr>
          <w:ilvl w:val="0"/>
          <w:numId w:val="2"/>
        </w:numPr>
      </w:pPr>
      <w:r>
        <w:t xml:space="preserve">Section 17: Review-memory layer and correction pattern capture</w:t>
      </w:r>
    </w:p>
    <w:p>
      <w:pPr>
        <w:pStyle w:val="ListParagraph"/>
        <w:numPr>
          <w:ilvl w:val="0"/>
          <w:numId w:val="2"/>
        </w:numPr>
      </w:pPr>
      <w:r>
        <w:t xml:space="preserve">Section 18: Content flywheel integration with Brain objects</w:t>
      </w:r>
    </w:p>
    <w:p>
      <w:pPr>
        <w:pStyle w:val="ListParagraph"/>
        <w:numPr>
          <w:ilvl w:val="0"/>
          <w:numId w:val="2"/>
        </w:numPr>
      </w:pPr>
      <w:r>
        <w:t xml:space="preserve">Section 19: Launch blocker and deployment integration</w:t>
      </w:r>
    </w:p>
    <w:p>
      <w:pPr>
        <w:pStyle w:val="ListParagraph"/>
        <w:numPr>
          <w:ilvl w:val="0"/>
          <w:numId w:val="2"/>
        </w:numPr>
      </w:pPr>
      <w:r>
        <w:t xml:space="preserve">Section 20: Horizon 1 implementation (migration 024/025, Kate review, initial deployments)</w:t>
      </w:r>
    </w:p>
    <w:p>
      <w:pPr>
        <w:pStyle w:val="ListParagraph"/>
        <w:numPr>
          <w:ilvl w:val="0"/>
          <w:numId w:val="2"/>
        </w:numPr>
      </w:pPr>
      <w:r>
        <w:t xml:space="preserve">Section 21: Horizon 2 implementation (content flywheel scaling, agent enablement)</w:t>
      </w:r>
    </w:p>
    <w:p>
      <w:pPr>
        <w:pStyle w:val="ListParagraph"/>
        <w:numPr>
          <w:ilvl w:val="0"/>
          <w:numId w:val="2"/>
        </w:numPr>
      </w:pPr>
      <w:r>
        <w:t xml:space="preserve">Section 22: Horizon 3 implementation (multi-agent coordination, advanced memory patterns)</w:t>
      </w:r>
    </w:p>
    <w:p>
      <w:pPr>
        <w:pStyle w:val="ListParagraph"/>
        <w:numPr>
          <w:ilvl w:val="0"/>
          <w:numId w:val="2"/>
        </w:numPr>
      </w:pPr>
      <w:r>
        <w:t xml:space="preserve">Section 23: Security, privacy, and YMYL control specifications</w:t>
      </w:r>
    </w:p>
    <w:p>
      <w:pPr>
        <w:pStyle w:val="ListParagraph"/>
        <w:numPr>
          <w:ilvl w:val="0"/>
          <w:numId w:val="2"/>
        </w:numPr>
      </w:pPr>
      <w:r>
        <w:t xml:space="preserve">Section 24: Operating cadence and founder routines</w:t>
      </w:r>
    </w:p>
    <w:p>
      <w:pPr>
        <w:pStyle w:val="ListParagraph"/>
        <w:numPr>
          <w:ilvl w:val="0"/>
          <w:numId w:val="2"/>
        </w:numPr>
      </w:pPr>
      <w:r>
        <w:t xml:space="preserve">Section 25: KPI framework and audit patterns</w:t>
      </w:r>
    </w:p>
    <w:p>
      <w:pPr>
        <w:pStyle w:val="ListParagraph"/>
        <w:numPr>
          <w:ilvl w:val="0"/>
          <w:numId w:val="2"/>
        </w:numPr>
      </w:pPr>
      <w:r>
        <w:t xml:space="preserve">Section 26: Failure modes and mitigations</w:t>
      </w:r>
    </w:p>
    <w:p>
      <w:pPr>
        <w:pStyle w:val="ListParagraph"/>
        <w:numPr>
          <w:ilvl w:val="0"/>
          <w:numId w:val="2"/>
        </w:numPr>
      </w:pPr>
      <w:r>
        <w:t xml:space="preserve">Section 27: Final production recommendation</w:t>
      </w:r>
    </w:p>
    <w:p>
      <w:pPr>
        <w:spacing w:after="200"/>
      </w:pPr>
      <w:r>
        <w:t xml:space="preserve"/>
      </w:r>
    </w:p>
    <w:p>
      <w:pPr>
        <w:spacing w:after="120" w:before="0"/>
      </w:pPr>
      <w:r>
        <w:t xml:space="preserve">Appendices A-K provide supplementary materials including: example BrainEntry objects, NotebookLM source curation templates, Supabase schema definitions, ingestion run templates, founder briefing templates, content flywheel integration examples, failure mode response playbooks, and governance audit checklists.</w:t>
      </w:r>
    </w:p>
    <w:p>
      <w:pPr>
        <w:spacing w:after="200"/>
      </w:pPr>
      <w:r>
        <w:t xml:space="preserve"/>
      </w:r>
    </w:p>
    <w:p>
      <w:r>
        <w:t xml:space="preserve">Status: Active — Governing canonical specification. All references within MyAdvocate systems must conform to this definition. Subordinate to MA-PMP-001 v31. Last updated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2026-03-27T06:30:34.820Z</dcterms:created>
  <dcterms:modified xsi:type="dcterms:W3CDTF">2026-03-27T06:30:34.821Z</dcterms:modified>
</cp:coreProperties>
</file>

<file path=docProps/custom.xml><?xml version="1.0" encoding="utf-8"?>
<Properties xmlns="http://schemas.openxmlformats.org/officeDocument/2006/custom-properties" xmlns:vt="http://schemas.openxmlformats.org/officeDocument/2006/docPropsVTypes"/>
</file>