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pPr>
      <w:r>
        <w:rPr>
          <w:rFonts w:ascii="Arial" w:cs="Arial" w:eastAsia="Arial" w:hAnsi="Arial"/>
          <w:b/>
          <w:bCs/>
          <w:color w:val="1B3A5C"/>
          <w:sz w:val="52"/>
          <w:szCs w:val="52"/>
        </w:rPr>
        <w:t xml:space="preserve">MyAdvocate</w:t>
      </w:r>
    </w:p>
    <w:p>
      <w:pPr>
        <w:spacing w:after="80" w:before="0"/>
      </w:pPr>
      <w:r>
        <w:rPr>
          <w:rFonts w:ascii="Arial" w:cs="Arial" w:eastAsia="Arial" w:hAnsi="Arial"/>
          <w:b/>
          <w:bCs/>
          <w:color w:val="0D7377"/>
          <w:sz w:val="40"/>
          <w:szCs w:val="40"/>
        </w:rPr>
        <w:t xml:space="preserve">Kate Onboarding Guide</w:t>
      </w:r>
    </w:p>
    <w:p>
      <w:pPr>
        <w:spacing w:after="80" w:before="0"/>
      </w:pPr>
      <w:r>
        <w:rPr>
          <w:rFonts w:ascii="Arial" w:cs="Arial" w:eastAsia="Arial" w:hAnsi="Arial"/>
          <w:i/>
          <w:iCs/>
          <w:color w:val="6B7280"/>
          <w:sz w:val="24"/>
          <w:szCs w:val="24"/>
        </w:rPr>
        <w:t xml:space="preserve">Clinical Reviewer Handbook — Primary Review Role</w:t>
      </w:r>
    </w:p>
    <w:p>
      <w:pPr>
        <w:spacing w:after="400" w:before="0"/>
      </w:pPr>
      <w:r>
        <w:rPr>
          <w:rFonts w:ascii="Arial" w:cs="Arial" w:eastAsia="Arial" w:hAnsi="Arial"/>
          <w:color w:val="6B7280"/>
          <w:sz w:val="22"/>
          <w:szCs w:val="22"/>
        </w:rPr>
        <w:t xml:space="preserve">Prepared for: Kate  |  Role: LPN/LVN Clinical Reviewer  |  March 2026</w:t>
      </w:r>
    </w:p>
    <w:p>
      <w:r>
        <w:br w:type="page"/>
      </w:r>
    </w:p>
    <w:p>
      <w:pPr>
        <w:pStyle w:val="Heading1"/>
        <w:spacing w:after="160" w:before="360"/>
      </w:pPr>
      <w:r>
        <w:rPr>
          <w:rFonts w:ascii="Arial" w:cs="Arial" w:eastAsia="Arial" w:hAnsi="Arial"/>
          <w:b/>
          <w:bCs/>
          <w:color w:val="1B3A5C"/>
          <w:sz w:val="36"/>
          <w:szCs w:val="36"/>
        </w:rPr>
        <w:t xml:space="preserve">Welcome — Your Role at MyAdvocate</w:t>
      </w:r>
    </w:p>
    <w:p>
      <w:pPr>
        <w:spacing w:after="100" w:before="80"/>
      </w:pPr>
      <w:r>
        <w:rPr>
          <w:rFonts w:ascii="Arial" w:cs="Arial" w:eastAsia="Arial" w:hAnsi="Arial"/>
          <w:color w:val="1A1A1A"/>
          <w:sz w:val="22"/>
          <w:szCs w:val="22"/>
        </w:rPr>
        <w:t xml:space="preserve">MyAdvocate is an AI-powered patient advocacy platform that helps people navigate insurance denials and medical billing disputes. Every letter our platform generates is potentially life-changing for a patient — helping them fight a cancer treatment denial, dispute a $40,000 hospital bill, or understand their rights after a surgery was rejected.</w:t>
      </w:r>
    </w:p>
    <w:p>
      <w:pPr>
        <w:spacing w:after="60" w:before="60"/>
      </w:pPr>
      <w:r>
        <w:t xml:space="preserve"/>
      </w:r>
    </w:p>
    <w:p>
      <w:pPr>
        <w:spacing w:after="100" w:before="80"/>
      </w:pPr>
      <w:r>
        <w:rPr>
          <w:rFonts w:ascii="Arial" w:cs="Arial" w:eastAsia="Arial" w:hAnsi="Arial"/>
          <w:color w:val="1A1A1A"/>
          <w:sz w:val="22"/>
          <w:szCs w:val="22"/>
        </w:rPr>
        <w:t xml:space="preserve">Your role as clinical reviewer is the human safety layer between AI output and real patients. Your LPN/LVN background and 20+ years of nursing and nursing management experience are exactly what this role requires — you understand how healthcare systems work, what denial language actually means, and when something is clinically off.</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4" w:sz="1"/>
              <w:left w:val="single" w:color="C8D8E4" w:sz="1"/>
              <w:bottom w:val="single" w:color="C8D8E4" w:sz="1"/>
              <w:right w:val="single" w:color="C8D8E4"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Your title and framing in public-facing content</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Public title: "Licensed Healthcare Reviewer" or "our clinical reviewer"</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Background referenced as: LPN/LVN with 20+ years of nursing and nursing management experience</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NEVER described as RN — this is a compliance requirement (MA-EEAT-001 §3.2)</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Your name is never used in public content — institutional voice only ("our licensed healthcare reviewer")</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This protects both you and the platform from misrepresentation claims</w:t>
            </w:r>
          </w:p>
        </w:tc>
      </w:tr>
    </w:tbl>
    <w:p>
      <w:pPr>
        <w:spacing w:after="60" w:before="60"/>
      </w:pPr>
      <w:r>
        <w:t xml:space="preserve"/>
      </w:r>
    </w:p>
    <w:p>
      <w:pPr>
        <w:spacing w:after="60" w:before="60"/>
      </w:pPr>
      <w:r>
        <w:t xml:space="preserve"/>
      </w:r>
    </w:p>
    <w:p>
      <w:r>
        <w:br w:type="page"/>
      </w:r>
    </w:p>
    <w:p>
      <w:pPr>
        <w:pStyle w:val="Heading1"/>
        <w:spacing w:after="160" w:before="360"/>
      </w:pPr>
      <w:r>
        <w:rPr>
          <w:rFonts w:ascii="Arial" w:cs="Arial" w:eastAsia="Arial" w:hAnsi="Arial"/>
          <w:b/>
          <w:bCs/>
          <w:color w:val="1B3A5C"/>
          <w:sz w:val="36"/>
          <w:szCs w:val="36"/>
        </w:rPr>
        <w:t xml:space="preserve">The Two Review Tracks</w:t>
      </w:r>
    </w:p>
    <w:p>
      <w:pPr>
        <w:spacing w:after="100" w:before="80"/>
      </w:pPr>
      <w:r>
        <w:rPr>
          <w:rFonts w:ascii="Arial" w:cs="Arial" w:eastAsia="Arial" w:hAnsi="Arial"/>
          <w:color w:val="1A1A1A"/>
          <w:sz w:val="22"/>
          <w:szCs w:val="22"/>
        </w:rPr>
        <w:t xml:space="preserve">You will review two types of content: AI-generated patient letters (the core product) and content pages (SEO articles and guides). These have different checklists, different SLAs, and different stakes.</w:t>
      </w:r>
    </w:p>
    <w:p>
      <w:pPr>
        <w:spacing w:after="60" w:before="60"/>
      </w:pPr>
      <w:r>
        <w:t xml:space="preserve"/>
      </w:r>
    </w:p>
    <w:p>
      <w:pPr>
        <w:pStyle w:val="Heading2"/>
        <w:spacing w:after="120" w:before="280"/>
      </w:pPr>
      <w:r>
        <w:rPr>
          <w:rFonts w:ascii="Arial" w:cs="Arial" w:eastAsia="Arial" w:hAnsi="Arial"/>
          <w:b/>
          <w:bCs/>
          <w:color w:val="0D7377"/>
          <w:sz w:val="28"/>
          <w:szCs w:val="28"/>
        </w:rPr>
        <w:t xml:space="preserve">Track 1 — AI-Generated Letters (YMYL Review)</w:t>
      </w:r>
    </w:p>
    <w:p>
      <w:pPr>
        <w:spacing w:after="100" w:before="80"/>
      </w:pPr>
      <w:r>
        <w:rPr>
          <w:rFonts w:ascii="Arial" w:cs="Arial" w:eastAsia="Arial" w:hAnsi="Arial"/>
          <w:color w:val="1A1A1A"/>
          <w:sz w:val="22"/>
          <w:szCs w:val="22"/>
        </w:rPr>
        <w:t xml:space="preserve">Every letter generated by the platform is AI-authored and requires your sign-off before it reaches the user. The YMYL Review Checklist (separate document) is your step-by-step guide for each letter.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Parameter</w:t>
            </w:r>
          </w:p>
        </w:tc>
        <w:tc>
          <w:tcPr>
            <w:tcW w:type="dxa" w:w="656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Value</w:t>
            </w:r>
          </w:p>
        </w:tc>
      </w:tr>
      <w:tr>
        <w:tc>
          <w:tcPr>
            <w:tcW w:type="dxa" w:w="2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Your SLA</w:t>
            </w:r>
          </w:p>
        </w:tc>
        <w:tc>
          <w:tcPr>
            <w:tcW w:type="dxa" w:w="65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24 hours from when the letter enters your queue</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Queue cap</w:t>
            </w:r>
          </w:p>
        </w:tc>
        <w:tc>
          <w:tcPr>
            <w:tcW w:type="dxa" w:w="6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10 letters maximum at one time — if it hits 10, Sarsh is alerted and generation pauses</w:t>
            </w:r>
          </w:p>
        </w:tc>
      </w:tr>
      <w:tr>
        <w:tc>
          <w:tcPr>
            <w:tcW w:type="dxa" w:w="2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Escalation</w:t>
            </w:r>
          </w:p>
        </w:tc>
        <w:tc>
          <w:tcPr>
            <w:tcW w:type="dxa" w:w="65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If unavailable: Sarsh steps in, SLA extends to 48 hours, user is notified</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Notification</w:t>
            </w:r>
          </w:p>
        </w:tc>
        <w:tc>
          <w:tcPr>
            <w:tcW w:type="dxa" w:w="6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You receive an email at your configured address when a letter enters your queue</w:t>
            </w:r>
          </w:p>
        </w:tc>
      </w:tr>
      <w:tr>
        <w:tc>
          <w:tcPr>
            <w:tcW w:type="dxa" w:w="2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Access</w:t>
            </w:r>
          </w:p>
        </w:tc>
        <w:tc>
          <w:tcPr>
            <w:tcW w:type="dxa" w:w="65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Review interface at getmyadvocate.org/admin/review — login via your Supabase credentials</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Volume expectation</w:t>
            </w:r>
          </w:p>
        </w:tc>
        <w:tc>
          <w:tcPr>
            <w:tcW w:type="dxa" w:w="6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Pre-launch: low volume, mostly test letters. Post-launch Month 1: estimated 10-30 letters/week</w:t>
            </w:r>
          </w:p>
        </w:tc>
      </w:tr>
    </w:tbl>
    <w:p>
      <w:pPr>
        <w:spacing w:after="60" w:before="60"/>
      </w:pPr>
      <w:r>
        <w:t xml:space="preserve"/>
      </w:r>
    </w:p>
    <w:p>
      <w:pPr>
        <w:spacing w:after="100" w:before="80"/>
      </w:pPr>
      <w:r>
        <w:rPr>
          <w:rFonts w:ascii="Arial" w:cs="Arial" w:eastAsia="Arial" w:hAnsi="Arial"/>
          <w:color w:val="1A1A1A"/>
          <w:sz w:val="22"/>
          <w:szCs w:val="22"/>
        </w:rPr>
        <w:t xml:space="preserve">Phase 2 note: Once the LQE (Letter Quality Evaluator) is calibrated against your reviews, letters that clearly pass all three automated checks will bypass your queue and go direct to delivery. Your queue will progressively shift toward genuinely ambiguous and complex cases.</w:t>
      </w:r>
    </w:p>
    <w:p>
      <w:pPr>
        <w:spacing w:after="60" w:before="60"/>
      </w:pPr>
      <w:r>
        <w:t xml:space="preserve"/>
      </w:r>
    </w:p>
    <w:p>
      <w:pPr>
        <w:pStyle w:val="Heading2"/>
        <w:spacing w:after="120" w:before="280"/>
      </w:pPr>
      <w:r>
        <w:rPr>
          <w:rFonts w:ascii="Arial" w:cs="Arial" w:eastAsia="Arial" w:hAnsi="Arial"/>
          <w:b/>
          <w:bCs/>
          <w:color w:val="0D7377"/>
          <w:sz w:val="28"/>
          <w:szCs w:val="28"/>
        </w:rPr>
        <w:t xml:space="preserve">Track 2 — Content Page Review (EEAT/YMYL)</w:t>
      </w:r>
    </w:p>
    <w:p>
      <w:pPr>
        <w:spacing w:after="100" w:before="80"/>
      </w:pPr>
      <w:r>
        <w:rPr>
          <w:rFonts w:ascii="Arial" w:cs="Arial" w:eastAsia="Arial" w:hAnsi="Arial"/>
          <w:color w:val="1A1A1A"/>
          <w:sz w:val="22"/>
          <w:szCs w:val="22"/>
        </w:rPr>
        <w:t xml:space="preserve">Before any content page publishes on the website, it passes a 5-layer automated safety stack (EEAT validation), then enters your content review queue. You review for clinical accuracy, appropriate tone, and patient safety — not SEO or writing style.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Parameter</w:t>
            </w:r>
          </w:p>
        </w:tc>
        <w:tc>
          <w:tcPr>
            <w:tcW w:type="dxa" w:w="656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Value</w:t>
            </w:r>
          </w:p>
        </w:tc>
      </w:tr>
      <w:tr>
        <w:tc>
          <w:tcPr>
            <w:tcW w:type="dxa" w:w="2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Content queue cap</w:t>
            </w:r>
          </w:p>
        </w:tc>
        <w:tc>
          <w:tcPr>
            <w:tcW w:type="dxa" w:w="65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10 pages at one time — same cap as letter queue</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Your focus</w:t>
            </w:r>
          </w:p>
        </w:tc>
        <w:tc>
          <w:tcPr>
            <w:tcW w:type="dxa" w:w="6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Clinical accuracy, YMYL safety, appropriate framing — not grammar or SEO</w:t>
            </w:r>
          </w:p>
        </w:tc>
      </w:tr>
      <w:tr>
        <w:tc>
          <w:tcPr>
            <w:tcW w:type="dxa" w:w="2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What triggers your review</w:t>
            </w:r>
          </w:p>
        </w:tc>
        <w:tc>
          <w:tcPr>
            <w:tcW w:type="dxa" w:w="65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Any page that mentions specific treatments, clinical criteria, or patient rights language</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Escalation</w:t>
            </w:r>
          </w:p>
        </w:tc>
        <w:tc>
          <w:tcPr>
            <w:tcW w:type="dxa" w:w="6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Immigration-adjacent content requires attorney review — flag these immediately for Sarsh</w:t>
            </w:r>
          </w:p>
        </w:tc>
      </w:tr>
      <w:tr>
        <w:tc>
          <w:tcPr>
            <w:tcW w:type="dxa" w:w="2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Volume expectation</w:t>
            </w:r>
          </w:p>
        </w:tc>
        <w:tc>
          <w:tcPr>
            <w:tcW w:type="dxa" w:w="65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Phase 2: 4-5 pages/week once content pipeline is running</w:t>
            </w:r>
          </w:p>
        </w:tc>
      </w:tr>
    </w:tbl>
    <w:p>
      <w:pPr>
        <w:spacing w:after="60" w:before="60"/>
      </w:pPr>
      <w:r>
        <w:t xml:space="preserve"/>
      </w:r>
    </w:p>
    <w:p>
      <w:r>
        <w:br w:type="page"/>
      </w:r>
    </w:p>
    <w:p>
      <w:pPr>
        <w:pStyle w:val="Heading1"/>
        <w:spacing w:after="160" w:before="360"/>
      </w:pPr>
      <w:r>
        <w:rPr>
          <w:rFonts w:ascii="Arial" w:cs="Arial" w:eastAsia="Arial" w:hAnsi="Arial"/>
          <w:b/>
          <w:bCs/>
          <w:color w:val="1B3A5C"/>
          <w:sz w:val="36"/>
          <w:szCs w:val="36"/>
        </w:rPr>
        <w:t xml:space="preserve">The LQE Calibration Session</w:t>
      </w:r>
    </w:p>
    <w:p>
      <w:pPr>
        <w:spacing w:after="100" w:before="80"/>
      </w:pPr>
      <w:r>
        <w:rPr>
          <w:rFonts w:ascii="Arial" w:cs="Arial" w:eastAsia="Arial" w:hAnsi="Arial"/>
          <w:color w:val="1A1A1A"/>
          <w:sz w:val="22"/>
          <w:szCs w:val="22"/>
        </w:rPr>
        <w:t xml:space="preserve">Before the automated Letter Quality Evaluator (LQE) is fully activated, we need to run a calibration session with you. This is a one-time 2-3 hour session where you review 15-20 intentionally varied test letters and record your approve/reject decision for each.</w:t>
      </w:r>
    </w:p>
    <w:p>
      <w:pPr>
        <w:spacing w:after="60" w:before="60"/>
      </w:pPr>
      <w:r>
        <w:t xml:space="preserve"/>
      </w:r>
    </w:p>
    <w:p>
      <w:pPr>
        <w:spacing w:after="100" w:before="80"/>
      </w:pPr>
      <w:r>
        <w:rPr>
          <w:rFonts w:ascii="Arial" w:cs="Arial" w:eastAsia="Arial" w:hAnsi="Arial"/>
          <w:color w:val="1A1A1A"/>
          <w:sz w:val="22"/>
          <w:szCs w:val="22"/>
        </w:rPr>
        <w:t xml:space="preserve">The letters in the calibration set are designed to test edge cases: strong denial code matches that should clearly pass, weak matches that should fail, ambiguous YMYL language, and clear legal framing violations. Your decisions become the training signal that calibrates the automated system.</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4" w:sz="1"/>
              <w:left w:val="single" w:color="C8D8E4" w:sz="1"/>
              <w:bottom w:val="single" w:color="C8D8E4" w:sz="1"/>
              <w:right w:val="single" w:color="C8D8E4"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Calibration session format</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15-20 test letters across all 4 letter types (denial appeal, bill dispute, HIPAA request, negotiation script)</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For each letter: record Approve, Reject, or Escalate</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For any Reject: note the specific reason (denial code mismatch / YMYL violation / legal framing)</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Session runs via the admin/review interface — same interface you will use for production reviews</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Target false positive rate: &lt;10% (LQE flags a letter Kate would approve)</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This session is Sprint 2 — your LQE Calibration Guide (separate document in this folder) has the full session protocol</w:t>
            </w:r>
          </w:p>
        </w:tc>
      </w:tr>
    </w:tbl>
    <w:p>
      <w:pPr>
        <w:spacing w:after="60" w:before="60"/>
      </w:pPr>
      <w:r>
        <w:t xml:space="preserve"/>
      </w:r>
    </w:p>
    <w:p>
      <w:pPr>
        <w:spacing w:after="60" w:before="60"/>
      </w:pPr>
      <w:r>
        <w:t xml:space="preserve"/>
      </w:r>
    </w:p>
    <w:p>
      <w:r>
        <w:br w:type="page"/>
      </w:r>
    </w:p>
    <w:p>
      <w:pPr>
        <w:pStyle w:val="Heading1"/>
        <w:spacing w:after="160" w:before="360"/>
      </w:pPr>
      <w:r>
        <w:rPr>
          <w:rFonts w:ascii="Arial" w:cs="Arial" w:eastAsia="Arial" w:hAnsi="Arial"/>
          <w:b/>
          <w:bCs/>
          <w:color w:val="1B3A5C"/>
          <w:sz w:val="36"/>
          <w:szCs w:val="36"/>
        </w:rPr>
        <w:t xml:space="preserve">Access, Tools &amp; Contacts</w:t>
      </w:r>
    </w:p>
    <w:p>
      <w:pPr>
        <w:pStyle w:val="Heading2"/>
        <w:spacing w:after="120" w:before="280"/>
      </w:pPr>
      <w:r>
        <w:rPr>
          <w:rFonts w:ascii="Arial" w:cs="Arial" w:eastAsia="Arial" w:hAnsi="Arial"/>
          <w:b/>
          <w:bCs/>
          <w:color w:val="0D7377"/>
          <w:sz w:val="28"/>
          <w:szCs w:val="28"/>
        </w:rPr>
        <w:t xml:space="preserve">System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System</w:t>
            </w:r>
          </w:p>
        </w:tc>
        <w:tc>
          <w:tcPr>
            <w:tcW w:type="dxa" w:w="636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Access Method</w:t>
            </w:r>
          </w:p>
        </w:tc>
      </w:tr>
      <w:tr>
        <w:tc>
          <w:tcPr>
            <w:tcW w:type="dxa" w:w="30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Review interface</w:t>
            </w:r>
          </w:p>
        </w:tc>
        <w:tc>
          <w:tcPr>
            <w:tcW w:type="dxa" w:w="63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getmyadvocate.org/admin/review — Supabase auth (Sarsh will send credentials)</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Review queue notification</w:t>
            </w:r>
          </w:p>
        </w:tc>
        <w:tc>
          <w:tcPr>
            <w:tcW w:type="dxa" w:w="6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Email to your configured address — confirm with Sarsh before go-live</w:t>
            </w:r>
          </w:p>
        </w:tc>
      </w:tr>
      <w:tr>
        <w:tc>
          <w:tcPr>
            <w:tcW w:type="dxa" w:w="30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Escalation contact</w:t>
            </w:r>
          </w:p>
        </w:tc>
        <w:tc>
          <w:tcPr>
            <w:tcW w:type="dxa" w:w="63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Sarsh Levine — sarsh.levine@gmail.com — or direct message</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Documents folder</w:t>
            </w:r>
          </w:p>
        </w:tc>
        <w:tc>
          <w:tcPr>
            <w:tcW w:type="dxa" w:w="6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docs/review/ in the MyAdvocate repo (or Sarsh will share the folder directly)</w:t>
            </w:r>
          </w:p>
        </w:tc>
      </w:tr>
    </w:tbl>
    <w:p>
      <w:pPr>
        <w:spacing w:after="60" w:before="60"/>
      </w:pPr>
      <w:r>
        <w:t xml:space="preserve"/>
      </w:r>
    </w:p>
    <w:p>
      <w:pPr>
        <w:pStyle w:val="Heading2"/>
        <w:spacing w:after="120" w:before="280"/>
      </w:pPr>
      <w:r>
        <w:rPr>
          <w:rFonts w:ascii="Arial" w:cs="Arial" w:eastAsia="Arial" w:hAnsi="Arial"/>
          <w:b/>
          <w:bCs/>
          <w:color w:val="0D7377"/>
          <w:sz w:val="28"/>
          <w:szCs w:val="28"/>
        </w:rPr>
        <w:t xml:space="preserve">Key Documents in docs/review/</w:t>
      </w:r>
    </w:p>
    <w:p>
      <w:pPr>
        <w:pStyle w:val="ListParagraph"/>
        <w:numPr>
          <w:ilvl w:val="0"/>
          <w:numId w:val="2"/>
        </w:numPr>
        <w:spacing w:after="60" w:before="60"/>
      </w:pPr>
      <w:r>
        <w:rPr>
          <w:rFonts w:ascii="Arial" w:cs="Arial" w:eastAsia="Arial" w:hAnsi="Arial"/>
          <w:color w:val="1A1A1A"/>
          <w:sz w:val="22"/>
          <w:szCs w:val="22"/>
        </w:rPr>
        <w:t xml:space="preserve">YMYL_Review_Checklist.docx — your step-by-step checklist for every letter review</w:t>
      </w:r>
    </w:p>
    <w:p>
      <w:pPr>
        <w:pStyle w:val="ListParagraph"/>
        <w:numPr>
          <w:ilvl w:val="0"/>
          <w:numId w:val="2"/>
        </w:numPr>
        <w:spacing w:after="60" w:before="60"/>
      </w:pPr>
      <w:r>
        <w:rPr>
          <w:rFonts w:ascii="Arial" w:cs="Arial" w:eastAsia="Arial" w:hAnsi="Arial"/>
          <w:color w:val="1A1A1A"/>
          <w:sz w:val="22"/>
          <w:szCs w:val="22"/>
        </w:rPr>
        <w:t xml:space="preserve">LQE_Calibration_Guide_Kate.docx — protocol for the calibration session</w:t>
      </w:r>
    </w:p>
    <w:p>
      <w:pPr>
        <w:pStyle w:val="ListParagraph"/>
        <w:numPr>
          <w:ilvl w:val="0"/>
          <w:numId w:val="2"/>
        </w:numPr>
        <w:spacing w:after="60" w:before="60"/>
      </w:pPr>
      <w:r>
        <w:rPr>
          <w:rFonts w:ascii="Arial" w:cs="Arial" w:eastAsia="Arial" w:hAnsi="Arial"/>
          <w:color w:val="1A1A1A"/>
          <w:sz w:val="22"/>
          <w:szCs w:val="22"/>
        </w:rPr>
        <w:t xml:space="preserve">Content_Review_SOP.docx — standard operating procedure for content page reviews</w:t>
      </w:r>
    </w:p>
    <w:p>
      <w:pPr>
        <w:spacing w:after="60" w:before="60"/>
      </w:pPr>
      <w:r>
        <w:t xml:space="preserve"/>
      </w:r>
    </w:p>
    <w:p>
      <w:pPr>
        <w:pStyle w:val="Heading2"/>
        <w:spacing w:after="120" w:before="280"/>
      </w:pPr>
      <w:r>
        <w:rPr>
          <w:rFonts w:ascii="Arial" w:cs="Arial" w:eastAsia="Arial" w:hAnsi="Arial"/>
          <w:b/>
          <w:bCs/>
          <w:color w:val="0D7377"/>
          <w:sz w:val="28"/>
          <w:szCs w:val="28"/>
        </w:rPr>
        <w:t xml:space="preserve">Compensation &amp; Schedule</w:t>
      </w:r>
    </w:p>
    <w:p>
      <w:pPr>
        <w:spacing w:after="100" w:before="80"/>
      </w:pPr>
      <w:r>
        <w:rPr>
          <w:rFonts w:ascii="Arial" w:cs="Arial" w:eastAsia="Arial" w:hAnsi="Arial"/>
          <w:color w:val="1A1A1A"/>
          <w:sz w:val="22"/>
          <w:szCs w:val="22"/>
        </w:rPr>
        <w:t xml:space="preserve">Your review schedule, compensation structure, and availability expectations are agreed separately with Sarsh. This document covers operational process only.</w:t>
      </w:r>
    </w:p>
    <w:p>
      <w:pPr>
        <w:spacing w:after="60" w:before="60"/>
      </w:pPr>
      <w:r>
        <w:t xml:space="preserve"/>
      </w:r>
    </w:p>
    <w:p>
      <w:r>
        <w:br w:type="page"/>
      </w:r>
    </w:p>
    <w:p>
      <w:pPr>
        <w:pStyle w:val="Heading1"/>
        <w:spacing w:after="160" w:before="360"/>
      </w:pPr>
      <w:r>
        <w:rPr>
          <w:rFonts w:ascii="Arial" w:cs="Arial" w:eastAsia="Arial" w:hAnsi="Arial"/>
          <w:b/>
          <w:bCs/>
          <w:color w:val="1B3A5C"/>
          <w:sz w:val="36"/>
          <w:szCs w:val="36"/>
        </w:rPr>
        <w:t xml:space="preserve">What MyAdvocate Will Never Ask You To Do</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4" w:sz="1"/>
              <w:left w:val="single" w:color="C8D8E4" w:sz="1"/>
              <w:bottom w:val="single" w:color="C8D8E4" w:sz="1"/>
              <w:right w:val="single" w:color="C8D8E4"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Hard boundaries for your protection</w:t>
            </w:r>
          </w:p>
        </w:tc>
      </w:tr>
      <w:tr>
        <w:tc>
          <w:tcPr>
            <w:tcW w:type="dxa" w:w="9360"/>
            <w:tcBorders>
              <w:top w:val="single" w:color="C8D8E4" w:sz="1"/>
              <w:left w:val="single" w:color="C8D8E4" w:sz="1"/>
              <w:bottom w:val="single" w:color="C8D8E4" w:sz="1"/>
              <w:right w:val="single" w:color="C8D8E4" w:sz="1"/>
            </w:tcBorders>
            <w:shd w:fill="FFEBEE"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We will never ask you to approve a letter that you believe contains a clinical inaccuracy — reject it.</w:t>
            </w:r>
          </w:p>
        </w:tc>
      </w:tr>
      <w:tr>
        <w:tc>
          <w:tcPr>
            <w:tcW w:type="dxa" w:w="9360"/>
            <w:tcBorders>
              <w:top w:val="single" w:color="C8D8E4" w:sz="1"/>
              <w:left w:val="single" w:color="C8D8E4" w:sz="1"/>
              <w:bottom w:val="single" w:color="C8D8E4" w:sz="1"/>
              <w:right w:val="single" w:color="C8D8E4" w:sz="1"/>
            </w:tcBorders>
            <w:shd w:fill="FFEBEE"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We will never ask you to approve content you are uncertain about — escalate it.</w:t>
            </w:r>
          </w:p>
        </w:tc>
      </w:tr>
      <w:tr>
        <w:tc>
          <w:tcPr>
            <w:tcW w:type="dxa" w:w="9360"/>
            <w:tcBorders>
              <w:top w:val="single" w:color="C8D8E4" w:sz="1"/>
              <w:left w:val="single" w:color="C8D8E4" w:sz="1"/>
              <w:bottom w:val="single" w:color="C8D8E4" w:sz="1"/>
              <w:right w:val="single" w:color="C8D8E4" w:sz="1"/>
            </w:tcBorders>
            <w:shd w:fill="FFEBEE"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We will never ask you to meet the SLA by cutting corners on the checklist — take the time.</w:t>
            </w:r>
          </w:p>
        </w:tc>
      </w:tr>
      <w:tr>
        <w:tc>
          <w:tcPr>
            <w:tcW w:type="dxa" w:w="9360"/>
            <w:tcBorders>
              <w:top w:val="single" w:color="C8D8E4" w:sz="1"/>
              <w:left w:val="single" w:color="C8D8E4" w:sz="1"/>
              <w:bottom w:val="single" w:color="C8D8E4" w:sz="1"/>
              <w:right w:val="single" w:color="C8D8E4" w:sz="1"/>
            </w:tcBorders>
            <w:shd w:fill="FFEBEE"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We will never publish your name, credentials, or personal information without your written consent.</w:t>
            </w:r>
          </w:p>
        </w:tc>
      </w:tr>
      <w:tr>
        <w:tc>
          <w:tcPr>
            <w:tcW w:type="dxa" w:w="9360"/>
            <w:tcBorders>
              <w:top w:val="single" w:color="C8D8E4" w:sz="1"/>
              <w:left w:val="single" w:color="C8D8E4" w:sz="1"/>
              <w:bottom w:val="single" w:color="C8D8E4" w:sz="1"/>
              <w:right w:val="single" w:color="C8D8E4" w:sz="1"/>
            </w:tcBorders>
            <w:shd w:fill="FFEBEE"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We will never frame your role as "RN" or with any credential you do not hold.</w:t>
            </w:r>
          </w:p>
        </w:tc>
      </w:tr>
      <w:tr>
        <w:tc>
          <w:tcPr>
            <w:tcW w:type="dxa" w:w="9360"/>
            <w:tcBorders>
              <w:top w:val="single" w:color="C8D8E4" w:sz="1"/>
              <w:left w:val="single" w:color="C8D8E4" w:sz="1"/>
              <w:bottom w:val="single" w:color="C8D8E4" w:sz="1"/>
              <w:right w:val="single" w:color="C8D8E4" w:sz="1"/>
            </w:tcBorders>
            <w:shd w:fill="FFEBEE"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We will never ask you to provide clinical advice to users — your role is reviewing AI output, not advising patients.</w:t>
            </w:r>
          </w:p>
        </w:tc>
      </w:tr>
    </w:tbl>
    <w:p>
      <w:pPr>
        <w:spacing w:after="60" w:before="60"/>
      </w:pPr>
      <w:r>
        <w:t xml:space="preserve"/>
      </w:r>
    </w:p>
    <w:p>
      <w:pPr>
        <w:spacing w:after="60" w:before="60"/>
      </w:pPr>
      <w:r>
        <w:t xml:space="preserve"/>
      </w:r>
    </w:p>
    <w:p>
      <w:pPr>
        <w:spacing w:after="100" w:before="80"/>
      </w:pPr>
      <w:r>
        <w:rPr>
          <w:rFonts w:ascii="Arial" w:cs="Arial" w:eastAsia="Arial" w:hAnsi="Arial"/>
          <w:color w:val="1A1A1A"/>
          <w:sz w:val="22"/>
          <w:szCs w:val="22"/>
        </w:rPr>
        <w:t xml:space="preserve">If Sarsh ever asks you to do something that conflicts with these boundaries, you are authorized and encouraged to push back. The quality of this platform depends on the integrity of the review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4" w:sz="4"/>
      </w:pBdr>
      <w:tabs>
        <w:tab w:val="right" w:pos="9360"/>
      </w:tabs>
    </w:pPr>
    <w:r>
      <w:rPr>
        <w:rFonts w:ascii="Arial" w:cs="Arial" w:eastAsia="Arial" w:hAnsi="Arial"/>
        <w:color w:val="6B7280"/>
        <w:sz w:val="18"/>
        <w:szCs w:val="18"/>
      </w:rPr>
      <w:t xml:space="preserve">MyAdvocate  |  docs/review/  |  March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pBdr>
    </w:pPr>
    <w:r>
      <w:rPr>
        <w:rFonts w:ascii="Arial" w:cs="Arial" w:eastAsia="Arial" w:hAnsi="Arial"/>
        <w:color w:val="6B7280"/>
        <w:sz w:val="18"/>
        <w:szCs w:val="18"/>
      </w:rPr>
      <w:t xml:space="preserve">Kate Onboarding Guide  |  MyAdvocate  |  Clinical Reviewer Handbook</w:t>
    </w:r>
    <w:r>
      <w:rPr>
        <w:rFonts w:ascii="Arial" w:cs="Arial" w:eastAsia="Arial" w:hAnsi="Arial"/>
        <w:b/>
        <w:bCs/>
        <w:color w:val="C62828"/>
        <w:sz w:val="18"/>
        <w:szCs w:val="18"/>
      </w:rPr>
      <w:t xml:space="preserve">  |  INTERNAL — REVIEWERS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2026-03-19T08:29:36.384Z</dcterms:created>
  <dcterms:modified xsi:type="dcterms:W3CDTF">2026-03-19T08:29:36.384Z</dcterms:modified>
</cp:coreProperties>
</file>

<file path=docProps/custom.xml><?xml version="1.0" encoding="utf-8"?>
<Properties xmlns="http://schemas.openxmlformats.org/officeDocument/2006/custom-properties" xmlns:vt="http://schemas.openxmlformats.org/officeDocument/2006/docPropsVTypes"/>
</file>