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52"/>
          <w:szCs w:val="52"/>
        </w:rPr>
        <w:t xml:space="preserve">Letter Quality Evaluator</w:t>
      </w:r>
    </w:p>
    <w:p>
      <w:pPr>
        <w:spacing w:after="60" w:before="0"/>
      </w:pPr>
      <w:r>
        <w:rPr>
          <w:rFonts w:ascii="Arial" w:cs="Arial" w:eastAsia="Arial" w:hAnsi="Arial"/>
          <w:color w:val="2E75B6"/>
          <w:sz w:val="30"/>
          <w:szCs w:val="30"/>
        </w:rPr>
        <w:t xml:space="preserve">Clinical Calibration Guide  —  Kate Review Session</w:t>
      </w:r>
    </w:p>
    <w:p>
      <w:pPr>
        <w:spacing w:after="200" w:before="0"/>
      </w:pPr>
      <w:r>
        <w:rPr>
          <w:rFonts w:ascii="Arial" w:cs="Arial" w:eastAsia="Arial" w:hAnsi="Arial"/>
          <w:color w:val="808080"/>
          <w:sz w:val="20"/>
          <w:szCs w:val="20"/>
        </w:rPr>
        <w:t xml:space="preserve">MA-AUT-006 §G1  |  Version 1.0  |  March 2026</w:t>
      </w:r>
    </w:p>
    <w:p>
      <w:pPr>
        <w:pBdr>
          <w:bottom w:val="single" w:color="BDD7EE" w:sz="4" w:space="1"/>
        </w:pBdr>
        <w:spacing w:after="120" w:before="120"/>
      </w:pPr>
      <w:r>
        <w:t xml:space="preserve"/>
      </w:r>
    </w:p>
    <w:p>
      <w:pPr>
        <w:pStyle w:val="Heading1"/>
        <w:spacing w:after="100" w:before="320"/>
      </w:pPr>
      <w:r>
        <w:rPr>
          <w:rFonts w:ascii="Arial" w:cs="Arial" w:eastAsia="Arial" w:hAnsi="Arial"/>
          <w:b/>
          <w:bCs/>
          <w:color w:val="1F4E79"/>
          <w:sz w:val="32"/>
          <w:szCs w:val="32"/>
        </w:rPr>
        <w:t xml:space="preserve">Purpose</w:t>
      </w:r>
    </w:p>
    <w:p>
      <w:pPr>
        <w:spacing w:after="80" w:before="80"/>
      </w:pPr>
      <w:r>
        <w:rPr>
          <w:rFonts w:ascii="Arial" w:cs="Arial" w:eastAsia="Arial" w:hAnsi="Arial"/>
          <w:b w:val="false"/>
          <w:bCs w:val="false"/>
          <w:sz w:val="22"/>
          <w:szCs w:val="22"/>
        </w:rPr>
        <w:t xml:space="preserve">Every letter MyAdvocate generates passes through the Letter Quality Evaluator (LQE) before it reaches the user. The LQE runs three sequential automated checks in under a second, with no AI involvement.</w:t>
      </w:r>
    </w:p>
    <w:p>
      <w:pPr>
        <w:spacing w:after="80" w:before="80"/>
      </w:pPr>
      <w:r>
        <w:t xml:space="preserve"/>
      </w:r>
    </w:p>
    <w:p>
      <w:pPr>
        <w:spacing w:after="80" w:before="80"/>
      </w:pPr>
      <w:r>
        <w:rPr>
          <w:rFonts w:ascii="Arial" w:cs="Arial" w:eastAsia="Arial" w:hAnsi="Arial"/>
          <w:b w:val="false"/>
          <w:bCs w:val="false"/>
          <w:sz w:val="22"/>
          <w:szCs w:val="22"/>
        </w:rPr>
        <w:t xml:space="preserve">Your role in this session is to review a sample set of letters and confirm two things:</w:t>
      </w:r>
    </w:p>
    <w:p>
      <w:pPr>
        <w:pStyle w:val="ListParagraph"/>
        <w:numPr>
          <w:ilvl w:val="0"/>
          <w:numId w:val="2"/>
        </w:numPr>
        <w:spacing w:after="40" w:before="40"/>
      </w:pPr>
      <w:r>
        <w:rPr>
          <w:rFonts w:ascii="Arial" w:cs="Arial" w:eastAsia="Arial" w:hAnsi="Arial"/>
          <w:sz w:val="22"/>
          <w:szCs w:val="22"/>
        </w:rPr>
        <w:t xml:space="preserve">The checks are catching what they should — no dangerous language slips through.</w:t>
      </w:r>
    </w:p>
    <w:p>
      <w:pPr>
        <w:pStyle w:val="ListParagraph"/>
        <w:numPr>
          <w:ilvl w:val="0"/>
          <w:numId w:val="2"/>
        </w:numPr>
        <w:spacing w:after="40" w:before="40"/>
      </w:pPr>
      <w:r>
        <w:rPr>
          <w:rFonts w:ascii="Arial" w:cs="Arial" w:eastAsia="Arial" w:hAnsi="Arial"/>
          <w:sz w:val="22"/>
          <w:szCs w:val="22"/>
        </w:rPr>
        <w:t xml:space="preserve">The checks are not over-flagging good letters — false positive rate stays below 10%.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0"/>
            </w:pPr>
            <w:r>
              <w:rPr>
                <w:rFonts w:ascii="Arial" w:cs="Arial" w:eastAsia="Arial" w:hAnsi="Arial"/>
                <w:b/>
                <w:bCs/>
                <w:sz w:val="22"/>
                <w:szCs w:val="22"/>
              </w:rPr>
              <w:t xml:space="preserve">Why this matters</w:t>
            </w:r>
          </w:p>
          <w:p>
            <w:pPr>
              <w:spacing w:after="0" w:before="0"/>
            </w:pPr>
            <w:r>
              <w:rPr>
                <w:rFonts w:ascii="Arial" w:cs="Arial" w:eastAsia="Arial" w:hAnsi="Arial"/>
                <w:sz w:val="22"/>
                <w:szCs w:val="22"/>
              </w:rPr>
              <w:t xml:space="preserve">LQE-passed letters bypass the manual queue and go direct to the user. LQE-failed letters route to you for review with a logged failure reason. If thresholds are miscalibrated, either unsafe letters reach users (too loose) or you get buried in false positives (too strict). This session sets the calibration before LQE goes live.</w:t>
            </w:r>
          </w:p>
        </w:tc>
      </w:tr>
    </w:tbl>
    <w:p>
      <w:pPr>
        <w:spacing w:after="80" w:before="80"/>
      </w:pPr>
      <w:r>
        <w:t xml:space="preserve"/>
      </w:r>
    </w:p>
    <w:p>
      <w:pPr>
        <w:pBdr>
          <w:bottom w:val="single" w:color="BDD7EE" w:sz="4" w:space="1"/>
        </w:pBdr>
        <w:spacing w:after="120" w:before="120"/>
      </w:pPr>
      <w:r>
        <w:t xml:space="preserve"/>
      </w:r>
    </w:p>
    <w:p>
      <w:pPr>
        <w:pStyle w:val="Heading1"/>
        <w:spacing w:after="100" w:before="320"/>
      </w:pPr>
      <w:r>
        <w:rPr>
          <w:rFonts w:ascii="Arial" w:cs="Arial" w:eastAsia="Arial" w:hAnsi="Arial"/>
          <w:b/>
          <w:bCs/>
          <w:color w:val="1F4E79"/>
          <w:sz w:val="32"/>
          <w:szCs w:val="32"/>
        </w:rPr>
        <w:t xml:space="preserve">The Three Checks</w:t>
      </w:r>
    </w:p>
    <w:p>
      <w:pPr>
        <w:spacing w:after="80" w:before="80"/>
      </w:pPr>
      <w:r>
        <w:rPr>
          <w:rFonts w:ascii="Arial" w:cs="Arial" w:eastAsia="Arial" w:hAnsi="Arial"/>
          <w:b w:val="false"/>
          <w:bCs w:val="false"/>
          <w:sz w:val="22"/>
          <w:szCs w:val="22"/>
        </w:rPr>
        <w:t xml:space="preserve">Checks run in serial. If Check 1 fails, Checks 2 and 3 are skipped — the letter routes to the review queue immediately.</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Check 1 — Denial Code Accuracy</w:t>
      </w:r>
    </w:p>
    <w:p>
      <w:pPr>
        <w:spacing w:after="80" w:before="80"/>
      </w:pPr>
      <w:r>
        <w:rPr>
          <w:rFonts w:ascii="Arial" w:cs="Arial" w:eastAsia="Arial" w:hAnsi="Arial"/>
          <w:b w:val="false"/>
          <w:bCs w:val="false"/>
          <w:sz w:val="22"/>
          <w:szCs w:val="22"/>
        </w:rPr>
        <w:t xml:space="preserve">Applies to denial appeal letters only. The system looks up the denial code in the database, extracts key phrases from its appeal strategy, and checks whether at least 60% of those keywords appear in the letter.</w:t>
      </w:r>
    </w:p>
    <w:p>
      <w:pPr>
        <w:spacing w:after="80" w:before="80"/>
      </w:pPr>
      <w:r>
        <w:t xml:space="preserve"/>
      </w:r>
    </w:p>
    <w:p>
      <w:pPr>
        <w:spacing w:after="80" w:before="80"/>
      </w:pPr>
      <w:r>
        <w:rPr>
          <w:rFonts w:ascii="Arial" w:cs="Arial" w:eastAsia="Arial" w:hAnsi="Arial"/>
          <w:b/>
          <w:bCs/>
          <w:sz w:val="22"/>
          <w:szCs w:val="22"/>
        </w:rPr>
        <w:t xml:space="preserve">PASS when:</w:t>
      </w:r>
    </w:p>
    <w:p>
      <w:pPr>
        <w:pStyle w:val="ListParagraph"/>
        <w:numPr>
          <w:ilvl w:val="0"/>
          <w:numId w:val="2"/>
        </w:numPr>
        <w:spacing w:after="40" w:before="40"/>
      </w:pPr>
      <w:r>
        <w:rPr>
          <w:rFonts w:ascii="Arial" w:cs="Arial" w:eastAsia="Arial" w:hAnsi="Arial"/>
          <w:sz w:val="22"/>
          <w:szCs w:val="22"/>
        </w:rPr>
        <w:t xml:space="preserve">60% or more of the appeal strategy keywords are present in the letter body.</w:t>
      </w:r>
    </w:p>
    <w:p>
      <w:pPr>
        <w:pStyle w:val="ListParagraph"/>
        <w:numPr>
          <w:ilvl w:val="0"/>
          <w:numId w:val="2"/>
        </w:numPr>
        <w:spacing w:after="40" w:before="40"/>
      </w:pPr>
      <w:r>
        <w:rPr>
          <w:rFonts w:ascii="Arial" w:cs="Arial" w:eastAsia="Arial" w:hAnsi="Arial"/>
          <w:sz w:val="22"/>
          <w:szCs w:val="22"/>
        </w:rPr>
        <w:t xml:space="preserve">Letter type is not denial_appeal — auto-pass, no check performed.</w:t>
      </w:r>
    </w:p>
    <w:p>
      <w:pPr>
        <w:pStyle w:val="ListParagraph"/>
        <w:numPr>
          <w:ilvl w:val="0"/>
          <w:numId w:val="2"/>
        </w:numPr>
        <w:spacing w:after="40" w:before="40"/>
      </w:pPr>
      <w:r>
        <w:rPr>
          <w:rFonts w:ascii="Arial" w:cs="Arial" w:eastAsia="Arial" w:hAnsi="Arial"/>
          <w:sz w:val="22"/>
          <w:szCs w:val="22"/>
        </w:rPr>
        <w:t xml:space="preserve">Denial code not found in database — auto-pass, benefit of the doubt.</w:t>
      </w:r>
    </w:p>
    <w:p>
      <w:pPr>
        <w:spacing w:after="80" w:before="80"/>
      </w:pPr>
      <w:r>
        <w:t xml:space="preserve"/>
      </w:r>
    </w:p>
    <w:p>
      <w:pPr>
        <w:spacing w:after="80" w:before="80"/>
      </w:pPr>
      <w:r>
        <w:rPr>
          <w:rFonts w:ascii="Arial" w:cs="Arial" w:eastAsia="Arial" w:hAnsi="Arial"/>
          <w:b/>
          <w:bCs/>
          <w:sz w:val="22"/>
          <w:szCs w:val="22"/>
        </w:rPr>
        <w:t xml:space="preserve">FAIL when:</w:t>
      </w:r>
    </w:p>
    <w:p>
      <w:pPr>
        <w:pStyle w:val="ListParagraph"/>
        <w:numPr>
          <w:ilvl w:val="0"/>
          <w:numId w:val="2"/>
        </w:numPr>
        <w:spacing w:after="40" w:before="40"/>
      </w:pPr>
      <w:r>
        <w:rPr>
          <w:rFonts w:ascii="Arial" w:cs="Arial" w:eastAsia="Arial" w:hAnsi="Arial"/>
          <w:sz w:val="22"/>
          <w:szCs w:val="22"/>
        </w:rPr>
        <w:t xml:space="preserve">Fewer than 60% of expected keywords found. Failure note shows which keywords were expected from the denial code record.</w:t>
      </w:r>
    </w:p>
    <w:p>
      <w:pPr>
        <w:spacing w:after="80" w:before="80"/>
      </w:pPr>
      <w:r>
        <w:t xml:space="preserve"/>
      </w:r>
    </w:p>
    <w:p>
      <w:pPr>
        <w:pStyle w:val="Heading2"/>
        <w:spacing w:after="80" w:before="240"/>
      </w:pPr>
      <w:r>
        <w:rPr>
          <w:rFonts w:ascii="Arial" w:cs="Arial" w:eastAsia="Arial" w:hAnsi="Arial"/>
          <w:b/>
          <w:bCs/>
          <w:color w:val="2E75B6"/>
          <w:sz w:val="26"/>
          <w:szCs w:val="26"/>
        </w:rPr>
        <w:t xml:space="preserve">Check 2 — YMYL Safety</w:t>
      </w:r>
    </w:p>
    <w:p>
      <w:pPr>
        <w:spacing w:after="80" w:before="80"/>
      </w:pPr>
      <w:r>
        <w:rPr>
          <w:rFonts w:ascii="Arial" w:cs="Arial" w:eastAsia="Arial" w:hAnsi="Arial"/>
          <w:b w:val="false"/>
          <w:bCs w:val="false"/>
          <w:sz w:val="22"/>
          <w:szCs w:val="22"/>
        </w:rPr>
        <w:t xml:space="preserve">Applies to all letter types. Scans for language that makes clinical determinations or guarantees outcomes.</w:t>
      </w:r>
    </w:p>
    <w:p>
      <w:pPr>
        <w:spacing w:after="80" w:before="80"/>
      </w:pPr>
      <w:r>
        <w:t xml:space="preserve"/>
      </w:r>
    </w:p>
    <w:p>
      <w:pPr>
        <w:spacing w:after="80" w:before="80"/>
      </w:pPr>
      <w:r>
        <w:rPr>
          <w:rFonts w:ascii="Arial" w:cs="Arial" w:eastAsia="Arial" w:hAnsi="Arial"/>
          <w:b/>
          <w:bCs/>
          <w:sz w:val="22"/>
          <w:szCs w:val="22"/>
        </w:rPr>
        <w:t xml:space="preserve">Current forbidden patterns:</w:t>
      </w:r>
    </w:p>
    <w:p>
      <w:pPr>
        <w:pStyle w:val="ListParagraph"/>
        <w:numPr>
          <w:ilvl w:val="0"/>
          <w:numId w:val="2"/>
        </w:numPr>
        <w:spacing w:after="40" w:before="40"/>
      </w:pPr>
      <w:r>
        <w:rPr>
          <w:rFonts w:ascii="Arial" w:cs="Arial" w:eastAsia="Arial" w:hAnsi="Arial"/>
          <w:sz w:val="22"/>
          <w:szCs w:val="22"/>
        </w:rPr>
        <w:t xml:space="preserve">"you have been diagnosed with..."</w:t>
      </w:r>
    </w:p>
    <w:p>
      <w:pPr>
        <w:pStyle w:val="ListParagraph"/>
        <w:numPr>
          <w:ilvl w:val="0"/>
          <w:numId w:val="2"/>
        </w:numPr>
        <w:spacing w:after="40" w:before="40"/>
      </w:pPr>
      <w:r>
        <w:rPr>
          <w:rFonts w:ascii="Arial" w:cs="Arial" w:eastAsia="Arial" w:hAnsi="Arial"/>
          <w:sz w:val="22"/>
          <w:szCs w:val="22"/>
        </w:rPr>
        <w:t xml:space="preserve">"this treatment is not medically necessary"</w:t>
      </w:r>
    </w:p>
    <w:p>
      <w:pPr>
        <w:pStyle w:val="ListParagraph"/>
        <w:numPr>
          <w:ilvl w:val="0"/>
          <w:numId w:val="2"/>
        </w:numPr>
        <w:spacing w:after="40" w:before="40"/>
      </w:pPr>
      <w:r>
        <w:rPr>
          <w:rFonts w:ascii="Arial" w:cs="Arial" w:eastAsia="Arial" w:hAnsi="Arial"/>
          <w:sz w:val="22"/>
          <w:szCs w:val="22"/>
        </w:rPr>
        <w:t xml:space="preserve">"you do not need [treatment/medication]"</w:t>
      </w:r>
    </w:p>
    <w:p>
      <w:pPr>
        <w:pStyle w:val="ListParagraph"/>
        <w:numPr>
          <w:ilvl w:val="0"/>
          <w:numId w:val="2"/>
        </w:numPr>
        <w:spacing w:after="40" w:before="40"/>
      </w:pPr>
      <w:r>
        <w:rPr>
          <w:rFonts w:ascii="Arial" w:cs="Arial" w:eastAsia="Arial" w:hAnsi="Arial"/>
          <w:sz w:val="22"/>
          <w:szCs w:val="22"/>
        </w:rPr>
        <w:t xml:space="preserve">"your doctor is wrong"</w:t>
      </w:r>
    </w:p>
    <w:p>
      <w:pPr>
        <w:pStyle w:val="ListParagraph"/>
        <w:numPr>
          <w:ilvl w:val="0"/>
          <w:numId w:val="2"/>
        </w:numPr>
        <w:spacing w:after="40" w:before="40"/>
      </w:pPr>
      <w:r>
        <w:rPr>
          <w:rFonts w:ascii="Arial" w:cs="Arial" w:eastAsia="Arial" w:hAnsi="Arial"/>
          <w:sz w:val="22"/>
          <w:szCs w:val="22"/>
        </w:rPr>
        <w:t xml:space="preserve">"guaranteed coverage / guaranteed approval"</w:t>
      </w:r>
    </w:p>
    <w:p>
      <w:pPr>
        <w:pStyle w:val="ListParagraph"/>
        <w:numPr>
          <w:ilvl w:val="0"/>
          <w:numId w:val="2"/>
        </w:numPr>
        <w:spacing w:after="40" w:before="40"/>
      </w:pPr>
      <w:r>
        <w:rPr>
          <w:rFonts w:ascii="Arial" w:cs="Arial" w:eastAsia="Arial" w:hAnsi="Arial"/>
          <w:sz w:val="22"/>
          <w:szCs w:val="22"/>
        </w:rPr>
        <w:t xml:space="preserve">"will definitely be approved"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40" w:before="0"/>
            </w:pPr>
            <w:r>
              <w:rPr>
                <w:rFonts w:ascii="Arial" w:cs="Arial" w:eastAsia="Arial" w:hAnsi="Arial"/>
                <w:b/>
                <w:bCs/>
                <w:sz w:val="22"/>
                <w:szCs w:val="22"/>
              </w:rPr>
              <w:t xml:space="preserve">Clinical framing note</w:t>
            </w:r>
          </w:p>
          <w:p>
            <w:pPr>
              <w:spacing w:after="0" w:before="0"/>
            </w:pPr>
            <w:r>
              <w:rPr>
                <w:rFonts w:ascii="Arial" w:cs="Arial" w:eastAsia="Arial" w:hAnsi="Arial"/>
                <w:sz w:val="22"/>
                <w:szCs w:val="22"/>
              </w:rPr>
              <w:t xml:space="preserve">MyAdvocate letters advocate for the patient's position with their insurer. They do NOT make clinical judgments. "Your doctor determined this was medically necessary" is fine — it attributes the judgment to the physician. "This treatment IS medically necessary" without attribution crosses the line and triggers this check.</w:t>
            </w:r>
          </w:p>
        </w:tc>
      </w:tr>
    </w:tbl>
    <w:p>
      <w:pPr>
        <w:spacing w:after="80" w:before="80"/>
      </w:pPr>
      <w:r>
        <w:t xml:space="preserve"/>
      </w:r>
    </w:p>
    <w:p>
      <w:pPr>
        <w:pStyle w:val="Heading2"/>
        <w:spacing w:after="80" w:before="240"/>
      </w:pPr>
      <w:r>
        <w:rPr>
          <w:rFonts w:ascii="Arial" w:cs="Arial" w:eastAsia="Arial" w:hAnsi="Arial"/>
          <w:b/>
          <w:bCs/>
          <w:color w:val="2E75B6"/>
          <w:sz w:val="26"/>
          <w:szCs w:val="26"/>
        </w:rPr>
        <w:t xml:space="preserve">Check 3 — Legal Framing</w:t>
      </w:r>
    </w:p>
    <w:p>
      <w:pPr>
        <w:spacing w:after="80" w:before="80"/>
      </w:pPr>
      <w:r>
        <w:rPr>
          <w:rFonts w:ascii="Arial" w:cs="Arial" w:eastAsia="Arial" w:hAnsi="Arial"/>
          <w:b w:val="false"/>
          <w:bCs w:val="false"/>
          <w:sz w:val="22"/>
          <w:szCs w:val="22"/>
        </w:rPr>
        <w:t xml:space="preserve">Applies to all letter types. Scans for attorney-level determinations or unsolicited legal advice.</w:t>
      </w:r>
    </w:p>
    <w:p>
      <w:pPr>
        <w:spacing w:after="80" w:before="80"/>
      </w:pPr>
      <w:r>
        <w:t xml:space="preserve"/>
      </w:r>
    </w:p>
    <w:p>
      <w:pPr>
        <w:spacing w:after="80" w:before="80"/>
      </w:pPr>
      <w:r>
        <w:rPr>
          <w:rFonts w:ascii="Arial" w:cs="Arial" w:eastAsia="Arial" w:hAnsi="Arial"/>
          <w:b/>
          <w:bCs/>
          <w:sz w:val="22"/>
          <w:szCs w:val="22"/>
        </w:rPr>
        <w:t xml:space="preserve">Current forbidden patterns:</w:t>
      </w:r>
    </w:p>
    <w:p>
      <w:pPr>
        <w:pStyle w:val="ListParagraph"/>
        <w:numPr>
          <w:ilvl w:val="0"/>
          <w:numId w:val="2"/>
        </w:numPr>
        <w:spacing w:after="40" w:before="40"/>
      </w:pPr>
      <w:r>
        <w:rPr>
          <w:rFonts w:ascii="Arial" w:cs="Arial" w:eastAsia="Arial" w:hAnsi="Arial"/>
          <w:sz w:val="22"/>
          <w:szCs w:val="22"/>
        </w:rPr>
        <w:t xml:space="preserve">"you are legally entitled to..."</w:t>
      </w:r>
    </w:p>
    <w:p>
      <w:pPr>
        <w:pStyle w:val="ListParagraph"/>
        <w:numPr>
          <w:ilvl w:val="0"/>
          <w:numId w:val="2"/>
        </w:numPr>
        <w:spacing w:after="40" w:before="40"/>
      </w:pPr>
      <w:r>
        <w:rPr>
          <w:rFonts w:ascii="Arial" w:cs="Arial" w:eastAsia="Arial" w:hAnsi="Arial"/>
          <w:sz w:val="22"/>
          <w:szCs w:val="22"/>
        </w:rPr>
        <w:t xml:space="preserve">"this constitutes a violation of [law/contract/regulation]"</w:t>
      </w:r>
    </w:p>
    <w:p>
      <w:pPr>
        <w:pStyle w:val="ListParagraph"/>
        <w:numPr>
          <w:ilvl w:val="0"/>
          <w:numId w:val="2"/>
        </w:numPr>
        <w:spacing w:after="40" w:before="40"/>
      </w:pPr>
      <w:r>
        <w:rPr>
          <w:rFonts w:ascii="Arial" w:cs="Arial" w:eastAsia="Arial" w:hAnsi="Arial"/>
          <w:sz w:val="22"/>
          <w:szCs w:val="22"/>
        </w:rPr>
        <w:t xml:space="preserve">"you should sue / file a lawsuit / take legal action"</w:t>
      </w:r>
    </w:p>
    <w:p>
      <w:pPr>
        <w:pStyle w:val="ListParagraph"/>
        <w:numPr>
          <w:ilvl w:val="0"/>
          <w:numId w:val="2"/>
        </w:numPr>
        <w:spacing w:after="40" w:before="40"/>
      </w:pPr>
      <w:r>
        <w:rPr>
          <w:rFonts w:ascii="Arial" w:cs="Arial" w:eastAsia="Arial" w:hAnsi="Arial"/>
          <w:sz w:val="22"/>
          <w:szCs w:val="22"/>
        </w:rPr>
        <w:t xml:space="preserve">"I recommend you consult an attorney / lawyer" (in advice context)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60"/>
              <w:bottom w:type="dxa" w:w="120"/>
              <w:right w:type="dxa" w:w="160"/>
            </w:tcMar>
          </w:tcPr>
          <w:p>
            <w:pPr>
              <w:spacing w:after="40" w:before="0"/>
            </w:pPr>
            <w:r>
              <w:rPr>
                <w:rFonts w:ascii="Arial" w:cs="Arial" w:eastAsia="Arial" w:hAnsi="Arial"/>
                <w:b/>
                <w:bCs/>
                <w:sz w:val="22"/>
                <w:szCs w:val="22"/>
              </w:rPr>
              <w:t xml:space="preserve">Note on attorney references</w:t>
            </w:r>
          </w:p>
          <w:p>
            <w:pPr>
              <w:spacing w:after="0" w:before="0"/>
            </w:pPr>
            <w:r>
              <w:rPr>
                <w:rFonts w:ascii="Arial" w:cs="Arial" w:eastAsia="Arial" w:hAnsi="Arial"/>
                <w:sz w:val="22"/>
                <w:szCs w:val="22"/>
              </w:rPr>
              <w:t xml:space="preserve">Citing a law by name is fine. Telling a patient they have the right to appeal under ACA Section 2719 is fine. Instructing them to sue or making factual determinations about legal entitlements crosses the line and triggers this check.</w:t>
            </w:r>
          </w:p>
        </w:tc>
      </w:tr>
    </w:tbl>
    <w:p>
      <w:pPr>
        <w:spacing w:after="80" w:before="80"/>
      </w:pPr>
      <w:r>
        <w:t xml:space="preserve"/>
      </w:r>
    </w:p>
    <w:p>
      <w:pPr>
        <w:pBdr>
          <w:bottom w:val="single" w:color="BDD7EE" w:sz="4" w:space="1"/>
        </w:pBdr>
        <w:spacing w:after="120" w:before="120"/>
      </w:pPr>
      <w:r>
        <w:t xml:space="preserve"/>
      </w:r>
    </w:p>
    <w:p>
      <w:pPr>
        <w:pStyle w:val="Heading1"/>
        <w:spacing w:after="100" w:before="320"/>
      </w:pPr>
      <w:r>
        <w:rPr>
          <w:rFonts w:ascii="Arial" w:cs="Arial" w:eastAsia="Arial" w:hAnsi="Arial"/>
          <w:b/>
          <w:bCs/>
          <w:color w:val="1F4E79"/>
          <w:sz w:val="32"/>
          <w:szCs w:val="32"/>
        </w:rPr>
        <w:t xml:space="preserve">Pass / Fail Examples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30"/>
        <w:gridCol w:w="3330"/>
        <w:gridCol w:w="1600"/>
      </w:tblGrid>
      <w:t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3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PASS Example</w:t>
            </w:r>
          </w:p>
        </w:tc>
        <w:tc>
          <w:tcPr>
            <w:tcW w:type="dxa" w:w="33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 Example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On Fail</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1: Denial Code</w:t>
            </w:r>
          </w:p>
        </w:tc>
        <w:tc>
          <w:tcPr>
            <w:tcW w:type="dxa" w:w="33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"CO-4 indicates a billing error. We request reconsideration based on the contractual rate discrepancy..."</w:t>
            </w:r>
          </w:p>
        </w:tc>
        <w:tc>
          <w:tcPr>
            <w:tcW w:type="dxa" w:w="333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"The insurance company made a mistake. Please reconsider this claim."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to Kate; review letter accuracy</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2: YMYL Safety</w:t>
            </w:r>
          </w:p>
        </w:tc>
        <w:tc>
          <w:tcPr>
            <w:tcW w:type="dxa" w:w="33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"Dr. Smith determined this procedure was medically necessary. We respectfully request reconsideration."</w:t>
            </w:r>
          </w:p>
        </w:tc>
        <w:tc>
          <w:tcPr>
            <w:tcW w:type="dxa" w:w="333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"This treatment is medically necessary and your denial is incorrect."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to Kate; confirm no clinical overreach</w:t>
            </w:r>
          </w:p>
        </w:tc>
      </w:tr>
      <w:tr>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 3: Legal Framing</w:t>
            </w:r>
          </w:p>
        </w:tc>
        <w:tc>
          <w:tcPr>
            <w:tcW w:type="dxa" w:w="333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"Under ACA Section 2719, you have the right to an external review. We are requesting that review."</w:t>
            </w:r>
          </w:p>
        </w:tc>
        <w:tc>
          <w:tcPr>
            <w:tcW w:type="dxa" w:w="333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"You are legally entitled to this coverage and should take legal action if denied."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Routes to Kate; confirm no legal advice given</w:t>
            </w:r>
          </w:p>
        </w:tc>
      </w:tr>
    </w:tbl>
    <w:p>
      <w:pPr>
        <w:spacing w:after="80" w:before="80"/>
      </w:pPr>
      <w:r>
        <w:t xml:space="preserve"/>
      </w:r>
    </w:p>
    <w:p>
      <w:pPr>
        <w:pBdr>
          <w:bottom w:val="single" w:color="BDD7EE" w:sz="4" w:space="1"/>
        </w:pBdr>
        <w:spacing w:after="120" w:before="120"/>
      </w:pPr>
      <w:r>
        <w:t xml:space="preserve"/>
      </w:r>
    </w:p>
    <w:p>
      <w:pPr>
        <w:pStyle w:val="Heading1"/>
        <w:spacing w:after="100" w:before="320"/>
      </w:pPr>
      <w:r>
        <w:rPr>
          <w:rFonts w:ascii="Arial" w:cs="Arial" w:eastAsia="Arial" w:hAnsi="Arial"/>
          <w:b/>
          <w:bCs/>
          <w:color w:val="1F4E79"/>
          <w:sz w:val="32"/>
          <w:szCs w:val="32"/>
        </w:rPr>
        <w:t xml:space="preserve">Current Thresholds — Kate to Review</w:t>
      </w:r>
    </w:p>
    <w:p>
      <w:pPr>
        <w:spacing w:after="80" w:before="80"/>
      </w:pPr>
      <w:r>
        <w:rPr>
          <w:rFonts w:ascii="Arial" w:cs="Arial" w:eastAsia="Arial" w:hAnsi="Arial"/>
          <w:b w:val="false"/>
          <w:bCs w:val="false"/>
          <w:sz w:val="22"/>
          <w:szCs w:val="22"/>
        </w:rPr>
        <w:t xml:space="preserve">Review each threshold. Add notes in the right column. If a threshold needs adjustment, note your recommended change and the reason.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760"/>
        <w:gridCol w:w="36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Threshold</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Kate Notes (fill in)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Denial Code Accuracy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 — 60% keyword match required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Adjust if good denial letters are flagged</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YMYL Safety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tolerance — any match = fail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 patterns if triggering false positives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Legal Framing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 tolerance — any match = fail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Refine patterns if triggering edge cases</w:t>
            </w:r>
          </w:p>
        </w:tc>
      </w:tr>
    </w:tbl>
    <w:p>
      <w:pPr>
        <w:spacing w:after="80" w:before="80"/>
      </w:pPr>
      <w:r>
        <w:t xml:space="preserve"/>
      </w:r>
    </w:p>
    <w:p>
      <w:pPr>
        <w:pBdr>
          <w:bottom w:val="single" w:color="BDD7EE" w:sz="4" w:space="1"/>
        </w:pBdr>
        <w:spacing w:after="120" w:before="120"/>
      </w:pPr>
      <w:r>
        <w:t xml:space="preserve"/>
      </w:r>
    </w:p>
    <w:p>
      <w:pPr>
        <w:pStyle w:val="Heading1"/>
        <w:spacing w:after="100" w:before="320"/>
      </w:pPr>
      <w:r>
        <w:rPr>
          <w:rFonts w:ascii="Arial" w:cs="Arial" w:eastAsia="Arial" w:hAnsi="Arial"/>
          <w:b/>
          <w:bCs/>
          <w:color w:val="1F4E79"/>
          <w:sz w:val="32"/>
          <w:szCs w:val="32"/>
        </w:rPr>
        <w:t xml:space="preserve">Calibration Scoring Sheet</w:t>
      </w:r>
    </w:p>
    <w:p>
      <w:pPr>
        <w:spacing w:after="80" w:before="80"/>
      </w:pPr>
      <w:r>
        <w:rPr>
          <w:rFonts w:ascii="Arial" w:cs="Arial" w:eastAsia="Arial" w:hAnsi="Arial"/>
          <w:b w:val="false"/>
          <w:bCs w:val="false"/>
          <w:sz w:val="22"/>
          <w:szCs w:val="22"/>
        </w:rPr>
        <w:t xml:space="preserve">Run 10 sample letters through the evaluator. Record results below. Goal: false positive rate under 10% (max 1 in 10 good letters incorrectly flagged).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400"/>
        <w:gridCol w:w="2400"/>
        <w:gridCol w:w="144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Letter #</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Letter Type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LQE Overall Result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Reason (if fail)</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False Positive?</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Letter 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r>
    </w:tbl>
    <w:p>
      <w:pPr>
        <w:spacing w:after="80" w:before="80"/>
      </w:pPr>
      <w:r>
        <w:t xml:space="preserve"/>
      </w:r>
    </w:p>
    <w:p>
      <w:pPr>
        <w:spacing w:after="80" w:before="80"/>
      </w:pPr>
      <w:r>
        <w:rPr>
          <w:rFonts w:ascii="Arial" w:cs="Arial" w:eastAsia="Arial" w:hAnsi="Arial"/>
          <w:b w:val="false"/>
          <w:bCs w:val="false"/>
          <w:sz w:val="22"/>
          <w:szCs w:val="22"/>
        </w:rPr>
        <w:t xml:space="preserve">False positive count (good letters incorrectly flagged): _______</w:t>
      </w:r>
    </w:p>
    <w:p>
      <w:pPr>
        <w:spacing w:after="80" w:before="80"/>
      </w:pPr>
      <w:r>
        <w:rPr>
          <w:rFonts w:ascii="Arial" w:cs="Arial" w:eastAsia="Arial" w:hAnsi="Arial"/>
          <w:b w:val="false"/>
          <w:bCs w:val="false"/>
          <w:sz w:val="22"/>
          <w:szCs w:val="22"/>
        </w:rPr>
        <w:t xml:space="preserve">False negative count (unsafe letters that passed): _______</w:t>
      </w:r>
    </w:p>
    <w:p>
      <w:pPr>
        <w:spacing w:after="80" w:before="80"/>
      </w:pPr>
      <w:r>
        <w:t xml:space="preserve"/>
      </w:r>
    </w:p>
    <w:p>
      <w:pPr>
        <w:pBdr>
          <w:bottom w:val="single" w:color="BDD7EE" w:sz="4" w:space="1"/>
        </w:pBdr>
        <w:spacing w:after="120" w:before="120"/>
      </w:pPr>
      <w:r>
        <w:t xml:space="preserve"/>
      </w:r>
    </w:p>
    <w:p>
      <w:pPr>
        <w:pStyle w:val="Heading1"/>
        <w:spacing w:after="100" w:before="320"/>
      </w:pPr>
      <w:r>
        <w:rPr>
          <w:rFonts w:ascii="Arial" w:cs="Arial" w:eastAsia="Arial" w:hAnsi="Arial"/>
          <w:b/>
          <w:bCs/>
          <w:color w:val="1F4E79"/>
          <w:sz w:val="32"/>
          <w:szCs w:val="32"/>
        </w:rPr>
        <w:t xml:space="preserve">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spacing w:after="40" w:before="0"/>
            </w:pPr>
            <w:r>
              <w:rPr>
                <w:rFonts w:ascii="Arial" w:cs="Arial" w:eastAsia="Arial" w:hAnsi="Arial"/>
                <w:b/>
                <w:bCs/>
                <w:sz w:val="22"/>
                <w:szCs w:val="22"/>
              </w:rPr>
              <w:t xml:space="preserve">Calibration decision</w:t>
            </w:r>
          </w:p>
          <w:p>
            <w:pPr>
              <w:spacing w:after="0" w:before="0"/>
            </w:pPr>
            <w:r>
              <w:rPr>
                <w:rFonts w:ascii="Arial" w:cs="Arial" w:eastAsia="Arial" w:hAnsi="Arial"/>
                <w:sz w:val="22"/>
                <w:szCs w:val="22"/>
              </w:rPr>
              <w:t xml:space="preserve">After reviewing the sample set, Kate signs off that thresholds are appropriate OR specifies adjustments needed before LQE gates user-facing letter delivery.</w:t>
            </w:r>
          </w:p>
        </w:tc>
      </w:tr>
    </w:tbl>
    <w:p>
      <w:pPr>
        <w:spacing w:after="80" w:before="80"/>
      </w:pPr>
      <w:r>
        <w:t xml:space="preserve"/>
      </w:r>
    </w:p>
    <w:p>
      <w:pPr>
        <w:spacing w:after="80" w:before="80"/>
      </w:pPr>
      <w:r>
        <w:rPr>
          <w:rFonts w:ascii="Arial" w:cs="Arial" w:eastAsia="Arial" w:hAnsi="Arial"/>
          <w:b w:val="false"/>
          <w:bCs w:val="false"/>
          <w:sz w:val="22"/>
          <w:szCs w:val="22"/>
        </w:rPr>
        <w:t xml:space="preserve">[ ]  Thresholds approved as-is — LQE ready for production gate</w:t>
      </w:r>
    </w:p>
    <w:p>
      <w:pPr>
        <w:spacing w:after="80" w:before="80"/>
      </w:pPr>
      <w:r>
        <w:rPr>
          <w:rFonts w:ascii="Arial" w:cs="Arial" w:eastAsia="Arial" w:hAnsi="Arial"/>
          <w:b w:val="false"/>
          <w:bCs w:val="false"/>
          <w:sz w:val="22"/>
          <w:szCs w:val="22"/>
        </w:rPr>
        <w:t xml:space="preserve">[ ]  Adjustments required — see notes below before enabling</w:t>
      </w:r>
    </w:p>
    <w:p>
      <w:pPr>
        <w:spacing w:after="80" w:before="80"/>
      </w:pPr>
      <w:r>
        <w:t xml:space="preserve"/>
      </w:r>
    </w:p>
    <w:p>
      <w:pPr>
        <w:spacing w:after="80" w:before="80"/>
      </w:pPr>
      <w:r>
        <w:rPr>
          <w:rFonts w:ascii="Arial" w:cs="Arial" w:eastAsia="Arial" w:hAnsi="Arial"/>
          <w:b w:val="false"/>
          <w:bCs w:val="false"/>
          <w:sz w:val="22"/>
          <w:szCs w:val="22"/>
        </w:rPr>
        <w:t xml:space="preserve">Kate notes:</w:t>
      </w:r>
    </w:p>
    <w:p>
      <w:pPr>
        <w:spacing w:after="80" w:before="80"/>
      </w:pPr>
      <w:r>
        <w:t xml:space="preserve"/>
      </w:r>
    </w:p>
    <w:p>
      <w:pPr>
        <w:spacing w:after="80" w:before="80"/>
      </w:pPr>
      <w:r>
        <w:rPr>
          <w:rFonts w:ascii="Arial" w:cs="Arial" w:eastAsia="Arial" w:hAnsi="Arial"/>
          <w:b w:val="false"/>
          <w:bCs w:val="false"/>
          <w:sz w:val="22"/>
          <w:szCs w:val="22"/>
        </w:rPr>
        <w:t xml:space="preserve">_____________________________________________________________</w:t>
      </w:r>
    </w:p>
    <w:p>
      <w:pPr>
        <w:spacing w:after="80" w:before="80"/>
      </w:pPr>
      <w:r>
        <w:rPr>
          <w:rFonts w:ascii="Arial" w:cs="Arial" w:eastAsia="Arial" w:hAnsi="Arial"/>
          <w:b w:val="false"/>
          <w:bCs w:val="false"/>
          <w:sz w:val="22"/>
          <w:szCs w:val="22"/>
        </w:rPr>
        <w:t xml:space="preserve">_____________________________________________________________</w:t>
      </w:r>
    </w:p>
    <w:p>
      <w:pPr>
        <w:spacing w:after="80" w:before="80"/>
      </w:pPr>
      <w:r>
        <w:rPr>
          <w:rFonts w:ascii="Arial" w:cs="Arial" w:eastAsia="Arial" w:hAnsi="Arial"/>
          <w:b w:val="false"/>
          <w:bCs w:val="false"/>
          <w:sz w:val="22"/>
          <w:szCs w:val="22"/>
        </w:rPr>
        <w:t xml:space="preserve">_____________________________________________________________</w:t>
      </w:r>
    </w:p>
    <w:p>
      <w:pPr>
        <w:spacing w:after="80" w:before="80"/>
      </w:pPr>
      <w:r>
        <w:t xml:space="preserve"/>
      </w:r>
    </w:p>
    <w:p>
      <w:pPr>
        <w:spacing w:after="40" w:before="120"/>
      </w:pPr>
      <w:r>
        <w:rPr>
          <w:rFonts w:ascii="Arial" w:cs="Arial" w:eastAsia="Arial" w:hAnsi="Arial"/>
          <w:b/>
          <w:bCs/>
          <w:sz w:val="22"/>
          <w:szCs w:val="22"/>
        </w:rPr>
        <w:t xml:space="preserve">Reviewed by: </w:t>
      </w:r>
      <w:r>
        <w:rPr>
          <w:rFonts w:ascii="Arial" w:cs="Arial" w:eastAsia="Arial" w:hAnsi="Arial"/>
          <w:sz w:val="22"/>
          <w:szCs w:val="22"/>
        </w:rPr>
        <w:t xml:space="preserve">________________________________  Date: 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space="4"/>
      </w:pBdr>
      <w:jc w:val="center"/>
    </w:pPr>
    <w:r>
      <w:rPr>
        <w:rFonts w:ascii="Arial" w:cs="Arial" w:eastAsia="Arial" w:hAnsi="Arial"/>
        <w:color w:val="595959"/>
        <w:sz w:val="18"/>
        <w:szCs w:val="18"/>
      </w:rPr>
      <w:t xml:space="preserve">MyAdvocate Clinical Review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MA-AUT-006 §G1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space="4"/>
      </w:pBdr>
    </w:pPr>
    <w:r>
      <w:rPr>
        <w:rFonts w:ascii="Arial" w:cs="Arial" w:eastAsia="Arial" w:hAnsi="Arial"/>
        <w:color w:val="595959"/>
        <w:sz w:val="18"/>
        <w:szCs w:val="18"/>
      </w:rPr>
      <w:t xml:space="preserve">MyAdvocate  |  LQE Calibration Guide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2026-03-19T04:08:37.637Z</dcterms:created>
  <dcterms:modified xsi:type="dcterms:W3CDTF">2026-03-19T04:08:37.638Z</dcterms:modified>
</cp:coreProperties>
</file>

<file path=docProps/custom.xml><?xml version="1.0" encoding="utf-8"?>
<Properties xmlns="http://schemas.openxmlformats.org/officeDocument/2006/custom-properties" xmlns:vt="http://schemas.openxmlformats.org/officeDocument/2006/docPropsVTypes"/>
</file>