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left"/>
      </w:pPr>
      <w:r>
        <w:rPr>
          <w:rFonts w:ascii="Arial" w:cs="Arial" w:eastAsia="Arial" w:hAnsi="Arial"/>
          <w:b/>
          <w:bCs/>
          <w:color w:val="1B3A6B"/>
          <w:sz w:val="48"/>
          <w:szCs w:val="48"/>
        </w:rPr>
        <w:t xml:space="preserve">MA-CTX-001</w:t>
      </w:r>
    </w:p>
    <w:p>
      <w:pPr>
        <w:spacing w:before="0" w:after="80"/>
      </w:pPr>
      <w:r>
        <w:rPr>
          <w:rFonts w:ascii="Arial" w:cs="Arial" w:eastAsia="Arial" w:hAnsi="Arial"/>
          <w:b/>
          <w:bCs/>
          <w:color w:val="0E6B72"/>
          <w:sz w:val="36"/>
          <w:szCs w:val="36"/>
        </w:rPr>
        <w:t xml:space="preserve">Context Registry Specification</w:t>
      </w:r>
    </w:p>
    <w:p>
      <w:pPr>
        <w:spacing w:before="0" w:after="240"/>
      </w:pPr>
      <w:r>
        <w:rPr>
          <w:rFonts w:ascii="Arial" w:cs="Arial" w:eastAsia="Arial" w:hAnsi="Arial"/>
          <w:i/>
          <w:iCs/>
          <w:color w:val="000000"/>
          <w:sz w:val="22"/>
          <w:szCs w:val="22"/>
        </w:rPr>
        <w:t xml:space="preserve">MyAdvocate Canonical Document System</w:t>
      </w:r>
    </w:p>
    <w:p>
      <w:pPr>
        <w:pBdr>
          <w:bottom w:val="single" w:color="0E6B72" w:sz="4" w:space="1"/>
        </w:pBdr>
        <w:spacing w:before="120" w:after="120"/>
      </w:pPr>
    </w:p>
    <w:p>
      <w:pPr>
        <w:spacing w:before="40" w:after="40"/>
      </w:pPr>
    </w:p>
    <w:p>
      <w:pPr>
        <w:pStyle w:val="Heading2"/>
        <w:spacing w:before="240" w:after="120"/>
      </w:pPr>
      <w:r>
        <w:rPr>
          <w:rFonts w:ascii="Arial" w:cs="Arial" w:eastAsia="Arial" w:hAnsi="Arial"/>
          <w:b/>
          <w:bCs/>
          <w:color w:val="0E6B72"/>
          <w:sz w:val="26"/>
          <w:szCs w:val="26"/>
        </w:rPr>
        <w:t xml:space="preserve">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18"/>
                <w:szCs w:val="18"/>
              </w:rPr>
              <w:t xml:space="preserve">Permanent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MA-CTX-001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Family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MA-CTX (Context Registry)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18"/>
                <w:szCs w:val="18"/>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Canonical — Primary Anchor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Authority 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Primary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18"/>
                <w:szCs w:val="18"/>
              </w:rPr>
              <w:t xml:space="preserve">Canonical 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Supporting (beneath MA-DAT-001)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Key Use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Defines the context registry layer: structured JSON registries that agents read and write, bridging narrative docs and production database objects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18"/>
                <w:szCs w:val="18"/>
              </w:rPr>
              <w:t xml:space="preserve">Related IDs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MA-DAT-001 (Data Model), MA-ARC-001 (Architecture), MA-LCH-004 (Launch Truth), MA-SEC-001 (Security), MA-DEV-001 (Claude Code Workflow)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Document 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Canonical — ACTIVE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18"/>
                <w:szCs w:val="18"/>
              </w:rPr>
              <w:t xml:space="preserve">Last Updated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March 2026 — Stabilization Phase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Next Review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2 kickoff, or upon Signal 1 traffic threshold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18"/>
                <w:szCs w:val="18"/>
              </w:rPr>
              <w:t xml:space="preserve">Authority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Derived from MA-ARC-001 knowledge graph doctrine + MA-DAT-001 data model; formalized as MA-CTX-001 during context graph integration review</w:t>
            </w:r>
          </w:p>
        </w:tc>
      </w:tr>
    </w:tbl>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1. Purpose</w:t>
      </w:r>
    </w:p>
    <w:p>
      <w:pPr>
        <w:spacing w:before="60" w:after="60"/>
      </w:pPr>
      <w:r>
        <w:rPr>
          <w:rFonts w:ascii="Arial" w:cs="Arial" w:eastAsia="Arial" w:hAnsi="Arial"/>
          <w:sz w:val="20"/>
          <w:szCs w:val="20"/>
        </w:rPr>
        <w:t xml:space="preserve">MA-CTX-001 defines the Context Registry layer for MyAdvocate — a structured set of JSON registries that serve as the operational memory of the business, readable and writable by both humans and automation agents. This document establishes the registry inventory, shared schema envelope, naming conventions, write-permission model, and the single governing doctrine that distinguishes narrative documents from structured truth.</w:t>
      </w:r>
    </w:p>
    <w:p>
      <w:pPr>
        <w:spacing w:before="40" w:after="40"/>
      </w:pPr>
    </w:p>
    <w:p>
      <w:pPr>
        <w:spacing w:before="60" w:after="60"/>
      </w:pPr>
      <w:r>
        <w:rPr>
          <w:rFonts w:ascii="Arial" w:cs="Arial" w:eastAsia="Arial" w:hAnsi="Arial"/>
          <w:b/>
          <w:bCs/>
          <w:sz w:val="20"/>
          <w:szCs w:val="20"/>
        </w:rPr>
        <w:t xml:space="preserve">Use this document when: </w:t>
      </w:r>
    </w:p>
    <w:p>
      <w:pPr>
        <w:pStyle w:val="ListParagraph"/>
        <w:numPr>
          <w:ilvl w:val="0"/>
          <w:numId w:val="2"/>
        </w:numPr>
        <w:spacing w:before="40" w:after="40"/>
      </w:pPr>
      <w:r>
        <w:rPr>
          <w:rFonts w:ascii="Arial" w:cs="Arial" w:eastAsia="Arial" w:hAnsi="Arial"/>
          <w:b w:val="false"/>
          <w:bCs w:val="false"/>
          <w:sz w:val="20"/>
          <w:szCs w:val="20"/>
        </w:rPr>
        <w:t xml:space="preserve">Scaffolding Phase 1 build outputs alongside MVP objects</w:t>
      </w:r>
    </w:p>
    <w:p>
      <w:pPr>
        <w:pStyle w:val="ListParagraph"/>
        <w:numPr>
          <w:ilvl w:val="0"/>
          <w:numId w:val="2"/>
        </w:numPr>
        <w:spacing w:before="40" w:after="40"/>
      </w:pPr>
      <w:r>
        <w:rPr>
          <w:rFonts w:ascii="Arial" w:cs="Arial" w:eastAsia="Arial" w:hAnsi="Arial"/>
          <w:b w:val="false"/>
          <w:bCs w:val="false"/>
          <w:sz w:val="20"/>
          <w:szCs w:val="20"/>
        </w:rPr>
        <w:t xml:space="preserve">Configuring automation agents (Board of Agents) to read or write structured context</w:t>
      </w:r>
    </w:p>
    <w:p>
      <w:pPr>
        <w:pStyle w:val="ListParagraph"/>
        <w:numPr>
          <w:ilvl w:val="0"/>
          <w:numId w:val="2"/>
        </w:numPr>
        <w:spacing w:before="40" w:after="40"/>
      </w:pPr>
      <w:r>
        <w:rPr>
          <w:rFonts w:ascii="Arial" w:cs="Arial" w:eastAsia="Arial" w:hAnsi="Arial"/>
          <w:b w:val="false"/>
          <w:bCs w:val="false"/>
          <w:sz w:val="20"/>
          <w:szCs w:val="20"/>
        </w:rPr>
        <w:t xml:space="preserve">Adding new denial codes, SEO clusters, or appeal strategies to the live system</w:t>
      </w:r>
    </w:p>
    <w:p>
      <w:pPr>
        <w:pStyle w:val="ListParagraph"/>
        <w:numPr>
          <w:ilvl w:val="0"/>
          <w:numId w:val="2"/>
        </w:numPr>
        <w:spacing w:before="40" w:after="40"/>
      </w:pPr>
      <w:r>
        <w:rPr>
          <w:rFonts w:ascii="Arial" w:cs="Arial" w:eastAsia="Arial" w:hAnsi="Arial"/>
          <w:b w:val="false"/>
          <w:bCs w:val="false"/>
          <w:sz w:val="20"/>
          <w:szCs w:val="20"/>
        </w:rPr>
        <w:t xml:space="preserve">Determining which registry a new entity type belongs in</w:t>
      </w:r>
    </w:p>
    <w:p>
      <w:pPr>
        <w:pStyle w:val="ListParagraph"/>
        <w:numPr>
          <w:ilvl w:val="0"/>
          <w:numId w:val="2"/>
        </w:numPr>
        <w:spacing w:before="40" w:after="40"/>
      </w:pPr>
      <w:r>
        <w:rPr>
          <w:rFonts w:ascii="Arial" w:cs="Arial" w:eastAsia="Arial" w:hAnsi="Arial"/>
          <w:b w:val="false"/>
          <w:bCs w:val="false"/>
          <w:sz w:val="20"/>
          <w:szCs w:val="20"/>
        </w:rPr>
        <w:t xml:space="preserve">Checking write-permission boundaries before an agent modifies a registry</w:t>
      </w:r>
    </w:p>
    <w:p>
      <w:pPr>
        <w:spacing w:before="40" w:after="40"/>
      </w:pPr>
    </w:p>
    <w:p>
      <w:pPr>
        <w:pBdr>
          <w:left w:val="single" w:color="C07A00" w:sz="6" w:space="8"/>
        </w:pBdr>
        <w:spacing w:before="80" w:after="80"/>
        <w:ind w:left="300"/>
      </w:pPr>
      <w:r>
        <w:rPr>
          <w:rFonts w:ascii="Arial" w:cs="Arial" w:eastAsia="Arial" w:hAnsi="Arial"/>
          <w:b/>
          <w:bCs/>
          <w:color w:val="C07A00"/>
          <w:sz w:val="20"/>
          <w:szCs w:val="20"/>
        </w:rPr>
        <w:t xml:space="preserve">Authority Note: </w:t>
      </w:r>
      <w:r>
        <w:rPr>
          <w:rFonts w:ascii="Arial" w:cs="Arial" w:eastAsia="Arial" w:hAnsi="Arial"/>
          <w:sz w:val="20"/>
          <w:szCs w:val="20"/>
        </w:rPr>
        <w:t xml:space="preserve">MA-CTX-001 sits beneath MA-DAT-001 in the authority hierarchy. Where object definitions conflict, MA-DAT-001 wins. MA-CTX-001 governs the context registry layer only — it does not redefine core MVP objects.</w:t>
      </w:r>
    </w:p>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2. Governing Doctrine</w:t>
      </w:r>
    </w:p>
    <w:p>
      <w:pPr>
        <w:spacing w:before="60" w:after="60"/>
      </w:pPr>
      <w:r>
        <w:rPr>
          <w:rFonts w:ascii="Arial" w:cs="Arial" w:eastAsia="Arial" w:hAnsi="Arial"/>
          <w:sz w:val="20"/>
          <w:szCs w:val="20"/>
        </w:rPr>
        <w:t xml:space="preserve">One rule governs the entire context registry system:</w:t>
      </w:r>
    </w:p>
    <w:p>
      <w:pPr>
        <w:spacing w:before="40" w:after="40"/>
      </w:pPr>
    </w:p>
    <w:p>
      <w:pPr>
        <w:pBdr>
          <w:top w:val="single" w:color="1B3A6B" w:sz="4"/>
          <w:bottom w:val="single" w:color="1B3A6B" w:sz="4"/>
        </w:pBdr>
        <w:shd w:fill="D5E8F0" w:val="clear"/>
        <w:spacing w:before="120" w:after="120"/>
        <w:jc w:val="center"/>
      </w:pPr>
      <w:r>
        <w:rPr>
          <w:rFonts w:ascii="Arial" w:cs="Arial" w:eastAsia="Arial" w:hAnsi="Arial"/>
          <w:b/>
          <w:bCs/>
          <w:color w:val="1B3A6B"/>
          <w:sz w:val="24"/>
          <w:szCs w:val="24"/>
        </w:rPr>
        <w:t xml:space="preserve">Narrative lives in files.  Structured truth lives in registries.</w:t>
      </w:r>
    </w:p>
    <w:p>
      <w:pPr>
        <w:spacing w:before="40" w:after="40"/>
      </w:pPr>
    </w:p>
    <w:p>
      <w:pPr>
        <w:spacing w:before="60" w:after="60"/>
      </w:pPr>
      <w:r>
        <w:rPr>
          <w:rFonts w:ascii="Arial" w:cs="Arial" w:eastAsia="Arial" w:hAnsi="Arial"/>
          <w:sz w:val="20"/>
          <w:szCs w:val="20"/>
        </w:rPr>
        <w:t xml:space="preserve">This doctrine has precise operational meaning:</w:t>
      </w:r>
    </w:p>
    <w:p>
      <w:pPr>
        <w:pStyle w:val="ListParagraph"/>
        <w:numPr>
          <w:ilvl w:val="0"/>
          <w:numId w:val="2"/>
        </w:numPr>
        <w:spacing w:before="40" w:after="40"/>
      </w:pPr>
      <w:r>
        <w:rPr>
          <w:rFonts w:ascii="Arial" w:cs="Arial" w:eastAsia="Arial" w:hAnsi="Arial"/>
          <w:b w:val="false"/>
          <w:bCs w:val="false"/>
          <w:sz w:val="20"/>
          <w:szCs w:val="20"/>
        </w:rPr>
        <w:t xml:space="preserve">Planning documents, SOPs, strategy, and architecture live in .docx and .md files — they are human-readable narrative.</w:t>
      </w:r>
    </w:p>
    <w:p>
      <w:pPr>
        <w:pStyle w:val="ListParagraph"/>
        <w:numPr>
          <w:ilvl w:val="0"/>
          <w:numId w:val="2"/>
        </w:numPr>
        <w:spacing w:before="40" w:after="40"/>
      </w:pPr>
      <w:r>
        <w:rPr>
          <w:rFonts w:ascii="Arial" w:cs="Arial" w:eastAsia="Arial" w:hAnsi="Arial"/>
          <w:b w:val="false"/>
          <w:bCs w:val="false"/>
          <w:sz w:val="20"/>
          <w:szCs w:val="20"/>
        </w:rPr>
        <w:t xml:space="preserve">Denial codes, appeal strategies, SEO clusters, regulations, decisions, and content pages live in JSON registries — they are machine-queryable structured truth.</w:t>
      </w:r>
    </w:p>
    <w:p>
      <w:pPr>
        <w:pStyle w:val="ListParagraph"/>
        <w:numPr>
          <w:ilvl w:val="0"/>
          <w:numId w:val="2"/>
        </w:numPr>
        <w:spacing w:before="40" w:after="40"/>
      </w:pPr>
      <w:r>
        <w:rPr>
          <w:rFonts w:ascii="Arial" w:cs="Arial" w:eastAsia="Arial" w:hAnsi="Arial"/>
          <w:b w:val="false"/>
          <w:bCs w:val="false"/>
          <w:sz w:val="20"/>
          <w:szCs w:val="20"/>
        </w:rPr>
        <w:t xml:space="preserve">Agents do not write to narrative files. Agents write to registries.</w:t>
      </w:r>
    </w:p>
    <w:p>
      <w:pPr>
        <w:pStyle w:val="ListParagraph"/>
        <w:numPr>
          <w:ilvl w:val="0"/>
          <w:numId w:val="2"/>
        </w:numPr>
        <w:spacing w:before="40" w:after="40"/>
      </w:pPr>
      <w:r>
        <w:rPr>
          <w:rFonts w:ascii="Arial" w:cs="Arial" w:eastAsia="Arial" w:hAnsi="Arial"/>
          <w:b w:val="false"/>
          <w:bCs w:val="false"/>
          <w:sz w:val="20"/>
          <w:szCs w:val="20"/>
        </w:rPr>
        <w:t xml:space="preserve">Registries are not duplicates of narrative files. They are structured extractions of the facts those files contain.</w:t>
      </w:r>
    </w:p>
    <w:p>
      <w:pPr>
        <w:pStyle w:val="ListParagraph"/>
        <w:numPr>
          <w:ilvl w:val="0"/>
          <w:numId w:val="2"/>
        </w:numPr>
        <w:spacing w:before="40" w:after="40"/>
      </w:pPr>
      <w:r>
        <w:rPr>
          <w:rFonts w:ascii="Arial" w:cs="Arial" w:eastAsia="Arial" w:hAnsi="Arial"/>
          <w:b w:val="false"/>
          <w:bCs w:val="false"/>
          <w:sz w:val="20"/>
          <w:szCs w:val="20"/>
        </w:rPr>
        <w:t xml:space="preserve">When a narrative file changes, the affected registry records must be updated. The Provenance Agent is responsible for tracking this dependency.</w:t>
      </w:r>
    </w:p>
    <w:p>
      <w:pPr>
        <w:spacing w:before="40" w:after="40"/>
      </w:pPr>
    </w:p>
    <w:p>
      <w:pPr>
        <w:pBdr>
          <w:left w:val="single" w:color="0E6B72" w:sz="6" w:space="8"/>
        </w:pBdr>
        <w:spacing w:before="80" w:after="80"/>
        <w:ind w:left="300"/>
      </w:pPr>
      <w:r>
        <w:rPr>
          <w:rFonts w:ascii="Arial" w:cs="Arial" w:eastAsia="Arial" w:hAnsi="Arial"/>
          <w:b/>
          <w:bCs/>
          <w:color w:val="0E6B72"/>
          <w:sz w:val="20"/>
          <w:szCs w:val="20"/>
        </w:rPr>
        <w:t xml:space="preserve">Scope Gate: </w:t>
      </w:r>
      <w:r>
        <w:rPr>
          <w:rFonts w:ascii="Arial" w:cs="Arial" w:eastAsia="Arial" w:hAnsi="Arial"/>
          <w:sz w:val="20"/>
          <w:szCs w:val="20"/>
        </w:rPr>
        <w:t xml:space="preserve">The context registry is a Phase 1 build output — lightweight JSON files, not a database. Migration to SQLite and then Supabase/Postgres occurs as the system matures. Do not build database infrastructure for these registries in Phase 1.</w:t>
      </w:r>
    </w:p>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3. Registry Inventory</w:t>
      </w:r>
    </w:p>
    <w:p>
      <w:pPr>
        <w:spacing w:before="60" w:after="60"/>
      </w:pPr>
      <w:r>
        <w:rPr>
          <w:rFonts w:ascii="Arial" w:cs="Arial" w:eastAsia="Arial" w:hAnsi="Arial"/>
          <w:sz w:val="20"/>
          <w:szCs w:val="20"/>
        </w:rPr>
        <w:t xml:space="preserve">The Phase 1 context registry consists of eight required registries and one optional registry activated at Phase 2. All registries reside in a /context_registry folder at the project root.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900"/>
        <w:gridCol w:w="43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Registry File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 Prefix</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sources.json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src_</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Intake registry for all source documents, files, and external references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decisions.json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dec_</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Structured log of strategic and operational decisions with rationale and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denial_codes.json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den_</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Structured denial code entities — the core intelligence asset of the business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appeal_strategies.json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str_</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Reusable appeal strategies linked to denial codes, evidence, and required documents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regulations.json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reg_</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Regulatory and policy sources that affect guidance, appeals, and content freshness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seo_clusters.json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cluster_</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SEO cluster definitions linking pillars, support pages, denial codes, and strategies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content_pages.json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page_</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Structured record of every content page in the system with cluster and object linkage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review_queue.json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rev_</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Items requiring human review, factual verification, or founder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conflicts.json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conf_</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Contradictions and unresolved truth conflicts detected by the QC Agent</w:t>
            </w:r>
          </w:p>
        </w:tc>
      </w:tr>
    </w:tbl>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4. Shared Envelope Schema</w:t>
      </w:r>
    </w:p>
    <w:p>
      <w:pPr>
        <w:spacing w:before="60" w:after="60"/>
      </w:pPr>
      <w:r>
        <w:rPr>
          <w:rFonts w:ascii="Arial" w:cs="Arial" w:eastAsia="Arial" w:hAnsi="Arial"/>
          <w:sz w:val="20"/>
          <w:szCs w:val="20"/>
        </w:rPr>
        <w:t xml:space="preserve">Every record in every registry uses a shared envelope. This ensures consistent querying, agent compatibility, and audit traceability across all registries.</w:t>
      </w:r>
    </w:p>
    <w:p>
      <w:pPr>
        <w:spacing w:before="40" w:after="40"/>
      </w:pPr>
    </w:p>
    <w:p>
      <w:pPr>
        <w:spacing w:before="120" w:after="60"/>
      </w:pPr>
      <w:r>
        <w:rPr>
          <w:rFonts w:ascii="Arial" w:cs="Arial" w:eastAsia="Arial" w:hAnsi="Arial"/>
          <w:b/>
          <w:bCs/>
          <w:color w:val="0E6B72"/>
          <w:sz w:val="20"/>
          <w:szCs w:val="20"/>
        </w:rPr>
        <w:t xml:space="preserve">Shared Envelope Fields (Required on All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96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Stable, unique identifier using prefix format (e.g., den_0001). Never reused after deletion.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Object lifecycle state. See Section 5 for valid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ISO-8601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 of record creation.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updated_at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ISO-8601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Timestamp of last material update.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or agent name that last materially updated this record.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source_ids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Array of src_ IDs pointing to origin material. Never empty for extracted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0.0–1.0. Required for all AI-extracted records. Human-created records default to 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Optional free text. Use sparingly — structured fields are preferred over notes.</w:t>
            </w:r>
          </w:p>
        </w:tc>
      </w:tr>
    </w:tbl>
    <w:p>
      <w:pPr>
        <w:spacing w:before="40" w:after="40"/>
      </w:pPr>
    </w:p>
    <w:p>
      <w:pPr>
        <w:pBdr>
          <w:left w:val="single" w:color="B53030" w:sz="6" w:space="8"/>
        </w:pBdr>
        <w:spacing w:before="80" w:after="80"/>
        <w:ind w:left="300"/>
      </w:pPr>
      <w:r>
        <w:rPr>
          <w:rFonts w:ascii="Arial" w:cs="Arial" w:eastAsia="Arial" w:hAnsi="Arial"/>
          <w:b/>
          <w:bCs/>
          <w:color w:val="B53030"/>
          <w:sz w:val="20"/>
          <w:szCs w:val="20"/>
        </w:rPr>
        <w:t xml:space="preserve">Hard Rule: </w:t>
      </w:r>
      <w:r>
        <w:rPr>
          <w:rFonts w:ascii="Arial" w:cs="Arial" w:eastAsia="Arial" w:hAnsi="Arial"/>
          <w:sz w:val="20"/>
          <w:szCs w:val="20"/>
        </w:rPr>
        <w:t xml:space="preserve">No important page, strategy, denial code, or claim may exist in a registry without a populated source_ids array. Orphaned records without source linkage are invalid.</w:t>
      </w:r>
    </w:p>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5. Status Vocabulary</w:t>
      </w:r>
    </w:p>
    <w:p>
      <w:pPr>
        <w:spacing w:before="60" w:after="60"/>
      </w:pPr>
      <w:r>
        <w:rPr>
          <w:rFonts w:ascii="Arial" w:cs="Arial" w:eastAsia="Arial" w:hAnsi="Arial"/>
          <w:sz w:val="20"/>
          <w:szCs w:val="20"/>
        </w:rPr>
        <w:t xml:space="preserve">All registries use the same status vocabulary. Consistency here is mandatory — agents use status values to filter and route work.</w:t>
      </w:r>
    </w:p>
    <w:p>
      <w:pPr>
        <w:spacing w:before="40" w:after="40"/>
      </w:pPr>
    </w:p>
    <w:p>
      <w:pPr>
        <w:pStyle w:val="Heading3"/>
        <w:spacing w:before="180" w:after="80"/>
      </w:pPr>
      <w:r>
        <w:rPr>
          <w:rFonts w:ascii="Arial" w:cs="Arial" w:eastAsia="Arial" w:hAnsi="Arial"/>
          <w:b/>
          <w:bCs/>
          <w:color w:val="000000"/>
          <w:sz w:val="22"/>
          <w:szCs w:val="22"/>
        </w:rPr>
        <w:t xml:space="preserve">Object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2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Who Sets 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draft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Record created but not yet validated or activated.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 agent or founder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active</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Validated and in operational use.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Founder or orchestration agent after review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needs_review</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Flagged for human review due to change, conflict, or low confidence.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QC Agent or dependency agent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superseded</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Replaced by a newer record. Historical reference only.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Orchestration agent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archived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Retired. No longer in use. Not deleted.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Founder</w:t>
            </w:r>
          </w:p>
        </w:tc>
      </w:tr>
    </w:tbl>
    <w:p>
      <w:pPr>
        <w:spacing w:before="40" w:after="40"/>
      </w:pPr>
    </w:p>
    <w:p>
      <w:pPr>
        <w:pStyle w:val="Heading3"/>
        <w:spacing w:before="180" w:after="80"/>
      </w:pPr>
      <w:r>
        <w:rPr>
          <w:rFonts w:ascii="Arial" w:cs="Arial" w:eastAsia="Arial" w:hAnsi="Arial"/>
          <w:b/>
          <w:bCs/>
          <w:color w:val="000000"/>
          <w:sz w:val="22"/>
          <w:szCs w:val="22"/>
        </w:rPr>
        <w:t xml:space="preserve">Review Queue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Awaiting review. Default state when a review item is created.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in_review</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Actively being reviewed by assigned owner.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Cannot proceed — depends on external resolution.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resolved</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 complete. Action taken or decision recorded.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dismissed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Review item closed without action. Reason required in notes.</w:t>
            </w:r>
          </w:p>
        </w:tc>
      </w:tr>
    </w:tbl>
    <w:p>
      <w:pPr>
        <w:spacing w:before="40" w:after="40"/>
      </w:pPr>
    </w:p>
    <w:p>
      <w:pPr>
        <w:pStyle w:val="Heading3"/>
        <w:spacing w:before="180" w:after="80"/>
      </w:pPr>
      <w:r>
        <w:rPr>
          <w:rFonts w:ascii="Arial" w:cs="Arial" w:eastAsia="Arial" w:hAnsi="Arial"/>
          <w:b/>
          <w:bCs/>
          <w:color w:val="000000"/>
          <w:sz w:val="22"/>
          <w:szCs w:val="22"/>
        </w:rPr>
        <w:t xml:space="preserve">Publish Lifecycle (content_pages.json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not_published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Draft not yet published to the live site.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scheduled</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Approved and queued for publication.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published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Live on the site.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updated</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Published and subsequently revised.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retired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Removed from the live site. Record retained.</w:t>
            </w:r>
          </w:p>
        </w:tc>
      </w:tr>
    </w:tbl>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6. Naming Conventions</w:t>
      </w:r>
    </w:p>
    <w:p>
      <w:pPr>
        <w:spacing w:before="60" w:after="60"/>
      </w:pPr>
      <w:r>
        <w:rPr>
          <w:rFonts w:ascii="Arial" w:cs="Arial" w:eastAsia="Arial" w:hAnsi="Arial"/>
          <w:sz w:val="20"/>
          <w:szCs w:val="20"/>
        </w:rPr>
        <w:t xml:space="preserve">IDs must be machine-friendly, stable, and never reused. Prefixes identify the registry type. Sequential integers pad to four digits.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49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Registry</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Prefix</w:t>
            </w:r>
          </w:p>
        </w:tc>
        <w:tc>
          <w:tcPr>
            <w:tcW w:type="dxa" w:w="1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Example ID</w:t>
            </w:r>
          </w:p>
        </w:tc>
        <w:tc>
          <w:tcPr>
            <w:tcW w:type="dxa" w:w="4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sources.json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src_</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src_0001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Assign on intake. Never reuse after deletion.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decisions.json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dec_</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dec_0001</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Assign at decision time. Record supersedes chain if replaced.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denial_codes.json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den_</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den_0001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Assign when code is first structured. Do not encode meaning in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appeal_strategies.json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str_</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str_0001</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Assign when strategy is first defined.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regulations.json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reg_</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reg_0001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Assign on ingestion. Track supersedes_regulation_id for updates.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seo_clusters.json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cluster_</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cluster_0001</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Assign when cluster is formally defined.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content_pages.json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page_</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page_0001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Assign when page is created in the registry (not necessarily published).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review_queue.json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rev_</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rev_0001</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Assign when review item is created. Resolved items are never deleted.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conflicts.json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conf_</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conf_0001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Assign when conflict is detected. Resolution recorded in notes.</w:t>
            </w:r>
          </w:p>
        </w:tc>
      </w:tr>
    </w:tbl>
    <w:p>
      <w:pPr>
        <w:spacing w:before="40" w:after="40"/>
      </w:pPr>
    </w:p>
    <w:p>
      <w:pPr>
        <w:pBdr>
          <w:left w:val="single" w:color="0E6B72" w:sz="6" w:space="8"/>
        </w:pBdr>
        <w:spacing w:before="80" w:after="80"/>
        <w:ind w:left="300"/>
      </w:pPr>
      <w:r>
        <w:rPr>
          <w:rFonts w:ascii="Arial" w:cs="Arial" w:eastAsia="Arial" w:hAnsi="Arial"/>
          <w:b/>
          <w:bCs/>
          <w:color w:val="0E6B72"/>
          <w:sz w:val="20"/>
          <w:szCs w:val="20"/>
        </w:rPr>
        <w:t xml:space="preserve">Naming Rule: </w:t>
      </w:r>
      <w:r>
        <w:rPr>
          <w:rFonts w:ascii="Arial" w:cs="Arial" w:eastAsia="Arial" w:hAnsi="Arial"/>
          <w:sz w:val="20"/>
          <w:szCs w:val="20"/>
        </w:rPr>
        <w:t xml:space="preserve">Human-readable meaning belongs in the title, name, or summary fields. IDs are opaque keys — do not encode business logic into them.</w:t>
      </w:r>
    </w:p>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7. Individual Registry Schemas</w:t>
      </w:r>
    </w:p>
    <w:p>
      <w:pPr>
        <w:spacing w:before="60" w:after="60"/>
      </w:pPr>
      <w:r>
        <w:rPr>
          <w:rFonts w:ascii="Arial" w:cs="Arial" w:eastAsia="Arial" w:hAnsi="Arial"/>
          <w:sz w:val="20"/>
          <w:szCs w:val="20"/>
        </w:rPr>
        <w:t xml:space="preserve">Each registry extends the shared envelope with type-specific fields. Only required and high-priority fields are listed here. Additional fields may be added as the system matures, following the same naming and type conventions.</w:t>
      </w:r>
    </w:p>
    <w:p>
      <w:pPr>
        <w:spacing w:before="40" w:after="40"/>
      </w:pPr>
    </w:p>
    <w:p>
      <w:pPr>
        <w:pStyle w:val="Heading2"/>
        <w:spacing w:before="240" w:after="120"/>
      </w:pPr>
      <w:r>
        <w:rPr>
          <w:rFonts w:ascii="Arial" w:cs="Arial" w:eastAsia="Arial" w:hAnsi="Arial"/>
          <w:b/>
          <w:bCs/>
          <w:color w:val="0E6B72"/>
          <w:sz w:val="26"/>
          <w:szCs w:val="26"/>
        </w:rPr>
        <w:t xml:space="preserve">7.1  sources.json</w:t>
      </w:r>
    </w:p>
    <w:p>
      <w:pPr>
        <w:spacing w:before="60" w:after="60"/>
      </w:pPr>
      <w:r>
        <w:rPr>
          <w:rFonts w:ascii="Arial" w:cs="Arial" w:eastAsia="Arial" w:hAnsi="Arial"/>
          <w:sz w:val="20"/>
          <w:szCs w:val="20"/>
        </w:rPr>
        <w:t xml:space="preserve">The intake registry. Every piece of source material — Google Docs, GitHub files, external regulations, spreadsheets, and manual notes — receives a source record before anything is extracted from it. This is the gatekeeper for the entire registry system.</w:t>
      </w:r>
    </w:p>
    <w:p>
      <w:pPr>
        <w:spacing w:before="40" w:after="40"/>
      </w:pPr>
    </w:p>
    <w:p>
      <w:pPr>
        <w:spacing w:before="120" w:after="60"/>
      </w:pPr>
      <w:r>
        <w:rPr>
          <w:rFonts w:ascii="Arial" w:cs="Arial" w:eastAsia="Arial" w:hAnsi="Arial"/>
          <w:b/>
          <w:bCs/>
          <w:color w:val="0E6B72"/>
          <w:sz w:val="20"/>
          <w:szCs w:val="20"/>
        </w:rPr>
        <w:t xml:space="preserve">Additional Fields — sources.json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96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source_type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google_doc | github | markdown | spreadsheet | web | cms | slack | manual_note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title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Human-readable title of the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external_id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Pointer to original system (e.g. Google Drive file 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canonical_url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URL if web-based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document_state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 stale | changed | unknown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content_type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Category of content: research_notes | policy_doc | architecture_doc | seo_plan | regulatory_source | other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Freeform topic tags for grouping.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last_seen_at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ISO-8601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When this source was last verified as current.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hash for change detection.</w:t>
            </w:r>
          </w:p>
        </w:tc>
      </w:tr>
    </w:tbl>
    <w:p>
      <w:pPr>
        <w:spacing w:before="40" w:after="40"/>
      </w:pPr>
    </w:p>
    <w:p>
      <w:pPr>
        <w:pStyle w:val="Heading2"/>
        <w:spacing w:before="240" w:after="120"/>
      </w:pPr>
      <w:r>
        <w:rPr>
          <w:rFonts w:ascii="Arial" w:cs="Arial" w:eastAsia="Arial" w:hAnsi="Arial"/>
          <w:b/>
          <w:bCs/>
          <w:color w:val="0E6B72"/>
          <w:sz w:val="26"/>
          <w:szCs w:val="26"/>
        </w:rPr>
        <w:t xml:space="preserve">7.2  decisions.json</w:t>
      </w:r>
    </w:p>
    <w:p>
      <w:pPr>
        <w:spacing w:before="60" w:after="60"/>
      </w:pPr>
      <w:r>
        <w:rPr>
          <w:rFonts w:ascii="Arial" w:cs="Arial" w:eastAsia="Arial" w:hAnsi="Arial"/>
          <w:sz w:val="20"/>
          <w:szCs w:val="20"/>
        </w:rPr>
        <w:t xml:space="preserve">One of the highest-value registries. Captures strategic and operational decisions as structured records so agents understand not just what exists but why. Every major architectural, product, content, or SEO decision should be logged here.</w:t>
      </w:r>
    </w:p>
    <w:p>
      <w:pPr>
        <w:spacing w:before="40" w:after="40"/>
      </w:pPr>
    </w:p>
    <w:p>
      <w:pPr>
        <w:spacing w:before="120" w:after="60"/>
      </w:pPr>
      <w:r>
        <w:rPr>
          <w:rFonts w:ascii="Arial" w:cs="Arial" w:eastAsia="Arial" w:hAnsi="Arial"/>
          <w:b/>
          <w:bCs/>
          <w:color w:val="0E6B72"/>
          <w:sz w:val="20"/>
          <w:szCs w:val="20"/>
        </w:rPr>
        <w:t xml:space="preserve">Additional Fields — decisions.json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96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Clear, specific decision statement.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decision_type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strategy | product | content | seo | ops | architecture | compliance | automation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or two sentence plain-language summary.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rationale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Ordered list of reasons supporting the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affects_systems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Registry families or system areas impacted.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supersedes_decision_ids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dec_ IDs this decision replaces.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related_decision_ids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dec_ IDs of related but non-superseded decisions.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review_on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ISO-8601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to re-evaluate. Required for time-sensitive decisions.</w:t>
            </w:r>
          </w:p>
        </w:tc>
      </w:tr>
    </w:tbl>
    <w:p>
      <w:pPr>
        <w:spacing w:before="40" w:after="40"/>
      </w:pPr>
    </w:p>
    <w:p>
      <w:pPr>
        <w:pStyle w:val="Heading2"/>
        <w:spacing w:before="240" w:after="120"/>
      </w:pPr>
      <w:r>
        <w:rPr>
          <w:rFonts w:ascii="Arial" w:cs="Arial" w:eastAsia="Arial" w:hAnsi="Arial"/>
          <w:b/>
          <w:bCs/>
          <w:color w:val="0E6B72"/>
          <w:sz w:val="26"/>
          <w:szCs w:val="26"/>
        </w:rPr>
        <w:t xml:space="preserve">7.3  denial_codes.json</w:t>
      </w:r>
    </w:p>
    <w:p>
      <w:pPr>
        <w:spacing w:before="60" w:after="60"/>
      </w:pPr>
      <w:r>
        <w:rPr>
          <w:rFonts w:ascii="Arial" w:cs="Arial" w:eastAsia="Arial" w:hAnsi="Arial"/>
          <w:sz w:val="20"/>
          <w:szCs w:val="20"/>
        </w:rPr>
        <w:t xml:space="preserve">The core intelligence asset of the business. Every denial code the platform addresses must have a structured record here. This registry powers SEO cluster generation, appeal strategy linkage, and eventually predictive denial modeling.</w:t>
      </w:r>
    </w:p>
    <w:p>
      <w:pPr>
        <w:spacing w:before="40" w:after="40"/>
      </w:pPr>
    </w:p>
    <w:p>
      <w:pPr>
        <w:spacing w:before="120" w:after="60"/>
      </w:pPr>
      <w:r>
        <w:rPr>
          <w:rFonts w:ascii="Arial" w:cs="Arial" w:eastAsia="Arial" w:hAnsi="Arial"/>
          <w:b/>
          <w:bCs/>
          <w:color w:val="0E6B72"/>
          <w:sz w:val="20"/>
          <w:szCs w:val="20"/>
        </w:rPr>
        <w:t xml:space="preserve">Additional Fields — denial_codes.json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96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denial code (e.g. CO-50, PR-96).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title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Short human-readable name for the denial 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medical_necessity | billing_error | coordination | authorization | coverage | other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description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Plain-language explanation of what this denial means.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payer_scope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Applicable payer types: general | medicare | medicaid | commercial | specific insurer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service_types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Service categories most affected.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related_regulation_ids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reg_ IDs of applicable regulations.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related_strategy_ids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str_ IDs of applicable appeal strategies.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related_page_ids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page_ IDs of content pages covering this code.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related_cluster_ids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cluster_ IDs of SEO clusters covering this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common_documents_needed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types typically required to appeal this denial.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appeal_priority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 | medium | low — based on search volume and patient impact.</w:t>
            </w:r>
          </w:p>
        </w:tc>
      </w:tr>
    </w:tbl>
    <w:p>
      <w:pPr>
        <w:spacing w:before="40" w:after="40"/>
      </w:pPr>
    </w:p>
    <w:p>
      <w:pPr>
        <w:pStyle w:val="Heading2"/>
        <w:spacing w:before="240" w:after="120"/>
      </w:pPr>
      <w:r>
        <w:rPr>
          <w:rFonts w:ascii="Arial" w:cs="Arial" w:eastAsia="Arial" w:hAnsi="Arial"/>
          <w:b/>
          <w:bCs/>
          <w:color w:val="0E6B72"/>
          <w:sz w:val="26"/>
          <w:szCs w:val="26"/>
        </w:rPr>
        <w:t xml:space="preserve">7.4  appeal_strategies.json</w:t>
      </w:r>
    </w:p>
    <w:p>
      <w:pPr>
        <w:spacing w:before="60" w:after="60"/>
      </w:pPr>
      <w:r>
        <w:rPr>
          <w:rFonts w:ascii="Arial" w:cs="Arial" w:eastAsia="Arial" w:hAnsi="Arial"/>
          <w:sz w:val="20"/>
          <w:szCs w:val="20"/>
        </w:rPr>
        <w:t xml:space="preserve">Reusable appeal frameworks linked to specific denial types. This registry is where denial intelligence becomes actionable guidance. Each strategy must be reviewed at clinical level before being linked to live content.</w:t>
      </w:r>
    </w:p>
    <w:p>
      <w:pPr>
        <w:spacing w:before="40" w:after="40"/>
      </w:pPr>
    </w:p>
    <w:p>
      <w:pPr>
        <w:spacing w:before="120" w:after="60"/>
      </w:pPr>
      <w:r>
        <w:rPr>
          <w:rFonts w:ascii="Arial" w:cs="Arial" w:eastAsia="Arial" w:hAnsi="Arial"/>
          <w:b/>
          <w:bCs/>
          <w:color w:val="0E6B72"/>
          <w:sz w:val="20"/>
          <w:szCs w:val="20"/>
        </w:rPr>
        <w:t xml:space="preserve">Additional Fields — appeal_strategies.json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96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Clear, specific strategy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strategy_type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appeal | dispute | escalation | complaint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or two sentence plain-language summary.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applicable_denial_ids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den_ IDs this strategy addresses.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required_documents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types required to execute this strategy.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recommended_evidence_types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Categories of supporting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related_regulation_ids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reg_ IDs of applicable regulations.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complexity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 | medium |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review_level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basic | founder_review | clinical_review_needed | legal_risk_review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use_cases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Example scenarios where this strategy applies.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contraindications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Conditions under which this strategy should not be used.</w:t>
            </w:r>
          </w:p>
        </w:tc>
      </w:tr>
    </w:tbl>
    <w:p>
      <w:pPr>
        <w:spacing w:before="40" w:after="40"/>
      </w:pPr>
    </w:p>
    <w:p>
      <w:pPr>
        <w:pStyle w:val="Heading2"/>
        <w:spacing w:before="240" w:after="120"/>
      </w:pPr>
      <w:r>
        <w:rPr>
          <w:rFonts w:ascii="Arial" w:cs="Arial" w:eastAsia="Arial" w:hAnsi="Arial"/>
          <w:b/>
          <w:bCs/>
          <w:color w:val="0E6B72"/>
          <w:sz w:val="26"/>
          <w:szCs w:val="26"/>
        </w:rPr>
        <w:t xml:space="preserve">7.5  regulations.json</w:t>
      </w:r>
    </w:p>
    <w:p>
      <w:pPr>
        <w:spacing w:before="60" w:after="60"/>
      </w:pPr>
      <w:r>
        <w:rPr>
          <w:rFonts w:ascii="Arial" w:cs="Arial" w:eastAsia="Arial" w:hAnsi="Arial"/>
          <w:sz w:val="20"/>
          <w:szCs w:val="20"/>
        </w:rPr>
        <w:t xml:space="preserve">Regulatory and policy sources that affect advocacy guidance, appeal strategies, and content freshness. This registry enables the Provenance Agent to detect when upstream rule changes require content review.</w:t>
      </w:r>
    </w:p>
    <w:p>
      <w:pPr>
        <w:spacing w:before="40" w:after="40"/>
      </w:pPr>
    </w:p>
    <w:p>
      <w:pPr>
        <w:spacing w:before="120" w:after="60"/>
      </w:pPr>
      <w:r>
        <w:rPr>
          <w:rFonts w:ascii="Arial" w:cs="Arial" w:eastAsia="Arial" w:hAnsi="Arial"/>
          <w:b/>
          <w:bCs/>
          <w:color w:val="0E6B72"/>
          <w:sz w:val="20"/>
          <w:szCs w:val="20"/>
        </w:rPr>
        <w:t xml:space="preserve">Additional Fields — regulations.json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96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Official or commonly used name of the regulation or policy.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regulation_type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federal_statute | federal_guidance | state_law | insurer_policy | cms_rule | other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Issuing agency or body (e.g. CMS, DOL, State DOI).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jurisdiction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 | state code | specific insurer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effective_date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ISO-8601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 regulation took effect.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last_verified_at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ISO-8601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When this record was last confirmed as current.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Plain-language summary of what the regulation governs.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affected_service_types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Service categories affected.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affected_denial_ids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den_ IDs of denial codes affected by this regulation.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affected_strategy_ids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str_ IDs of strategies affected.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affected_page_ids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page_ IDs of content pages that reference this regulation.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change_risk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 | medium | high — likelihood of regulatory change affecting linked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supersedes_regulation_id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reg_ ID of the prior version this record replaces.</w:t>
            </w:r>
          </w:p>
        </w:tc>
      </w:tr>
    </w:tbl>
    <w:p>
      <w:pPr>
        <w:spacing w:before="40" w:after="40"/>
      </w:pPr>
    </w:p>
    <w:p>
      <w:pPr>
        <w:pStyle w:val="Heading2"/>
        <w:spacing w:before="240" w:after="120"/>
      </w:pPr>
      <w:r>
        <w:rPr>
          <w:rFonts w:ascii="Arial" w:cs="Arial" w:eastAsia="Arial" w:hAnsi="Arial"/>
          <w:b/>
          <w:bCs/>
          <w:color w:val="0E6B72"/>
          <w:sz w:val="26"/>
          <w:szCs w:val="26"/>
        </w:rPr>
        <w:t xml:space="preserve">7.6  seo_clusters.json</w:t>
      </w:r>
    </w:p>
    <w:p>
      <w:pPr>
        <w:spacing w:before="60" w:after="60"/>
      </w:pPr>
      <w:r>
        <w:rPr>
          <w:rFonts w:ascii="Arial" w:cs="Arial" w:eastAsia="Arial" w:hAnsi="Arial"/>
          <w:sz w:val="20"/>
          <w:szCs w:val="20"/>
        </w:rPr>
        <w:t xml:space="preserve">Bridges structured denial and regulation knowledge to traffic generation. Every SEO cluster must be grounded in at least one denial code or regulation record. This registry drives programmatic SEO, internal linking, and content gap analysis.</w:t>
      </w:r>
    </w:p>
    <w:p>
      <w:pPr>
        <w:spacing w:before="40" w:after="40"/>
      </w:pPr>
    </w:p>
    <w:p>
      <w:pPr>
        <w:spacing w:before="120" w:after="60"/>
      </w:pPr>
      <w:r>
        <w:rPr>
          <w:rFonts w:ascii="Arial" w:cs="Arial" w:eastAsia="Arial" w:hAnsi="Arial"/>
          <w:b/>
          <w:bCs/>
          <w:color w:val="0E6B72"/>
          <w:sz w:val="20"/>
          <w:szCs w:val="20"/>
        </w:rPr>
        <w:t xml:space="preserve">Additional Fields — seo_clusters.json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96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Human-readable cluster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cluster_type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denial_cluster | billing_cluster | rights_cluster | navigation_cluster | other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pillar_page_id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page_ ID of the pillar page for this cluster.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supporting_page_ids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page_ IDs of all support pages in this cluster.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target_problem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Plain-language description of the user problem this cluster addresses.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search_intent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 | medium | 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 medium | 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related_denial_ids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den_ IDs of denial codes covered by this cluster.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related_strategy_ids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str_ IDs of appeal strategies covered by this cluster.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related_regulation_ids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reg_ IDs of regulations covered by this cluster.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cluster_stage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 | build | active | refresh | archived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gap_count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integer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Estimated number of additional support pages needed.</w:t>
            </w:r>
          </w:p>
        </w:tc>
      </w:tr>
    </w:tbl>
    <w:p>
      <w:pPr>
        <w:spacing w:before="40" w:after="40"/>
      </w:pPr>
    </w:p>
    <w:p>
      <w:pPr>
        <w:pStyle w:val="Heading2"/>
        <w:spacing w:before="240" w:after="120"/>
      </w:pPr>
      <w:r>
        <w:rPr>
          <w:rFonts w:ascii="Arial" w:cs="Arial" w:eastAsia="Arial" w:hAnsi="Arial"/>
          <w:b/>
          <w:bCs/>
          <w:color w:val="0E6B72"/>
          <w:sz w:val="26"/>
          <w:szCs w:val="26"/>
        </w:rPr>
        <w:t xml:space="preserve">7.7  content_pages.json</w:t>
      </w:r>
    </w:p>
    <w:p>
      <w:pPr>
        <w:spacing w:before="60" w:after="60"/>
      </w:pPr>
      <w:r>
        <w:rPr>
          <w:rFonts w:ascii="Arial" w:cs="Arial" w:eastAsia="Arial" w:hAnsi="Arial"/>
          <w:sz w:val="20"/>
          <w:szCs w:val="20"/>
        </w:rPr>
        <w:t xml:space="preserve">Structured record of every content page in the system. A page exists in this registry before it is published. This registry enables cluster gap analysis, internal linking, and freshness tracking.</w:t>
      </w:r>
    </w:p>
    <w:p>
      <w:pPr>
        <w:spacing w:before="40" w:after="40"/>
      </w:pPr>
    </w:p>
    <w:p>
      <w:pPr>
        <w:spacing w:before="120" w:after="60"/>
      </w:pPr>
      <w:r>
        <w:rPr>
          <w:rFonts w:ascii="Arial" w:cs="Arial" w:eastAsia="Arial" w:hAnsi="Arial"/>
          <w:b/>
          <w:bCs/>
          <w:color w:val="0E6B72"/>
          <w:sz w:val="20"/>
          <w:szCs w:val="20"/>
        </w:rPr>
        <w:t xml:space="preserve">Additional Fields — content_pages.json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96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 title as it appears in the content system.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url_slug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URL path (e.g. /appeal-co-50-skilled-nursing-care).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pillar_page | supporting_page | denial_code_page | tool_page | article | other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cluster_id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cluster_ ID of the SEO cluster this page belongs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target_keyword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keyword target.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search_intent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 | medium | 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related_denial_ids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den_ IDs of denial codes covered.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related_strategy_ids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str_ IDs of appeal strategies covered.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related_regulation_ids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reg_ IDs of regulations referenced.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freshness_state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 | current | needs_refresh | stale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publish_state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See publish lifecycle in Section 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review_level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basic | founder_review | clinical_review_needed | legal_risk_review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last_reviewed_at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ISO-8601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 of last editorial or clinical review.</w:t>
            </w:r>
          </w:p>
        </w:tc>
      </w:tr>
    </w:tbl>
    <w:p>
      <w:pPr>
        <w:spacing w:before="40" w:after="40"/>
      </w:pPr>
    </w:p>
    <w:p>
      <w:pPr>
        <w:pStyle w:val="Heading2"/>
        <w:spacing w:before="240" w:after="120"/>
      </w:pPr>
      <w:r>
        <w:rPr>
          <w:rFonts w:ascii="Arial" w:cs="Arial" w:eastAsia="Arial" w:hAnsi="Arial"/>
          <w:b/>
          <w:bCs/>
          <w:color w:val="0E6B72"/>
          <w:sz w:val="26"/>
          <w:szCs w:val="26"/>
        </w:rPr>
        <w:t xml:space="preserve">7.8  review_queue.json</w:t>
      </w:r>
    </w:p>
    <w:p>
      <w:pPr>
        <w:spacing w:before="60" w:after="60"/>
      </w:pPr>
      <w:r>
        <w:rPr>
          <w:rFonts w:ascii="Arial" w:cs="Arial" w:eastAsia="Arial" w:hAnsi="Arial"/>
          <w:sz w:val="20"/>
          <w:szCs w:val="20"/>
        </w:rPr>
        <w:t xml:space="preserve">The human control surface for the registry system. Any agent that detects a condition requiring human judgment must write a review item here before acting. No agent may promote a record from draft to active without a corresponding resolved review item, unless confidence exceeds 0.95 and risk is explicitly classified as low.</w:t>
      </w:r>
    </w:p>
    <w:p>
      <w:pPr>
        <w:spacing w:before="40" w:after="40"/>
      </w:pPr>
    </w:p>
    <w:p>
      <w:pPr>
        <w:spacing w:before="120" w:after="60"/>
      </w:pPr>
      <w:r>
        <w:rPr>
          <w:rFonts w:ascii="Arial" w:cs="Arial" w:eastAsia="Arial" w:hAnsi="Arial"/>
          <w:b/>
          <w:bCs/>
          <w:color w:val="0E6B72"/>
          <w:sz w:val="20"/>
          <w:szCs w:val="20"/>
        </w:rPr>
        <w:t xml:space="preserve">Additional Fields — review_queue.json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960"/>
            <w:tcBorders>
              <w:top w:val="single" w:color="1B3A6B" w:sz="1"/>
              <w:left w:val="single" w:color="1B3A6B" w:sz="1"/>
              <w:bottom w:val="single" w:color="1B3A6B" w:sz="1"/>
              <w:right w:val="single" w:color="1B3A6B" w:sz="1"/>
            </w:tcBorders>
            <w:shd w:fill="0E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queue_type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content_review | factual_review | clinical_review | conflict_review | schema_review | seo_review | security_review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target_object_type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Registry type of the object requiring review (e.g. denial_code, regulation).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target_object_id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of the specific record requiring review.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reason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Plain-language explanation of why review is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severity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 | high | medium | 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recommended_action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What the reviewer should 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assigned_to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or role responsible for resolution.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resolution_notes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Populated when resolved. Required if status = dismissed.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resolved_at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ISO-8601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 of resolution.</w:t>
            </w:r>
          </w:p>
        </w:tc>
      </w:tr>
    </w:tbl>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8. Agent Write Permissions</w:t>
      </w:r>
    </w:p>
    <w:p>
      <w:pPr>
        <w:spacing w:before="60" w:after="60"/>
      </w:pPr>
      <w:r>
        <w:rPr>
          <w:rFonts w:ascii="Arial" w:cs="Arial" w:eastAsia="Arial" w:hAnsi="Arial"/>
          <w:sz w:val="20"/>
          <w:szCs w:val="20"/>
        </w:rPr>
        <w:t xml:space="preserve">The following table defines which agents may write to which registries in Phase 1. Write permissions are additive — an agent listed for a registry may create and update records in that registry, subject to the status rules in Section 5. No agent may delete records; archiving is the correct terminal state.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May Write To</w:t>
            </w:r>
          </w:p>
        </w:tc>
        <w:tc>
          <w:tcPr>
            <w:tcW w:type="dxa" w:w="3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Restriction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Source Ingestion Agent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sources.json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and update source records only. May not extract or classify.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Extraction Agent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denial_codes.json, appeal_strategies.json, regulations.json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draft records only. All records enter review queue before activation unless confidence &gt; 0.95 and risk = 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SEO Graph Agent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seo_clusters.json, content_pages.json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and update cluster and page records. May propose new clusters but not activate without founder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 Agent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decisions.json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Append only. Strategic decisions (type = strategy | architecture | compliance) require founder sign-off before status =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QC / Conflict Agent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review_queue.json, conflicts.json (Phase 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review items and conflict records only. May not modify the records under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Provenance / Dependency Agent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review_queue.json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review items when upstream sources change. May update document_state in sources.json.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Orchestration Agent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registries (status fields only)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May update status, assigned_to, and resolved_at fields. May not modify substantive content fields.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Founder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registries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write access. Only role that may set status = active on decisions of type strategy or architecture.</w:t>
            </w:r>
          </w:p>
        </w:tc>
      </w:tr>
    </w:tbl>
    <w:p>
      <w:pPr>
        <w:spacing w:before="40" w:after="40"/>
      </w:pPr>
    </w:p>
    <w:p>
      <w:pPr>
        <w:pBdr>
          <w:left w:val="single" w:color="B53030" w:sz="6" w:space="8"/>
        </w:pBdr>
        <w:spacing w:before="80" w:after="80"/>
        <w:ind w:left="300"/>
      </w:pPr>
      <w:r>
        <w:rPr>
          <w:rFonts w:ascii="Arial" w:cs="Arial" w:eastAsia="Arial" w:hAnsi="Arial"/>
          <w:b/>
          <w:bCs/>
          <w:color w:val="B53030"/>
          <w:sz w:val="20"/>
          <w:szCs w:val="20"/>
        </w:rPr>
        <w:t xml:space="preserve">Security Note: </w:t>
      </w:r>
      <w:r>
        <w:rPr>
          <w:rFonts w:ascii="Arial" w:cs="Arial" w:eastAsia="Arial" w:hAnsi="Arial"/>
          <w:sz w:val="20"/>
          <w:szCs w:val="20"/>
        </w:rPr>
        <w:t xml:space="preserve">These write permissions are enforced by convention in Phase 1 (JSON files). When the registry migrates to Supabase in Phase 2+, these permissions must be formalized as Row Level Security policies per MA-SEC-001.</w:t>
      </w:r>
    </w:p>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9. Relationship Rules</w:t>
      </w:r>
    </w:p>
    <w:p>
      <w:pPr>
        <w:spacing w:before="60" w:after="60"/>
      </w:pPr>
      <w:r>
        <w:rPr>
          <w:rFonts w:ascii="Arial" w:cs="Arial" w:eastAsia="Arial" w:hAnsi="Arial"/>
          <w:sz w:val="20"/>
          <w:szCs w:val="20"/>
        </w:rPr>
        <w:t xml:space="preserve">Relationships between registry records must be stored as structured arrays, never as prose. The following rules govern relationship integrity.</w:t>
      </w:r>
    </w:p>
    <w:p>
      <w:pPr>
        <w:spacing w:before="40" w:after="40"/>
      </w:pPr>
    </w:p>
    <w:p>
      <w:pPr>
        <w:pStyle w:val="ListParagraph"/>
        <w:numPr>
          <w:ilvl w:val="0"/>
          <w:numId w:val="2"/>
        </w:numPr>
        <w:spacing w:before="40" w:after="40"/>
      </w:pPr>
      <w:r>
        <w:rPr>
          <w:rFonts w:ascii="Arial" w:cs="Arial" w:eastAsia="Arial" w:hAnsi="Arial"/>
          <w:b w:val="false"/>
          <w:bCs w:val="false"/>
          <w:sz w:val="20"/>
          <w:szCs w:val="20"/>
        </w:rPr>
        <w:t xml:space="preserve">Every denial_codes record should link to at least one str_ (appeal strategy) before it is activated.</w:t>
      </w:r>
    </w:p>
    <w:p>
      <w:pPr>
        <w:pStyle w:val="ListParagraph"/>
        <w:numPr>
          <w:ilvl w:val="0"/>
          <w:numId w:val="2"/>
        </w:numPr>
        <w:spacing w:before="40" w:after="40"/>
      </w:pPr>
      <w:r>
        <w:rPr>
          <w:rFonts w:ascii="Arial" w:cs="Arial" w:eastAsia="Arial" w:hAnsi="Arial"/>
          <w:b w:val="false"/>
          <w:bCs w:val="false"/>
          <w:sz w:val="20"/>
          <w:szCs w:val="20"/>
        </w:rPr>
        <w:t xml:space="preserve">Every seo_clusters record must link to at least one den_ (denial code) or reg_ (regulation) record before it is activated.</w:t>
      </w:r>
    </w:p>
    <w:p>
      <w:pPr>
        <w:pStyle w:val="ListParagraph"/>
        <w:numPr>
          <w:ilvl w:val="0"/>
          <w:numId w:val="2"/>
        </w:numPr>
        <w:spacing w:before="40" w:after="40"/>
      </w:pPr>
      <w:r>
        <w:rPr>
          <w:rFonts w:ascii="Arial" w:cs="Arial" w:eastAsia="Arial" w:hAnsi="Arial"/>
          <w:b w:val="false"/>
          <w:bCs w:val="false"/>
          <w:sz w:val="20"/>
          <w:szCs w:val="20"/>
        </w:rPr>
        <w:t xml:space="preserve">Every content_pages record must link to exactly one cluster_ (SEO cluster) before it is activated.</w:t>
      </w:r>
    </w:p>
    <w:p>
      <w:pPr>
        <w:pStyle w:val="ListParagraph"/>
        <w:numPr>
          <w:ilvl w:val="0"/>
          <w:numId w:val="2"/>
        </w:numPr>
        <w:spacing w:before="40" w:after="40"/>
      </w:pPr>
      <w:r>
        <w:rPr>
          <w:rFonts w:ascii="Arial" w:cs="Arial" w:eastAsia="Arial" w:hAnsi="Arial"/>
          <w:b w:val="false"/>
          <w:bCs w:val="false"/>
          <w:sz w:val="20"/>
          <w:szCs w:val="20"/>
        </w:rPr>
        <w:t xml:space="preserve">Every appeal_strategies record must link to at least one den_ (denial code) before it is activated.</w:t>
      </w:r>
    </w:p>
    <w:p>
      <w:pPr>
        <w:pStyle w:val="ListParagraph"/>
        <w:numPr>
          <w:ilvl w:val="0"/>
          <w:numId w:val="2"/>
        </w:numPr>
        <w:spacing w:before="40" w:after="40"/>
      </w:pPr>
      <w:r>
        <w:rPr>
          <w:rFonts w:ascii="Arial" w:cs="Arial" w:eastAsia="Arial" w:hAnsi="Arial"/>
          <w:b w:val="false"/>
          <w:bCs w:val="false"/>
          <w:sz w:val="20"/>
          <w:szCs w:val="20"/>
        </w:rPr>
        <w:t xml:space="preserve">Every regulations record should link to at least one den_ or str_ record within 30 days of activation.</w:t>
      </w:r>
    </w:p>
    <w:p>
      <w:pPr>
        <w:pStyle w:val="ListParagraph"/>
        <w:numPr>
          <w:ilvl w:val="0"/>
          <w:numId w:val="2"/>
        </w:numPr>
        <w:spacing w:before="40" w:after="40"/>
      </w:pPr>
      <w:r>
        <w:rPr>
          <w:rFonts w:ascii="Arial" w:cs="Arial" w:eastAsia="Arial" w:hAnsi="Arial"/>
          <w:b w:val="false"/>
          <w:bCs w:val="false"/>
          <w:sz w:val="20"/>
          <w:szCs w:val="20"/>
        </w:rPr>
        <w:t xml:space="preserve">Relationships are bidirectional. If den_0001 lists str_0003 in related_strategy_ids, then str_0003 must list den_0001 in applicable_denial_ids. Orchestration agent is responsible for maintaining bidirectionality.</w:t>
      </w:r>
    </w:p>
    <w:p>
      <w:pPr>
        <w:spacing w:before="40" w:after="40"/>
      </w:pPr>
    </w:p>
    <w:p>
      <w:pPr>
        <w:pBdr>
          <w:left w:val="single" w:color="C07A00" w:sz="6" w:space="8"/>
        </w:pBdr>
        <w:spacing w:before="80" w:after="80"/>
        <w:ind w:left="300"/>
      </w:pPr>
      <w:r>
        <w:rPr>
          <w:rFonts w:ascii="Arial" w:cs="Arial" w:eastAsia="Arial" w:hAnsi="Arial"/>
          <w:b/>
          <w:bCs/>
          <w:color w:val="C07A00"/>
          <w:sz w:val="20"/>
          <w:szCs w:val="20"/>
        </w:rPr>
        <w:t xml:space="preserve">Anti-Pattern: </w:t>
      </w:r>
      <w:r>
        <w:rPr>
          <w:rFonts w:ascii="Arial" w:cs="Arial" w:eastAsia="Arial" w:hAnsi="Arial"/>
          <w:sz w:val="20"/>
          <w:szCs w:val="20"/>
        </w:rPr>
        <w:t xml:space="preserve">Do not write relationships only in the notes field. Example of wrong pattern: "notes: this probably connects to the SNF cluster." Correct pattern: "related_cluster_ids": ["cluster_0004"]. Notes are for context, not structure.</w:t>
      </w:r>
    </w:p>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10. Phase 1 Build Sequence</w:t>
      </w:r>
    </w:p>
    <w:p>
      <w:pPr>
        <w:spacing w:before="60" w:after="60"/>
      </w:pPr>
      <w:r>
        <w:rPr>
          <w:rFonts w:ascii="Arial" w:cs="Arial" w:eastAsia="Arial" w:hAnsi="Arial"/>
          <w:sz w:val="20"/>
          <w:szCs w:val="20"/>
        </w:rPr>
        <w:t xml:space="preserve">The context registry is a Phase 1 build output. Build the registries in the following order to maximize early utility. Do not attempt to build all registries fully before beginning — start with real data and let the system grow.</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500"/>
        <w:gridCol w:w="33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Order</w:t>
            </w:r>
          </w:p>
        </w:tc>
        <w:tc>
          <w:tcPr>
            <w:tcW w:type="dxa" w:w="1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Registry</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 Population</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sources.json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canonical docs and external sources referenced in Phase 1 work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Source records for every input used by the extraction agent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decisions.json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major architectural, product, and SEO decisions made during planning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Structured decision history from day 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denial_codes.json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20-50 denial codes targeted in Phase 1 SEO plan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 intelligence asset primed before first SEO content ships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appeal_strategies.json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One strategy per denial code in Phase 1 scope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Actionable strategy linkage for first cluster build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regulations.json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5-10 CMS and federal regulations applicable to Phase 1 content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Regulatory anchors for freshness tracking and appeal grounding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seo_clusters.json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First 5 SEO clusters per Phase 1 SEO plan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Structured cluster definitions driving content production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content_pages.json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200 denial code pages + 10 foundational articles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page inventory before first publish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review_queue.json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Populated automatically by agents as work progresses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Operational control surface live from day one</w:t>
            </w:r>
          </w:p>
        </w:tc>
      </w:tr>
    </w:tbl>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11. Migration Path</w:t>
      </w:r>
    </w:p>
    <w:p>
      <w:pPr>
        <w:spacing w:before="60" w:after="60"/>
      </w:pPr>
      <w:r>
        <w:rPr>
          <w:rFonts w:ascii="Arial" w:cs="Arial" w:eastAsia="Arial" w:hAnsi="Arial"/>
          <w:sz w:val="20"/>
          <w:szCs w:val="20"/>
        </w:rPr>
        <w:t xml:space="preserve">The context registry begins as JSON files and migrates to a relational database as the system matures. No architecture changes are required to the registry schema during migration — the field structure is intentionally compatible with SQL table design.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600"/>
        <w:gridCol w:w="356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 files in /context_registry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 from launch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and populate all 8 registries as JSON. Agents read/write via file I/O.</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SQLite (local)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Registry size exceeds 500 records OR query performance degrades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Migrate JSON registries to SQLite. Schema maps 1:1. No structural 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 Postgres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Signal 1 traffic threshold reached OR multi-agent concurrent writes needed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Migrate SQLite to Supabase. Implement RLS policies per MA-SEC-001. Agent permissions become database-enforced.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Supabase + vector index (optional)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Semantic retrieval needed for agent reasoning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Add pgvector or Pinecone index alongside relational registry. File layer remains for narrative content.</w:t>
            </w:r>
          </w:p>
        </w:tc>
      </w:tr>
    </w:tbl>
    <w:p>
      <w:pPr>
        <w:spacing w:before="40" w:after="40"/>
      </w:pPr>
    </w:p>
    <w:p>
      <w:pPr>
        <w:pBdr>
          <w:left w:val="single" w:color="B53030" w:sz="6" w:space="8"/>
        </w:pBdr>
        <w:spacing w:before="80" w:after="80"/>
        <w:ind w:left="300"/>
      </w:pPr>
      <w:r>
        <w:rPr>
          <w:rFonts w:ascii="Arial" w:cs="Arial" w:eastAsia="Arial" w:hAnsi="Arial"/>
          <w:b/>
          <w:bCs/>
          <w:color w:val="B53030"/>
          <w:sz w:val="20"/>
          <w:szCs w:val="20"/>
        </w:rPr>
        <w:t xml:space="preserve">Rule: </w:t>
      </w:r>
      <w:r>
        <w:rPr>
          <w:rFonts w:ascii="Arial" w:cs="Arial" w:eastAsia="Arial" w:hAnsi="Arial"/>
          <w:sz w:val="20"/>
          <w:szCs w:val="20"/>
        </w:rPr>
        <w:t xml:space="preserve">Do NOT build database infrastructure in Phase 1. JSON registries are sufficient and preserve launch momentum. The migration triggers above are real — do not migrate early.</w:t>
      </w:r>
    </w:p>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12. Authority and Conflict Rules</w:t>
      </w:r>
    </w:p>
    <w:p>
      <w:pPr>
        <w:spacing w:before="60" w:after="60"/>
      </w:pPr>
      <w:r>
        <w:rPr>
          <w:rFonts w:ascii="Arial" w:cs="Arial" w:eastAsia="Arial" w:hAnsi="Arial"/>
          <w:sz w:val="20"/>
          <w:szCs w:val="20"/>
        </w:rPr>
        <w:t xml:space="preserve">MA-CTX-001 sits at position 23 (lowest) in the family precedence table — MA-CTX is a reference and context family. This means:</w:t>
      </w:r>
    </w:p>
    <w:p>
      <w:pPr>
        <w:spacing w:before="40" w:after="40"/>
      </w:pPr>
    </w:p>
    <w:p>
      <w:pPr>
        <w:pStyle w:val="ListParagraph"/>
        <w:numPr>
          <w:ilvl w:val="0"/>
          <w:numId w:val="2"/>
        </w:numPr>
        <w:spacing w:before="40" w:after="40"/>
      </w:pPr>
      <w:r>
        <w:rPr>
          <w:rFonts w:ascii="Arial" w:cs="Arial" w:eastAsia="Arial" w:hAnsi="Arial"/>
          <w:b w:val="false"/>
          <w:bCs w:val="false"/>
          <w:sz w:val="20"/>
          <w:szCs w:val="20"/>
        </w:rPr>
        <w:t xml:space="preserve">If MA-DAT-001 defines a field differently than this document, MA-DAT-001 wins.</w:t>
      </w:r>
    </w:p>
    <w:p>
      <w:pPr>
        <w:pStyle w:val="ListParagraph"/>
        <w:numPr>
          <w:ilvl w:val="0"/>
          <w:numId w:val="2"/>
        </w:numPr>
        <w:spacing w:before="40" w:after="40"/>
      </w:pPr>
      <w:r>
        <w:rPr>
          <w:rFonts w:ascii="Arial" w:cs="Arial" w:eastAsia="Arial" w:hAnsi="Arial"/>
          <w:b w:val="false"/>
          <w:bCs w:val="false"/>
          <w:sz w:val="20"/>
          <w:szCs w:val="20"/>
        </w:rPr>
        <w:t xml:space="preserve">If MA-SEC-001 requires a control that affects registry design, MA-SEC-001 wins.</w:t>
      </w:r>
    </w:p>
    <w:p>
      <w:pPr>
        <w:pStyle w:val="ListParagraph"/>
        <w:numPr>
          <w:ilvl w:val="0"/>
          <w:numId w:val="2"/>
        </w:numPr>
        <w:spacing w:before="40" w:after="40"/>
      </w:pPr>
      <w:r>
        <w:rPr>
          <w:rFonts w:ascii="Arial" w:cs="Arial" w:eastAsia="Arial" w:hAnsi="Arial"/>
          <w:b w:val="false"/>
          <w:bCs w:val="false"/>
          <w:sz w:val="20"/>
          <w:szCs w:val="20"/>
        </w:rPr>
        <w:t xml:space="preserve">If MA-LCH-004 (Launch Truth) defines scope that conflicts with a registry build suggestion, Launch Truth wins.</w:t>
      </w:r>
    </w:p>
    <w:p>
      <w:pPr>
        <w:pStyle w:val="ListParagraph"/>
        <w:numPr>
          <w:ilvl w:val="0"/>
          <w:numId w:val="2"/>
        </w:numPr>
        <w:spacing w:before="40" w:after="40"/>
      </w:pPr>
      <w:r>
        <w:rPr>
          <w:rFonts w:ascii="Arial" w:cs="Arial" w:eastAsia="Arial" w:hAnsi="Arial"/>
          <w:b w:val="false"/>
          <w:bCs w:val="false"/>
          <w:sz w:val="20"/>
          <w:szCs w:val="20"/>
        </w:rPr>
        <w:t xml:space="preserve">If MA-ARC-001 describes knowledge graph architecture that conflicts with this document, MA-ARC-001 wins on architectural questions. MA-CTX-001 governs implementation specifics.</w:t>
      </w:r>
    </w:p>
    <w:p>
      <w:pPr>
        <w:spacing w:before="40" w:after="40"/>
      </w:pPr>
    </w:p>
    <w:p>
      <w:pPr>
        <w:spacing w:before="60" w:after="60"/>
      </w:pPr>
      <w:r>
        <w:rPr>
          <w:rFonts w:ascii="Arial" w:cs="Arial" w:eastAsia="Arial" w:hAnsi="Arial"/>
          <w:sz w:val="20"/>
          <w:szCs w:val="20"/>
        </w:rPr>
        <w:t xml:space="preserve">MA-CTX-001 is authoritative on:</w:t>
      </w:r>
    </w:p>
    <w:p>
      <w:pPr>
        <w:pStyle w:val="ListParagraph"/>
        <w:numPr>
          <w:ilvl w:val="0"/>
          <w:numId w:val="2"/>
        </w:numPr>
        <w:spacing w:before="40" w:after="40"/>
      </w:pPr>
      <w:r>
        <w:rPr>
          <w:rFonts w:ascii="Arial" w:cs="Arial" w:eastAsia="Arial" w:hAnsi="Arial"/>
          <w:b w:val="false"/>
          <w:bCs w:val="false"/>
          <w:sz w:val="20"/>
          <w:szCs w:val="20"/>
        </w:rPr>
        <w:t xml:space="preserve">Registry inventory (which registries exist)</w:t>
      </w:r>
    </w:p>
    <w:p>
      <w:pPr>
        <w:pStyle w:val="ListParagraph"/>
        <w:numPr>
          <w:ilvl w:val="0"/>
          <w:numId w:val="2"/>
        </w:numPr>
        <w:spacing w:before="40" w:after="40"/>
      </w:pPr>
      <w:r>
        <w:rPr>
          <w:rFonts w:ascii="Arial" w:cs="Arial" w:eastAsia="Arial" w:hAnsi="Arial"/>
          <w:b w:val="false"/>
          <w:bCs w:val="false"/>
          <w:sz w:val="20"/>
          <w:szCs w:val="20"/>
        </w:rPr>
        <w:t xml:space="preserve">Shared envelope schema</w:t>
      </w:r>
    </w:p>
    <w:p>
      <w:pPr>
        <w:pStyle w:val="ListParagraph"/>
        <w:numPr>
          <w:ilvl w:val="0"/>
          <w:numId w:val="2"/>
        </w:numPr>
        <w:spacing w:before="40" w:after="40"/>
      </w:pPr>
      <w:r>
        <w:rPr>
          <w:rFonts w:ascii="Arial" w:cs="Arial" w:eastAsia="Arial" w:hAnsi="Arial"/>
          <w:b w:val="false"/>
          <w:bCs w:val="false"/>
          <w:sz w:val="20"/>
          <w:szCs w:val="20"/>
        </w:rPr>
        <w:t xml:space="preserve">ID naming conventions</w:t>
      </w:r>
    </w:p>
    <w:p>
      <w:pPr>
        <w:pStyle w:val="ListParagraph"/>
        <w:numPr>
          <w:ilvl w:val="0"/>
          <w:numId w:val="2"/>
        </w:numPr>
        <w:spacing w:before="40" w:after="40"/>
      </w:pPr>
      <w:r>
        <w:rPr>
          <w:rFonts w:ascii="Arial" w:cs="Arial" w:eastAsia="Arial" w:hAnsi="Arial"/>
          <w:b w:val="false"/>
          <w:bCs w:val="false"/>
          <w:sz w:val="20"/>
          <w:szCs w:val="20"/>
        </w:rPr>
        <w:t xml:space="preserve">Status vocabulary</w:t>
      </w:r>
    </w:p>
    <w:p>
      <w:pPr>
        <w:pStyle w:val="ListParagraph"/>
        <w:numPr>
          <w:ilvl w:val="0"/>
          <w:numId w:val="2"/>
        </w:numPr>
        <w:spacing w:before="40" w:after="40"/>
      </w:pPr>
      <w:r>
        <w:rPr>
          <w:rFonts w:ascii="Arial" w:cs="Arial" w:eastAsia="Arial" w:hAnsi="Arial"/>
          <w:b w:val="false"/>
          <w:bCs w:val="false"/>
          <w:sz w:val="20"/>
          <w:szCs w:val="20"/>
        </w:rPr>
        <w:t xml:space="preserve">Agent write permissions</w:t>
      </w:r>
    </w:p>
    <w:p>
      <w:pPr>
        <w:pStyle w:val="ListParagraph"/>
        <w:numPr>
          <w:ilvl w:val="0"/>
          <w:numId w:val="2"/>
        </w:numPr>
        <w:spacing w:before="40" w:after="40"/>
      </w:pPr>
      <w:r>
        <w:rPr>
          <w:rFonts w:ascii="Arial" w:cs="Arial" w:eastAsia="Arial" w:hAnsi="Arial"/>
          <w:b w:val="false"/>
          <w:bCs w:val="false"/>
          <w:sz w:val="20"/>
          <w:szCs w:val="20"/>
        </w:rPr>
        <w:t xml:space="preserve">Relationship rules</w:t>
      </w:r>
    </w:p>
    <w:p>
      <w:pPr>
        <w:pStyle w:val="ListParagraph"/>
        <w:numPr>
          <w:ilvl w:val="0"/>
          <w:numId w:val="2"/>
        </w:numPr>
        <w:spacing w:before="40" w:after="40"/>
      </w:pPr>
      <w:r>
        <w:rPr>
          <w:rFonts w:ascii="Arial" w:cs="Arial" w:eastAsia="Arial" w:hAnsi="Arial"/>
          <w:b w:val="false"/>
          <w:bCs w:val="false"/>
          <w:sz w:val="20"/>
          <w:szCs w:val="20"/>
        </w:rPr>
        <w:t xml:space="preserve">Migration sequence</w:t>
      </w:r>
    </w:p>
    <w:p>
      <w:pPr>
        <w:spacing w:before="40" w:after="40"/>
      </w:pPr>
    </w:p>
    <w:p>
      <w:pPr>
        <w:pBdr>
          <w:bottom w:val="single" w:color="0E6B72" w:sz="4" w:space="1"/>
        </w:pBdr>
        <w:spacing w:before="120" w:after="120"/>
      </w:pPr>
    </w:p>
    <w:p>
      <w:pPr>
        <w:pStyle w:val="Heading1"/>
        <w:spacing w:before="320" w:after="160"/>
      </w:pPr>
      <w:r>
        <w:rPr>
          <w:rFonts w:ascii="Arial" w:cs="Arial" w:eastAsia="Arial" w:hAnsi="Arial"/>
          <w:b/>
          <w:bCs/>
          <w:color w:val="1B3A6B"/>
          <w:sz w:val="32"/>
          <w:szCs w:val="32"/>
        </w:rPr>
        <w:t xml:space="preserve">13. Maintenance Protocol</w:t>
      </w:r>
    </w:p>
    <w:p>
      <w:pPr>
        <w:spacing w:before="60" w:after="60"/>
      </w:pPr>
      <w:r>
        <w:rPr>
          <w:rFonts w:ascii="Arial" w:cs="Arial" w:eastAsia="Arial" w:hAnsi="Arial"/>
          <w:sz w:val="20"/>
          <w:szCs w:val="20"/>
        </w:rPr>
        <w:t xml:space="preserve">MA-CTX-001 is a living document within the following constraints:</w:t>
      </w:r>
    </w:p>
    <w:p>
      <w:pPr>
        <w:spacing w:before="40" w:after="40"/>
      </w:pPr>
    </w:p>
    <w:p>
      <w:pPr>
        <w:pStyle w:val="ListParagraph"/>
        <w:numPr>
          <w:ilvl w:val="0"/>
          <w:numId w:val="2"/>
        </w:numPr>
        <w:spacing w:before="40" w:after="40"/>
      </w:pPr>
      <w:r>
        <w:rPr>
          <w:rFonts w:ascii="Arial" w:cs="Arial" w:eastAsia="Arial" w:hAnsi="Arial"/>
          <w:b w:val="false"/>
          <w:bCs w:val="false"/>
          <w:sz w:val="20"/>
          <w:szCs w:val="20"/>
        </w:rPr>
        <w:t xml:space="preserve">New registry types require founder decision and explicit addition to the registry inventory in Section 3.</w:t>
      </w:r>
    </w:p>
    <w:p>
      <w:pPr>
        <w:pStyle w:val="ListParagraph"/>
        <w:numPr>
          <w:ilvl w:val="0"/>
          <w:numId w:val="2"/>
        </w:numPr>
        <w:spacing w:before="40" w:after="40"/>
      </w:pPr>
      <w:r>
        <w:rPr>
          <w:rFonts w:ascii="Arial" w:cs="Arial" w:eastAsia="Arial" w:hAnsi="Arial"/>
          <w:b w:val="false"/>
          <w:bCs w:val="false"/>
          <w:sz w:val="20"/>
          <w:szCs w:val="20"/>
        </w:rPr>
        <w:t xml:space="preserve">New fields on existing registries may be added by the founder or orchestration agent without a full document revision, provided they follow shared envelope conventions.</w:t>
      </w:r>
    </w:p>
    <w:p>
      <w:pPr>
        <w:pStyle w:val="ListParagraph"/>
        <w:numPr>
          <w:ilvl w:val="0"/>
          <w:numId w:val="2"/>
        </w:numPr>
        <w:spacing w:before="40" w:after="40"/>
      </w:pPr>
      <w:r>
        <w:rPr>
          <w:rFonts w:ascii="Arial" w:cs="Arial" w:eastAsia="Arial" w:hAnsi="Arial"/>
          <w:b w:val="false"/>
          <w:bCs w:val="false"/>
          <w:sz w:val="20"/>
          <w:szCs w:val="20"/>
        </w:rPr>
        <w:t xml:space="preserve">Status vocabulary changes require a document revision and version increment.</w:t>
      </w:r>
    </w:p>
    <w:p>
      <w:pPr>
        <w:pStyle w:val="ListParagraph"/>
        <w:numPr>
          <w:ilvl w:val="0"/>
          <w:numId w:val="2"/>
        </w:numPr>
        <w:spacing w:before="40" w:after="40"/>
      </w:pPr>
      <w:r>
        <w:rPr>
          <w:rFonts w:ascii="Arial" w:cs="Arial" w:eastAsia="Arial" w:hAnsi="Arial"/>
          <w:b w:val="false"/>
          <w:bCs w:val="false"/>
          <w:sz w:val="20"/>
          <w:szCs w:val="20"/>
        </w:rPr>
        <w:t xml:space="preserve">Agent write permission changes require a document revision and security review per MA-SEC-001.</w:t>
      </w:r>
    </w:p>
    <w:p>
      <w:pPr>
        <w:pStyle w:val="ListParagraph"/>
        <w:numPr>
          <w:ilvl w:val="0"/>
          <w:numId w:val="2"/>
        </w:numPr>
        <w:spacing w:before="40" w:after="40"/>
      </w:pPr>
      <w:r>
        <w:rPr>
          <w:rFonts w:ascii="Arial" w:cs="Arial" w:eastAsia="Arial" w:hAnsi="Arial"/>
          <w:b w:val="false"/>
          <w:bCs w:val="false"/>
          <w:sz w:val="20"/>
          <w:szCs w:val="20"/>
        </w:rPr>
        <w:t xml:space="preserve">The migration path in Section 11 is triggered by system signals, not calendar dates. Triggers must be evaluated at each MPR (Monthly Performance Review).</w:t>
      </w:r>
    </w:p>
    <w:p>
      <w:pPr>
        <w:spacing w:before="40" w:after="40"/>
      </w:pPr>
    </w:p>
    <w:p>
      <w:pPr>
        <w:pBdr>
          <w:left w:val="single" w:color="0E6B72" w:sz="6" w:space="8"/>
        </w:pBdr>
        <w:spacing w:before="80" w:after="80"/>
        <w:ind w:left="300"/>
      </w:pPr>
      <w:r>
        <w:rPr>
          <w:rFonts w:ascii="Arial" w:cs="Arial" w:eastAsia="Arial" w:hAnsi="Arial"/>
          <w:b/>
          <w:bCs/>
          <w:color w:val="0E6B72"/>
          <w:sz w:val="20"/>
          <w:szCs w:val="20"/>
        </w:rPr>
        <w:t xml:space="preserve">Version Rule: </w:t>
      </w:r>
      <w:r>
        <w:rPr>
          <w:rFonts w:ascii="Arial" w:cs="Arial" w:eastAsia="Arial" w:hAnsi="Arial"/>
          <w:sz w:val="20"/>
          <w:szCs w:val="20"/>
        </w:rPr>
        <w:t xml:space="preserve">This document follows the same versioning discipline as all canonical documents. Increment version on any substantive change. Archive prior version before overwriting.</w:t>
      </w:r>
    </w:p>
    <w:p>
      <w:pPr>
        <w:spacing w:before="40" w:after="40"/>
      </w:pPr>
    </w:p>
    <w:p>
      <w:pPr>
        <w:pBdr>
          <w:bottom w:val="single" w:color="0E6B72" w:sz="4" w:space="1"/>
        </w:pBdr>
        <w:spacing w:before="120" w:after="120"/>
      </w:pPr>
    </w:p>
    <w:p>
      <w:pPr>
        <w:spacing w:before="40" w:after="40"/>
      </w:pPr>
    </w:p>
    <w:p>
      <w:pPr>
        <w:spacing w:before="120" w:after="40"/>
      </w:pPr>
      <w:r>
        <w:rPr>
          <w:rFonts w:ascii="Arial" w:cs="Arial" w:eastAsia="Arial" w:hAnsi="Arial"/>
          <w:i/>
          <w:iCs/>
          <w:color w:val="888888"/>
          <w:sz w:val="16"/>
          <w:szCs w:val="16"/>
        </w:rPr>
        <w:t xml:space="preserve">MA-CTX-001 — Context Registry Specification — MyAdvocate Canonical Document System</w:t>
      </w:r>
    </w:p>
    <w:p>
      <w:pPr>
        <w:spacing w:before="0" w:after="0"/>
      </w:pPr>
      <w:r>
        <w:rPr>
          <w:rFonts w:ascii="Arial" w:cs="Arial" w:eastAsia="Arial" w:hAnsi="Arial"/>
          <w:i/>
          <w:iCs/>
          <w:color w:val="888888"/>
          <w:sz w:val="16"/>
          <w:szCs w:val="16"/>
        </w:rPr>
        <w:t xml:space="preserve">Authority: MA-DAT-001 governs object definitions. MA-SEC-001 governs privacy controls. MA-LCH-004 governs Phase 1 scope. MA-CTX-001 governs context registry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E6B72"/>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2026-03-12T17:42:04.878Z</dcterms:created>
  <dcterms:modified xsi:type="dcterms:W3CDTF">2026-03-12T17:42:04.879Z</dcterms:modified>
</cp:coreProperties>
</file>

<file path=docProps/custom.xml><?xml version="1.0" encoding="utf-8"?>
<Properties xmlns="http://schemas.openxmlformats.org/officeDocument/2006/custom-properties" xmlns:vt="http://schemas.openxmlformats.org/officeDocument/2006/docPropsVTypes"/>
</file>