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00" w:before="0"/>
        <w:jc w:val="left"/>
      </w:pPr>
      <w:r>
        <w:rPr>
          <w:rFonts w:ascii="Arial" w:cs="Arial" w:eastAsia="Arial" w:hAnsi="Arial"/>
          <w:b/>
          <w:bCs/>
          <w:color w:val="1A6B72"/>
          <w:sz w:val="52"/>
          <w:szCs w:val="52"/>
        </w:rPr>
        <w:t xml:space="preserve">MYADVOCATE</w:t>
      </w:r>
    </w:p>
    <w:p>
      <w:pPr>
        <w:spacing w:after="80" w:before="0"/>
        <w:jc w:val="left"/>
      </w:pPr>
      <w:r>
        <w:rPr>
          <w:rFonts w:ascii="Arial" w:cs="Arial" w:eastAsia="Arial" w:hAnsi="Arial"/>
          <w:b/>
          <w:bCs/>
          <w:color w:val="1B2E4B"/>
          <w:sz w:val="46"/>
          <w:szCs w:val="46"/>
        </w:rPr>
        <w:t xml:space="preserve">Patient Story Engine</w:t>
      </w:r>
    </w:p>
    <w:p>
      <w:pPr>
        <w:spacing w:after="40" w:before="0"/>
        <w:jc w:val="left"/>
      </w:pPr>
      <w:r>
        <w:rPr>
          <w:rFonts w:ascii="Arial" w:cs="Arial" w:eastAsia="Arial" w:hAnsi="Arial"/>
          <w:color w:val="1A6B72"/>
          <w:sz w:val="24"/>
          <w:szCs w:val="24"/>
        </w:rPr>
        <w:t xml:space="preserve">Addendum AAJ — Supplemental to AAI (Automated Social Distribution)</w:t>
      </w:r>
    </w:p>
    <w:p>
      <w:pPr>
        <w:pBdr>
          <w:bottom w:val="single" w:color="1A6B72" w:sz="6" w:space="1"/>
        </w:pBdr>
        <w:spacing w:after="140" w:before="140"/>
      </w:pPr>
    </w:p>
    <w:p>
      <w:pPr>
        <w:spacing w:after="60" w:before="100"/>
      </w:pPr>
      <w:r>
        <w:rPr>
          <w:rFonts w:ascii="Arial" w:cs="Arial" w:eastAsia="Arial" w:hAnsi="Arial"/>
          <w:color w:val="1A1A1A"/>
          <w:sz w:val="24"/>
          <w:szCs w:val="24"/>
        </w:rPr>
        <w:t xml:space="preserve">Sourcing  •  Scrubbing  •  Script Production  •  Legal / Ethical Compliance</w:t>
      </w:r>
    </w:p>
    <w:p>
      <w:pPr>
        <w:spacing w:after="60" w:before="60"/>
      </w:pPr>
      <w:r>
        <w:rPr>
          <w:rFonts w:ascii="Arial" w:cs="Arial" w:eastAsia="Arial" w:hAnsi="Arial"/>
          <w:color w:val="1A1A1A"/>
          <w:sz w:val="24"/>
          <w:szCs w:val="24"/>
        </w:rPr>
        <w:t xml:space="preserve">AI Actor Framework  •  Anonymity Architecture  •  Channel Integration  •  Rollout Gates</w:t>
      </w:r>
    </w:p>
    <w:p>
      <w:pPr>
        <w:spacing w:after="0" w:before="300"/>
      </w:pPr>
    </w:p>
    <w:p>
      <w:pPr>
        <w:spacing w:after="50" w:before="50"/>
      </w:pPr>
      <w:r>
        <w:rPr>
          <w:rFonts w:ascii="Arial" w:cs="Arial" w:eastAsia="Arial" w:hAnsi="Arial"/>
          <w:b/>
          <w:bCs/>
          <w:color w:val="1B2E4B"/>
          <w:sz w:val="22"/>
          <w:szCs w:val="22"/>
        </w:rPr>
        <w:t xml:space="preserve">Document ID: </w:t>
      </w:r>
      <w:r>
        <w:rPr>
          <w:rFonts w:ascii="Arial" w:cs="Arial" w:eastAsia="Arial" w:hAnsi="Arial"/>
          <w:color w:val="1A1A1A"/>
          <w:sz w:val="22"/>
          <w:szCs w:val="22"/>
        </w:rPr>
        <w:t xml:space="preserve">MA-SOC-002</w:t>
      </w:r>
    </w:p>
    <w:p>
      <w:pPr>
        <w:spacing w:after="50" w:before="50"/>
      </w:pPr>
      <w:r>
        <w:rPr>
          <w:rFonts w:ascii="Arial" w:cs="Arial" w:eastAsia="Arial" w:hAnsi="Arial"/>
          <w:b/>
          <w:bCs/>
          <w:color w:val="1B2E4B"/>
          <w:sz w:val="22"/>
          <w:szCs w:val="22"/>
        </w:rPr>
        <w:t xml:space="preserve">Version: </w:t>
      </w:r>
      <w:r>
        <w:rPr>
          <w:rFonts w:ascii="Arial" w:cs="Arial" w:eastAsia="Arial" w:hAnsi="Arial"/>
          <w:color w:val="1A1A1A"/>
          <w:sz w:val="22"/>
          <w:szCs w:val="22"/>
        </w:rPr>
        <w:t xml:space="preserve">1.0</w:t>
      </w:r>
    </w:p>
    <w:p>
      <w:pPr>
        <w:spacing w:after="50" w:before="50"/>
      </w:pPr>
      <w:r>
        <w:rPr>
          <w:rFonts w:ascii="Arial" w:cs="Arial" w:eastAsia="Arial" w:hAnsi="Arial"/>
          <w:b/>
          <w:bCs/>
          <w:color w:val="1B2E4B"/>
          <w:sz w:val="22"/>
          <w:szCs w:val="22"/>
        </w:rPr>
        <w:t xml:space="preserve">Status: </w:t>
      </w:r>
      <w:r>
        <w:rPr>
          <w:rFonts w:ascii="Arial" w:cs="Arial" w:eastAsia="Arial" w:hAnsi="Arial"/>
          <w:color w:val="1A1A1A"/>
          <w:sz w:val="22"/>
          <w:szCs w:val="22"/>
        </w:rPr>
        <w:t xml:space="preserve">Approved for integration — Phase 1 pre-build, story bank active</w:t>
      </w:r>
    </w:p>
    <w:p>
      <w:pPr>
        <w:spacing w:after="50" w:before="50"/>
      </w:pPr>
      <w:r>
        <w:rPr>
          <w:rFonts w:ascii="Arial" w:cs="Arial" w:eastAsia="Arial" w:hAnsi="Arial"/>
          <w:b/>
          <w:bCs/>
          <w:color w:val="1B2E4B"/>
          <w:sz w:val="22"/>
          <w:szCs w:val="22"/>
        </w:rPr>
        <w:t xml:space="preserve">Supplements: </w:t>
      </w:r>
      <w:r>
        <w:rPr>
          <w:rFonts w:ascii="Arial" w:cs="Arial" w:eastAsia="Arial" w:hAnsi="Arial"/>
          <w:color w:val="1A1A1A"/>
          <w:sz w:val="22"/>
          <w:szCs w:val="22"/>
        </w:rPr>
        <w:t xml:space="preserve">AAI (Automated Social Distribution), YouTube &amp; Spanish Strategy Report, Instagram Strategy v2.0</w:t>
      </w:r>
    </w:p>
    <w:p>
      <w:pPr>
        <w:spacing w:after="50" w:before="50"/>
      </w:pPr>
      <w:r>
        <w:rPr>
          <w:rFonts w:ascii="Arial" w:cs="Arial" w:eastAsia="Arial" w:hAnsi="Arial"/>
          <w:b/>
          <w:bCs/>
          <w:color w:val="1B2E4B"/>
          <w:sz w:val="22"/>
          <w:szCs w:val="22"/>
        </w:rPr>
        <w:t xml:space="preserve">Authority: </w:t>
      </w:r>
      <w:r>
        <w:rPr>
          <w:rFonts w:ascii="Arial" w:cs="Arial" w:eastAsia="Arial" w:hAnsi="Arial"/>
          <w:color w:val="1A1A1A"/>
          <w:sz w:val="22"/>
          <w:szCs w:val="22"/>
        </w:rPr>
        <w:t xml:space="preserve">MA-PMP-001 → MA-LCH-002 → MA-SEC-001. Founder + nurse co-founder approval required at each story scrubbing gate.</w:t>
      </w:r>
    </w:p>
    <w:p>
      <w:pPr>
        <w:pageBreakBefore/>
      </w:pPr>
    </w:p>
    <w:p>
      <w:pPr>
        <w:pBdr>
          <w:bottom w:val="single" w:color="1A6B72" w:sz="16" w:space="6"/>
        </w:pBdr>
        <w:spacing w:after="200" w:before="0"/>
      </w:pPr>
      <w:r>
        <w:rPr>
          <w:rFonts w:ascii="Arial" w:cs="Arial" w:eastAsia="Arial" w:hAnsi="Arial"/>
          <w:b/>
          <w:bCs/>
          <w:color w:val="1A6B72"/>
          <w:sz w:val="38"/>
          <w:szCs w:val="38"/>
        </w:rPr>
        <w:t xml:space="preserve">EXECUTIVE SUMMARY</w:t>
      </w:r>
    </w:p>
    <w:p>
      <w:pPr>
        <w:spacing w:after="60" w:before="60"/>
      </w:pPr>
      <w:r>
        <w:rPr>
          <w:rFonts w:ascii="Arial" w:cs="Arial" w:eastAsia="Arial" w:hAnsi="Arial"/>
          <w:color w:val="1A1A1A"/>
          <w:sz w:val="22"/>
          <w:szCs w:val="22"/>
        </w:rPr>
        <w:t xml:space="preserve">This addendum defines the Patient Story Engine — MyAdvocate's framework for sourcing, scrubbing, scripting, and distributing real patient experiences as video content across YouTube Shorts, Instagram Reels, and future channels.</w:t>
      </w:r>
    </w:p>
    <w:p>
      <w:pPr>
        <w:spacing w:after="60" w:before="60"/>
      </w:pPr>
      <w:r>
        <w:rPr>
          <w:rFonts w:ascii="Arial" w:cs="Arial" w:eastAsia="Arial" w:hAnsi="Arial"/>
          <w:color w:val="1A1A1A"/>
          <w:sz w:val="22"/>
          <w:szCs w:val="22"/>
        </w:rPr>
        <w:t xml:space="preserve">The engine has two sourcing tracks: a Submission Track (users voluntarily submit their own stories via an on-platform form) and a Research Track (stories scraped from public sources, semi-fictionalized, and fully anonymized before use). Both tracks produce the same output: emotionally authentic, legally clean, brand-compliant short-form video content voiced by a consistent AI actor character.</w:t>
      </w:r>
    </w:p>
    <w:p>
      <w:pPr>
        <w:spacing w:after="60" w:before="60"/>
      </w:pPr>
      <w:r>
        <w:rPr>
          <w:rFonts w:ascii="Arial" w:cs="Arial" w:eastAsia="Arial" w:hAnsi="Arial"/>
          <w:color w:val="1A1A1A"/>
          <w:sz w:val="22"/>
          <w:szCs w:val="22"/>
        </w:rPr>
        <w:t xml:space="preserve">Both founders remain fully anonymous. The AI actor is the face of all video content. The character design and voice are the trust signal — not the founders' identities.</w:t>
      </w:r>
    </w:p>
    <w:p>
      <w:pPr>
        <w:spacing w:after="0" w:before="100"/>
      </w:pPr>
    </w:p>
    <w:p>
      <w:pPr>
        <w:pBdr>
          <w:left w:val="single" w:color="1E6B3A" w:sz="14" w:space="8"/>
        </w:pBdr>
        <w:shd w:fill="F0F7F0" w:val="clear"/>
        <w:spacing w:after="80" w:before="80"/>
      </w:pPr>
      <w:r>
        <w:rPr>
          <w:rFonts w:ascii="Arial" w:cs="Arial" w:eastAsia="Arial" w:hAnsi="Arial"/>
          <w:i/>
          <w:iCs/>
          <w:color w:val="1A1A1A"/>
          <w:sz w:val="22"/>
          <w:szCs w:val="22"/>
        </w:rPr>
        <w:t xml:space="preserve">  Core thesis: Real patient stories convert because the suffering is recognized as true. A person who just had their Humira denied watches a video that accurately describes their exact situation and thinks: 'someone understands what I'm going through.' That recognition is the conversion moment. AI-written scenarios cannot replicate it. Real scraped and submitted stories can.</w:t>
      </w:r>
    </w:p>
    <w:p>
      <w:pPr>
        <w:spacing w:after="0" w:before="80"/>
      </w:pPr>
    </w:p>
    <w:p>
      <w:pPr>
        <w:pStyle w:val="Heading3"/>
        <w:spacing w:after="60" w:before="180"/>
      </w:pPr>
      <w:r>
        <w:rPr>
          <w:rFonts w:ascii="Arial" w:cs="Arial" w:eastAsia="Arial" w:hAnsi="Arial"/>
          <w:b/>
          <w:bCs/>
          <w:color w:val="1B2E4B"/>
          <w:sz w:val="23"/>
          <w:szCs w:val="23"/>
        </w:rPr>
        <w:t xml:space="preserve">What This Addendum Governs</w:t>
      </w:r>
    </w:p>
    <w:p>
      <w:pPr>
        <w:pStyle w:val="ListParagraph"/>
        <w:numPr>
          <w:ilvl w:val="0"/>
          <w:numId w:val="2"/>
        </w:numPr>
        <w:spacing w:after="40" w:before="40"/>
      </w:pPr>
      <w:r>
        <w:rPr>
          <w:rFonts w:ascii="Arial" w:cs="Arial" w:eastAsia="Arial" w:hAnsi="Arial"/>
          <w:color w:val="1A1A1A"/>
          <w:sz w:val="22"/>
          <w:szCs w:val="22"/>
        </w:rPr>
        <w:t xml:space="preserve">The two sourcing tracks and their distinct legal/ethical frameworks</w:t>
      </w:r>
    </w:p>
    <w:p>
      <w:pPr>
        <w:pStyle w:val="ListParagraph"/>
        <w:numPr>
          <w:ilvl w:val="0"/>
          <w:numId w:val="2"/>
        </w:numPr>
        <w:spacing w:after="40" w:before="40"/>
      </w:pPr>
      <w:r>
        <w:rPr>
          <w:rFonts w:ascii="Arial" w:cs="Arial" w:eastAsia="Arial" w:hAnsi="Arial"/>
          <w:color w:val="1A1A1A"/>
          <w:sz w:val="22"/>
          <w:szCs w:val="22"/>
        </w:rPr>
        <w:t xml:space="preserve">The PII scrubbing protocol and semi-fictionalization rules</w:t>
      </w:r>
    </w:p>
    <w:p>
      <w:pPr>
        <w:pStyle w:val="ListParagraph"/>
        <w:numPr>
          <w:ilvl w:val="0"/>
          <w:numId w:val="2"/>
        </w:numPr>
        <w:spacing w:after="40" w:before="40"/>
      </w:pPr>
      <w:r>
        <w:rPr>
          <w:rFonts w:ascii="Arial" w:cs="Arial" w:eastAsia="Arial" w:hAnsi="Arial"/>
          <w:color w:val="1A1A1A"/>
          <w:sz w:val="22"/>
          <w:szCs w:val="22"/>
        </w:rPr>
        <w:t xml:space="preserve">The AI actor character specification for MyAdvocate</w:t>
      </w:r>
    </w:p>
    <w:p>
      <w:pPr>
        <w:pStyle w:val="ListParagraph"/>
        <w:numPr>
          <w:ilvl w:val="0"/>
          <w:numId w:val="2"/>
        </w:numPr>
        <w:spacing w:after="40" w:before="40"/>
      </w:pPr>
      <w:r>
        <w:rPr>
          <w:rFonts w:ascii="Arial" w:cs="Arial" w:eastAsia="Arial" w:hAnsi="Arial"/>
          <w:color w:val="1A1A1A"/>
          <w:sz w:val="22"/>
          <w:szCs w:val="22"/>
        </w:rPr>
        <w:t xml:space="preserve">The script production pipeline from raw story to YMYL-compliant video</w:t>
      </w:r>
    </w:p>
    <w:p>
      <w:pPr>
        <w:pStyle w:val="ListParagraph"/>
        <w:numPr>
          <w:ilvl w:val="0"/>
          <w:numId w:val="2"/>
        </w:numPr>
        <w:spacing w:after="40" w:before="40"/>
      </w:pPr>
      <w:r>
        <w:rPr>
          <w:rFonts w:ascii="Arial" w:cs="Arial" w:eastAsia="Arial" w:hAnsi="Arial"/>
          <w:color w:val="1A1A1A"/>
          <w:sz w:val="22"/>
          <w:szCs w:val="22"/>
        </w:rPr>
        <w:t xml:space="preserve">Integration with YouTube (AAI / YT Strategy), Instagram (Instagram v2.0), and the Board of Agents</w:t>
      </w:r>
    </w:p>
    <w:p>
      <w:pPr>
        <w:pStyle w:val="ListParagraph"/>
        <w:numPr>
          <w:ilvl w:val="0"/>
          <w:numId w:val="2"/>
        </w:numPr>
        <w:spacing w:after="40" w:before="40"/>
      </w:pPr>
      <w:r>
        <w:rPr>
          <w:rFonts w:ascii="Arial" w:cs="Arial" w:eastAsia="Arial" w:hAnsi="Arial"/>
          <w:color w:val="1A1A1A"/>
          <w:sz w:val="22"/>
          <w:szCs w:val="22"/>
        </w:rPr>
        <w:t xml:space="preserve">Rollout gates, monitoring framework, and red/orange/green flag registry</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1 — DUAL SOURCING ARCHITECTURE</w:t>
      </w:r>
    </w:p>
    <w:p>
      <w:pPr>
        <w:spacing w:after="60" w:before="60"/>
      </w:pPr>
      <w:r>
        <w:rPr>
          <w:rFonts w:ascii="Arial" w:cs="Arial" w:eastAsia="Arial" w:hAnsi="Arial"/>
          <w:color w:val="1A1A1A"/>
          <w:sz w:val="22"/>
          <w:szCs w:val="22"/>
        </w:rPr>
        <w:t xml:space="preserve">The Patient Story Engine runs two sourcing tracks simultaneously. They are not interchangeable. They have different legal bases, different ethical requirements, and different production protocols. Mixing the tracks — treating a scraped story as if it were a submission, or vice versa — is an operational failure that the pipeline must structurally prevent.</w:t>
      </w:r>
    </w:p>
    <w:p>
      <w:pPr>
        <w:pStyle w:val="Heading2"/>
        <w:spacing w:after="80" w:before="260"/>
      </w:pPr>
      <w:r>
        <w:rPr>
          <w:rFonts w:ascii="Arial" w:cs="Arial" w:eastAsia="Arial" w:hAnsi="Arial"/>
          <w:b/>
          <w:bCs/>
          <w:color w:val="1A6B72"/>
          <w:sz w:val="27"/>
          <w:szCs w:val="27"/>
        </w:rPr>
        <w:t xml:space="preserve">Track A — Submission Track (Primary)</w:t>
      </w:r>
    </w:p>
    <w:p>
      <w:pPr>
        <w:pBdr>
          <w:left w:val="single" w:color="1E6B3A" w:sz="14" w:space="8"/>
        </w:pBdr>
        <w:shd w:fill="F0F7F0" w:val="clear"/>
        <w:spacing w:after="80" w:before="80"/>
      </w:pPr>
      <w:r>
        <w:rPr>
          <w:rFonts w:ascii="Arial" w:cs="Arial" w:eastAsia="Arial" w:hAnsi="Arial"/>
          <w:i/>
          <w:iCs/>
          <w:color w:val="1A1A1A"/>
          <w:sz w:val="22"/>
          <w:szCs w:val="22"/>
        </w:rPr>
        <w:t xml:space="preserve">  This is the preferred track. Stories submitted voluntarily with explicit consent are legally clean, ethically unambiguous, and stronger brand assets than scraped content. Build the submission infrastructure first.</w:t>
      </w:r>
    </w:p>
    <w:p>
      <w:pPr>
        <w:pStyle w:val="Heading3"/>
        <w:spacing w:after="60" w:before="180"/>
      </w:pPr>
      <w:r>
        <w:rPr>
          <w:rFonts w:ascii="Arial" w:cs="Arial" w:eastAsia="Arial" w:hAnsi="Arial"/>
          <w:b/>
          <w:bCs/>
          <w:color w:val="1B2E4B"/>
          <w:sz w:val="23"/>
          <w:szCs w:val="23"/>
        </w:rPr>
        <w:t xml:space="preserve">How It Works</w:t>
      </w:r>
    </w:p>
    <w:p>
      <w:pPr>
        <w:spacing w:after="60" w:before="60"/>
      </w:pPr>
      <w:r>
        <w:rPr>
          <w:rFonts w:ascii="Arial" w:cs="Arial" w:eastAsia="Arial" w:hAnsi="Arial"/>
          <w:color w:val="1A1A1A"/>
          <w:sz w:val="22"/>
          <w:szCs w:val="22"/>
        </w:rPr>
        <w:t xml:space="preserve">A simple submission form on the MyAdvocate platform invites users to share their story anonymously. The form is positioned as an act of community solidarity — 'Your story could help someone else fight back.' The form collects the story, not the person.</w:t>
      </w:r>
    </w:p>
    <w:p>
      <w:pPr>
        <w:pStyle w:val="Heading3"/>
        <w:spacing w:after="60" w:before="180"/>
      </w:pPr>
      <w:r>
        <w:rPr>
          <w:rFonts w:ascii="Arial" w:cs="Arial" w:eastAsia="Arial" w:hAnsi="Arial"/>
          <w:b/>
          <w:bCs/>
          <w:color w:val="1B2E4B"/>
          <w:sz w:val="23"/>
          <w:szCs w:val="23"/>
        </w:rPr>
        <w:t xml:space="preserve">Submission Form Fields</w:t>
      </w:r>
    </w:p>
    <w:p>
      <w:pPr>
        <w:pStyle w:val="ListParagraph"/>
        <w:numPr>
          <w:ilvl w:val="0"/>
          <w:numId w:val="2"/>
        </w:numPr>
        <w:spacing w:after="40" w:before="40"/>
      </w:pPr>
      <w:r>
        <w:rPr>
          <w:rFonts w:ascii="Arial" w:cs="Arial" w:eastAsia="Arial" w:hAnsi="Arial"/>
          <w:color w:val="1A1A1A"/>
          <w:sz w:val="22"/>
          <w:szCs w:val="22"/>
        </w:rPr>
        <w:t xml:space="preserve">What happened (free text — denial type, billing issue, care dispute)</w:t>
      </w:r>
    </w:p>
    <w:p>
      <w:pPr>
        <w:pStyle w:val="ListParagraph"/>
        <w:numPr>
          <w:ilvl w:val="0"/>
          <w:numId w:val="2"/>
        </w:numPr>
        <w:spacing w:after="40" w:before="40"/>
      </w:pPr>
      <w:r>
        <w:rPr>
          <w:rFonts w:ascii="Arial" w:cs="Arial" w:eastAsia="Arial" w:hAnsi="Arial"/>
          <w:color w:val="1A1A1A"/>
          <w:sz w:val="22"/>
          <w:szCs w:val="22"/>
        </w:rPr>
        <w:t xml:space="preserve">How it made you feel (optional — emotional context for script authenticity)</w:t>
      </w:r>
    </w:p>
    <w:p>
      <w:pPr>
        <w:pStyle w:val="ListParagraph"/>
        <w:numPr>
          <w:ilvl w:val="0"/>
          <w:numId w:val="2"/>
        </w:numPr>
        <w:spacing w:after="40" w:before="40"/>
      </w:pPr>
      <w:r>
        <w:rPr>
          <w:rFonts w:ascii="Arial" w:cs="Arial" w:eastAsia="Arial" w:hAnsi="Arial"/>
          <w:color w:val="1A1A1A"/>
          <w:sz w:val="22"/>
          <w:szCs w:val="22"/>
        </w:rPr>
        <w:t xml:space="preserve">What you did / what worked (optional — resolution arc)</w:t>
      </w:r>
    </w:p>
    <w:p>
      <w:pPr>
        <w:pStyle w:val="ListParagraph"/>
        <w:numPr>
          <w:ilvl w:val="0"/>
          <w:numId w:val="2"/>
        </w:numPr>
        <w:spacing w:after="40" w:before="40"/>
      </w:pPr>
      <w:r>
        <w:rPr>
          <w:rFonts w:ascii="Arial" w:cs="Arial" w:eastAsia="Arial" w:hAnsi="Arial"/>
          <w:color w:val="1A1A1A"/>
          <w:sz w:val="22"/>
          <w:szCs w:val="22"/>
        </w:rPr>
        <w:t xml:space="preserve">State (dropdown — for state-specific rights context)</w:t>
      </w:r>
    </w:p>
    <w:p>
      <w:pPr>
        <w:pStyle w:val="ListParagraph"/>
        <w:numPr>
          <w:ilvl w:val="0"/>
          <w:numId w:val="2"/>
        </w:numPr>
        <w:spacing w:after="40" w:before="40"/>
      </w:pPr>
      <w:r>
        <w:rPr>
          <w:rFonts w:ascii="Arial" w:cs="Arial" w:eastAsia="Arial" w:hAnsi="Arial"/>
          <w:color w:val="1A1A1A"/>
          <w:sz w:val="22"/>
          <w:szCs w:val="22"/>
        </w:rPr>
        <w:t xml:space="preserve">Insurance type (dropdown: employer, marketplace, Medicare, Medicaid, other)</w:t>
      </w:r>
    </w:p>
    <w:p>
      <w:pPr>
        <w:pStyle w:val="ListParagraph"/>
        <w:numPr>
          <w:ilvl w:val="0"/>
          <w:numId w:val="2"/>
        </w:numPr>
        <w:spacing w:after="40" w:before="40"/>
      </w:pPr>
      <w:r>
        <w:rPr>
          <w:rFonts w:ascii="Arial" w:cs="Arial" w:eastAsia="Arial" w:hAnsi="Arial"/>
          <w:color w:val="1A1A1A"/>
          <w:sz w:val="22"/>
          <w:szCs w:val="22"/>
        </w:rPr>
        <w:t xml:space="preserve">Explicit consent checkbox: 'I give MyAdvocate permission to use this story, fully anonymized and altered to protect my identity, in educational content.'</w:t>
      </w:r>
    </w:p>
    <w:p>
      <w:pPr>
        <w:pStyle w:val="ListParagraph"/>
        <w:numPr>
          <w:ilvl w:val="0"/>
          <w:numId w:val="2"/>
        </w:numPr>
        <w:spacing w:after="40" w:before="40"/>
      </w:pPr>
      <w:r>
        <w:rPr>
          <w:rFonts w:ascii="Arial" w:cs="Arial" w:eastAsia="Arial" w:hAnsi="Arial"/>
          <w:color w:val="1A1A1A"/>
          <w:sz w:val="22"/>
          <w:szCs w:val="22"/>
        </w:rPr>
        <w:t xml:space="preserve">Optional: 'I am comfortable being contacted for follow-up (email only, no phone).'</w:t>
      </w:r>
    </w:p>
    <w:p>
      <w:pPr>
        <w:pStyle w:val="Heading3"/>
        <w:spacing w:after="60" w:before="180"/>
      </w:pPr>
      <w:r>
        <w:rPr>
          <w:rFonts w:ascii="Arial" w:cs="Arial" w:eastAsia="Arial" w:hAnsi="Arial"/>
          <w:b/>
          <w:bCs/>
          <w:color w:val="1B2E4B"/>
          <w:sz w:val="23"/>
          <w:szCs w:val="23"/>
        </w:rPr>
        <w:t xml:space="preserve">What Submissions Generate</w:t>
      </w:r>
    </w:p>
    <w:p>
      <w:pPr>
        <w:pStyle w:val="ListParagraph"/>
        <w:numPr>
          <w:ilvl w:val="0"/>
          <w:numId w:val="2"/>
        </w:numPr>
        <w:spacing w:after="40" w:before="40"/>
      </w:pPr>
      <w:r>
        <w:rPr>
          <w:rFonts w:ascii="Arial" w:cs="Arial" w:eastAsia="Arial" w:hAnsi="Arial"/>
          <w:color w:val="1A1A1A"/>
          <w:sz w:val="22"/>
          <w:szCs w:val="22"/>
        </w:rPr>
        <w:t xml:space="preserve">A timestamped, consent-verified story record in Supabase (no PII beyond what the user chose to share)</w:t>
      </w:r>
    </w:p>
    <w:p>
      <w:pPr>
        <w:pStyle w:val="ListParagraph"/>
        <w:numPr>
          <w:ilvl w:val="0"/>
          <w:numId w:val="2"/>
        </w:numPr>
        <w:spacing w:after="40" w:before="40"/>
      </w:pPr>
      <w:r>
        <w:rPr>
          <w:rFonts w:ascii="Arial" w:cs="Arial" w:eastAsia="Arial" w:hAnsi="Arial"/>
          <w:color w:val="1A1A1A"/>
          <w:sz w:val="22"/>
          <w:szCs w:val="22"/>
        </w:rPr>
        <w:t xml:space="preserve">Automatic routing to the Story Bank queue for scrubbing</w:t>
      </w:r>
    </w:p>
    <w:p>
      <w:pPr>
        <w:pStyle w:val="ListParagraph"/>
        <w:numPr>
          <w:ilvl w:val="0"/>
          <w:numId w:val="2"/>
        </w:numPr>
        <w:spacing w:after="40" w:before="40"/>
      </w:pPr>
      <w:r>
        <w:rPr>
          <w:rFonts w:ascii="Arial" w:cs="Arial" w:eastAsia="Arial" w:hAnsi="Arial"/>
          <w:color w:val="1A1A1A"/>
          <w:sz w:val="22"/>
          <w:szCs w:val="22"/>
        </w:rPr>
        <w:t xml:space="preserve">A thank-you email via Beehiiv with a free resource or letter credit as acknowledgment</w:t>
      </w:r>
    </w:p>
    <w:p>
      <w:pPr>
        <w:spacing w:after="0" w:before="80"/>
      </w:pPr>
    </w:p>
    <w:p>
      <w:pPr>
        <w:pBdr>
          <w:top w:val="single" w:color="1E6B3A" w:sz="2"/>
          <w:bottom w:val="single" w:color="1E6B3A" w:sz="2"/>
          <w:left w:val="single" w:color="1E6B3A" w:sz="16"/>
          <w:right w:val="single" w:color="1E6B3A" w:sz="2"/>
        </w:pBdr>
        <w:shd w:fill="F0F7F0" w:val="clear"/>
        <w:spacing w:after="100" w:before="100"/>
      </w:pPr>
      <w:r>
        <w:rPr>
          <w:rFonts w:ascii="Arial" w:cs="Arial" w:eastAsia="Arial" w:hAnsi="Arial"/>
          <w:b/>
          <w:bCs/>
          <w:color w:val="1E6B3A"/>
          <w:sz w:val="22"/>
          <w:szCs w:val="22"/>
        </w:rPr>
        <w:t xml:space="preserve">✅  CLEARED — </w:t>
      </w:r>
      <w:r>
        <w:rPr>
          <w:rFonts w:ascii="Arial" w:cs="Arial" w:eastAsia="Arial" w:hAnsi="Arial"/>
          <w:color w:val="1A1A1A"/>
          <w:sz w:val="22"/>
          <w:szCs w:val="22"/>
        </w:rPr>
        <w:t xml:space="preserve">Submission Track stories have explicit consent. They can be used in video content, referenced on the platform as 'real stories from real users,' and — with additional consent — potentially form the basis of named case studies in future B2B materials.</w:t>
      </w:r>
    </w:p>
    <w:p>
      <w:pPr>
        <w:spacing w:after="0" w:before="8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ORANGE FLAG — Consent scope: The checkbox grants permission for educational video content only. Using a submitted story in paid advertising, press materials, or B2B sales decks requires separate written consent obtained at that time. Do not assume the initial consent covers future use cases. This is a lawyer-review item before B2B activation at Signal 5.</w:t>
      </w:r>
    </w:p>
    <w:p>
      <w:pPr>
        <w:pStyle w:val="Heading2"/>
        <w:spacing w:after="80" w:before="260"/>
      </w:pPr>
      <w:r>
        <w:rPr>
          <w:rFonts w:ascii="Arial" w:cs="Arial" w:eastAsia="Arial" w:hAnsi="Arial"/>
          <w:b/>
          <w:bCs/>
          <w:color w:val="1A6B72"/>
          <w:sz w:val="27"/>
          <w:szCs w:val="27"/>
        </w:rPr>
        <w:t xml:space="preserve">Track B — Research Track (Secondary)</w:t>
      </w:r>
    </w:p>
    <w:p>
      <w:pPr>
        <w:spacing w:after="60" w:before="60"/>
      </w:pPr>
      <w:r>
        <w:rPr>
          <w:rFonts w:ascii="Arial" w:cs="Arial" w:eastAsia="Arial" w:hAnsi="Arial"/>
          <w:color w:val="1A1A1A"/>
          <w:sz w:val="22"/>
          <w:szCs w:val="22"/>
        </w:rPr>
        <w:t xml:space="preserve">Public posts from Reddit (r/HealthInsurance, r/ChronicIllness, r/patientsadvocacy, condition-specific communities), CFPB complaint database, state insurance commissioner complaint records, and public patient advocacy forum threads. These sources are legally public but carry ethical considerations that require a structured handling protocol.</w:t>
      </w:r>
    </w:p>
    <w:p>
      <w:pPr>
        <w:pStyle w:val="Heading3"/>
        <w:spacing w:after="60" w:before="180"/>
      </w:pPr>
      <w:r>
        <w:rPr>
          <w:rFonts w:ascii="Arial" w:cs="Arial" w:eastAsia="Arial" w:hAnsi="Arial"/>
          <w:b/>
          <w:bCs/>
          <w:color w:val="1B2E4B"/>
          <w:sz w:val="23"/>
          <w:szCs w:val="23"/>
        </w:rPr>
        <w:t xml:space="preserve">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Source</w:t>
            </w:r>
          </w:p>
        </w:tc>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Legal Basis</w:t>
            </w:r>
          </w:p>
        </w:tc>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Ethical Risk</w:t>
            </w:r>
          </w:p>
        </w:tc>
        <w:tc>
          <w:tcPr>
            <w:tcW w:type="dxa" w:w="21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Handling Tier</w:t>
            </w:r>
          </w:p>
        </w:tc>
      </w:tr>
      <w:tr>
        <w:tc>
          <w:tcPr>
            <w:tcW w:type="dxa" w:w="28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Reddit (r/HealthInsurance, r/ChronicIllness, condition subs)</w:t>
            </w:r>
          </w:p>
        </w:tc>
        <w:tc>
          <w:tcPr>
            <w:tcW w:type="dxa" w:w="2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Publicly posted — no legal barrier to reading</w:t>
            </w:r>
          </w:p>
        </w:tc>
        <w:tc>
          <w:tcPr>
            <w:tcW w:type="dxa" w:w="2200"/>
            <w:tcBorders>
              <w:top w:val="single" w:color="D9DDE2" w:sz="2"/>
              <w:left w:val="single" w:color="D9DDE2" w:sz="2"/>
              <w:bottom w:val="single" w:color="D9DDE2" w:sz="2"/>
              <w:right w:val="single" w:color="D9DDE2" w:sz="2"/>
            </w:tcBorders>
            <w:shd w:fill="FFF8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Poster did not consent to video use. Community backlash risk if discovered.</w:t>
            </w:r>
          </w:p>
        </w:tc>
        <w:tc>
          <w:tcPr>
            <w:tcW w:type="dxa" w:w="2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B35C00"/>
                <w:sz w:val="22"/>
                <w:szCs w:val="22"/>
              </w:rPr>
              <w:t xml:space="preserve">Tier 2 — must be semi-fictionalized. Inspiration only.</w:t>
            </w:r>
          </w:p>
        </w:tc>
      </w:tr>
      <w:tr>
        <w:tc>
          <w:tcPr>
            <w:tcW w:type="dxa" w:w="28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CFPB Complaint Database</w:t>
            </w:r>
          </w:p>
        </w:tc>
        <w:tc>
          <w:tcPr>
            <w:tcW w:type="dxa" w:w="2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Public government record — zero legal risk</w:t>
            </w:r>
          </w:p>
        </w:tc>
        <w:tc>
          <w:tcPr>
            <w:tcW w:type="dxa" w:w="220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Low — complainants expect public visibility when filing</w:t>
            </w:r>
          </w:p>
        </w:tc>
        <w:tc>
          <w:tcPr>
            <w:tcW w:type="dxa" w:w="2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1E6B3A"/>
                <w:sz w:val="22"/>
                <w:szCs w:val="22"/>
              </w:rPr>
              <w:t xml:space="preserve">Tier 1 — structural use permitted. Still anonymize.</w:t>
            </w:r>
          </w:p>
        </w:tc>
      </w:tr>
      <w:tr>
        <w:tc>
          <w:tcPr>
            <w:tcW w:type="dxa" w:w="28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State Insurance Commissioner Complaints</w:t>
            </w:r>
          </w:p>
        </w:tc>
        <w:tc>
          <w:tcPr>
            <w:tcW w:type="dxa" w:w="2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Public government record</w:t>
            </w:r>
          </w:p>
        </w:tc>
        <w:tc>
          <w:tcPr>
            <w:tcW w:type="dxa" w:w="220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Low — same as CFPB</w:t>
            </w:r>
          </w:p>
        </w:tc>
        <w:tc>
          <w:tcPr>
            <w:tcW w:type="dxa" w:w="2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1E6B3A"/>
                <w:sz w:val="22"/>
                <w:szCs w:val="22"/>
              </w:rPr>
              <w:t xml:space="preserve">Tier 1 — structural use permitted. Still anonymize.</w:t>
            </w:r>
          </w:p>
        </w:tc>
      </w:tr>
      <w:tr>
        <w:tc>
          <w:tcPr>
            <w:tcW w:type="dxa" w:w="28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Public patient advocacy forum posts (Facebook groups — public)</w:t>
            </w:r>
          </w:p>
        </w:tc>
        <w:tc>
          <w:tcPr>
            <w:tcW w:type="dxa" w:w="2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Publicly visible but platform ToS varies</w:t>
            </w:r>
          </w:p>
        </w:tc>
        <w:tc>
          <w:tcPr>
            <w:tcW w:type="dxa" w:w="2200"/>
            <w:tcBorders>
              <w:top w:val="single" w:color="D9DDE2" w:sz="2"/>
              <w:left w:val="single" w:color="D9DDE2" w:sz="2"/>
              <w:bottom w:val="single" w:color="D9DDE2" w:sz="2"/>
              <w:right w:val="single" w:color="D9DDE2" w:sz="2"/>
            </w:tcBorders>
            <w:shd w:fill="FFF8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Medium — posters may have limited public visibility expectation</w:t>
            </w:r>
          </w:p>
        </w:tc>
        <w:tc>
          <w:tcPr>
            <w:tcW w:type="dxa" w:w="2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B35C00"/>
                <w:sz w:val="22"/>
                <w:szCs w:val="22"/>
              </w:rPr>
              <w:t xml:space="preserve">Tier 2 — semi-fictionalize. Use structure, not content.</w:t>
            </w:r>
          </w:p>
        </w:tc>
      </w:tr>
      <w:tr>
        <w:tc>
          <w:tcPr>
            <w:tcW w:type="dxa" w:w="28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News articles — named patient stories</w:t>
            </w:r>
          </w:p>
        </w:tc>
        <w:tc>
          <w:tcPr>
            <w:tcW w:type="dxa" w:w="2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Published with patient consent to journalist</w:t>
            </w:r>
          </w:p>
        </w:tc>
        <w:tc>
          <w:tcPr>
            <w:tcW w:type="dxa" w:w="220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Low — public record with named consent</w:t>
            </w:r>
          </w:p>
        </w:tc>
        <w:tc>
          <w:tcPr>
            <w:tcW w:type="dxa" w:w="21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1E6B3A"/>
                <w:sz w:val="22"/>
                <w:szCs w:val="22"/>
              </w:rPr>
              <w:t xml:space="preserve">Tier 1 — can use scenario. Must not reproduce exact quotes.</w:t>
            </w:r>
          </w:p>
        </w:tc>
      </w:tr>
    </w:tbl>
    <w:p>
      <w:pPr>
        <w:spacing w:after="0" w:before="10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RED FLAG — Do NOT use: Private Facebook groups (closed or secret), direct messages shared by third parties, medical record discussions shared in ostensibly private contexts, posts by minors, posts that contain specific enough detail to identify the poster even after surface anonymization (unusual condition + unusual insurer + unusual state = identifying even without a name). These are absolute exclusions. No exception.</w:t>
      </w:r>
    </w:p>
    <w:p>
      <w:pPr>
        <w:spacing w:after="0" w:before="8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RED FLAG — Reddit ToS: Reddit's Terms of Service prohibit scraping. Automated bulk scraping of Reddit is a ToS violation. The Research Track uses manual curation — a human (founder or designated researcher) reads and selects stories, does not run automated scrapers. The story is then paraphrased by hand before entering the pipeline. This is the structural protection.</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2 — PII SCRUBBING &amp; SEMI-FICTIONALIZATION PROTOCOL</w:t>
      </w:r>
    </w:p>
    <w:p>
      <w:pPr>
        <w:spacing w:after="60" w:before="60"/>
      </w:pPr>
      <w:r>
        <w:rPr>
          <w:rFonts w:ascii="Arial" w:cs="Arial" w:eastAsia="Arial" w:hAnsi="Arial"/>
          <w:color w:val="1A1A1A"/>
          <w:sz w:val="22"/>
          <w:szCs w:val="22"/>
        </w:rPr>
        <w:t xml:space="preserve">Every story — from both tracks — passes through the same scrubbing protocol before entering the script production pipeline. No story reaches the script stage without a completed scrub record in Supabase. The scrub record is the audit trail.</w:t>
      </w:r>
    </w:p>
    <w:p>
      <w:pPr>
        <w:pBdr>
          <w:left w:val="single" w:color="1A4F8A" w:sz="14" w:space="8"/>
        </w:pBdr>
        <w:shd w:fill="F0F4FF" w:val="clear"/>
        <w:spacing w:after="80" w:before="80"/>
      </w:pPr>
      <w:r>
        <w:rPr>
          <w:rFonts w:ascii="Arial" w:cs="Arial" w:eastAsia="Arial" w:hAnsi="Arial"/>
          <w:i/>
          <w:iCs/>
          <w:color w:val="1A1A1A"/>
          <w:sz w:val="22"/>
          <w:szCs w:val="22"/>
        </w:rPr>
        <w:t xml:space="preserve">  The goal of scrubbing is not to make the story false. It is to make the story impossible to trace back to any individual while preserving the emotional truth and situational specificity that makes it resonate.</w:t>
      </w:r>
    </w:p>
    <w:p>
      <w:pPr>
        <w:spacing w:after="0" w:before="80"/>
      </w:pPr>
    </w:p>
    <w:p>
      <w:pPr>
        <w:pStyle w:val="Heading2"/>
        <w:spacing w:after="80" w:before="260"/>
      </w:pPr>
      <w:r>
        <w:rPr>
          <w:rFonts w:ascii="Arial" w:cs="Arial" w:eastAsia="Arial" w:hAnsi="Arial"/>
          <w:b/>
          <w:bCs/>
          <w:color w:val="1A6B72"/>
          <w:sz w:val="27"/>
          <w:szCs w:val="27"/>
        </w:rPr>
        <w:t xml:space="preserve">What Gets Removed — Always</w:t>
      </w:r>
    </w:p>
    <w:p>
      <w:pPr>
        <w:pStyle w:val="ListParagraph"/>
        <w:numPr>
          <w:ilvl w:val="0"/>
          <w:numId w:val="2"/>
        </w:numPr>
        <w:spacing w:after="40" w:before="40"/>
      </w:pPr>
      <w:r>
        <w:rPr>
          <w:rFonts w:ascii="Arial" w:cs="Arial" w:eastAsia="Arial" w:hAnsi="Arial"/>
          <w:color w:val="1A1A1A"/>
          <w:sz w:val="22"/>
          <w:szCs w:val="22"/>
        </w:rPr>
        <w:t xml:space="preserve">Full names (first, last, or both)</w:t>
      </w:r>
    </w:p>
    <w:p>
      <w:pPr>
        <w:pStyle w:val="ListParagraph"/>
        <w:numPr>
          <w:ilvl w:val="0"/>
          <w:numId w:val="2"/>
        </w:numPr>
        <w:spacing w:after="40" w:before="40"/>
      </w:pPr>
      <w:r>
        <w:rPr>
          <w:rFonts w:ascii="Arial" w:cs="Arial" w:eastAsia="Arial" w:hAnsi="Arial"/>
          <w:color w:val="1A1A1A"/>
          <w:sz w:val="22"/>
          <w:szCs w:val="22"/>
        </w:rPr>
        <w:t xml:space="preserve">Usernames or handles (Reddit usernames, forum handles)</w:t>
      </w:r>
    </w:p>
    <w:p>
      <w:pPr>
        <w:pStyle w:val="ListParagraph"/>
        <w:numPr>
          <w:ilvl w:val="0"/>
          <w:numId w:val="2"/>
        </w:numPr>
        <w:spacing w:after="40" w:before="40"/>
      </w:pPr>
      <w:r>
        <w:rPr>
          <w:rFonts w:ascii="Arial" w:cs="Arial" w:eastAsia="Arial" w:hAnsi="Arial"/>
          <w:color w:val="1A1A1A"/>
          <w:sz w:val="22"/>
          <w:szCs w:val="22"/>
        </w:rPr>
        <w:t xml:space="preserve">Specific employer names</w:t>
      </w:r>
    </w:p>
    <w:p>
      <w:pPr>
        <w:pStyle w:val="ListParagraph"/>
        <w:numPr>
          <w:ilvl w:val="0"/>
          <w:numId w:val="2"/>
        </w:numPr>
        <w:spacing w:after="40" w:before="40"/>
      </w:pPr>
      <w:r>
        <w:rPr>
          <w:rFonts w:ascii="Arial" w:cs="Arial" w:eastAsia="Arial" w:hAnsi="Arial"/>
          <w:color w:val="1A1A1A"/>
          <w:sz w:val="22"/>
          <w:szCs w:val="22"/>
        </w:rPr>
        <w:t xml:space="preserve">Specific hospital or clinic names</w:t>
      </w:r>
    </w:p>
    <w:p>
      <w:pPr>
        <w:pStyle w:val="ListParagraph"/>
        <w:numPr>
          <w:ilvl w:val="0"/>
          <w:numId w:val="2"/>
        </w:numPr>
        <w:spacing w:after="40" w:before="40"/>
      </w:pPr>
      <w:r>
        <w:rPr>
          <w:rFonts w:ascii="Arial" w:cs="Arial" w:eastAsia="Arial" w:hAnsi="Arial"/>
          <w:color w:val="1A1A1A"/>
          <w:sz w:val="22"/>
          <w:szCs w:val="22"/>
        </w:rPr>
        <w:t xml:space="preserve">City and state combined (state alone is acceptable if not identifying in context)</w:t>
      </w:r>
    </w:p>
    <w:p>
      <w:pPr>
        <w:pStyle w:val="ListParagraph"/>
        <w:numPr>
          <w:ilvl w:val="0"/>
          <w:numId w:val="2"/>
        </w:numPr>
        <w:spacing w:after="40" w:before="40"/>
      </w:pPr>
      <w:r>
        <w:rPr>
          <w:rFonts w:ascii="Arial" w:cs="Arial" w:eastAsia="Arial" w:hAnsi="Arial"/>
          <w:color w:val="1A1A1A"/>
          <w:sz w:val="22"/>
          <w:szCs w:val="22"/>
        </w:rPr>
        <w:t xml:space="preserve">Dates specific enough to identify (month + year of a rare event is identifying)</w:t>
      </w:r>
    </w:p>
    <w:p>
      <w:pPr>
        <w:pStyle w:val="ListParagraph"/>
        <w:numPr>
          <w:ilvl w:val="0"/>
          <w:numId w:val="2"/>
        </w:numPr>
        <w:spacing w:after="40" w:before="40"/>
      </w:pPr>
      <w:r>
        <w:rPr>
          <w:rFonts w:ascii="Arial" w:cs="Arial" w:eastAsia="Arial" w:hAnsi="Arial"/>
          <w:color w:val="1A1A1A"/>
          <w:sz w:val="22"/>
          <w:szCs w:val="22"/>
        </w:rPr>
        <w:t xml:space="preserve">Dollar amounts that are highly specific and unusual (e.g., '$247,483' becomes 'over $200,000')</w:t>
      </w:r>
    </w:p>
    <w:p>
      <w:pPr>
        <w:pStyle w:val="ListParagraph"/>
        <w:numPr>
          <w:ilvl w:val="0"/>
          <w:numId w:val="2"/>
        </w:numPr>
        <w:spacing w:after="40" w:before="40"/>
      </w:pPr>
      <w:r>
        <w:rPr>
          <w:rFonts w:ascii="Arial" w:cs="Arial" w:eastAsia="Arial" w:hAnsi="Arial"/>
          <w:color w:val="1A1A1A"/>
          <w:sz w:val="22"/>
          <w:szCs w:val="22"/>
        </w:rPr>
        <w:t xml:space="preserve">Condition + insurer combinations that are rare enough to be identifying</w:t>
      </w:r>
    </w:p>
    <w:p>
      <w:pPr>
        <w:pStyle w:val="ListParagraph"/>
        <w:numPr>
          <w:ilvl w:val="0"/>
          <w:numId w:val="2"/>
        </w:numPr>
        <w:spacing w:after="40" w:before="40"/>
      </w:pPr>
      <w:r>
        <w:rPr>
          <w:rFonts w:ascii="Arial" w:cs="Arial" w:eastAsia="Arial" w:hAnsi="Arial"/>
          <w:color w:val="1A1A1A"/>
          <w:sz w:val="22"/>
          <w:szCs w:val="22"/>
        </w:rPr>
        <w:t xml:space="preserve">Any mention of ongoing litigation or regulatory complaints that are traceable</w:t>
      </w:r>
    </w:p>
    <w:p>
      <w:pPr>
        <w:pStyle w:val="Heading2"/>
        <w:spacing w:after="80" w:before="260"/>
      </w:pPr>
      <w:r>
        <w:rPr>
          <w:rFonts w:ascii="Arial" w:cs="Arial" w:eastAsia="Arial" w:hAnsi="Arial"/>
          <w:b/>
          <w:bCs/>
          <w:color w:val="1A6B72"/>
          <w:sz w:val="27"/>
          <w:szCs w:val="27"/>
        </w:rPr>
        <w:t xml:space="preserve">Semi-Fictionalization Rules (Research Track Only)</w:t>
      </w:r>
    </w:p>
    <w:p>
      <w:pPr>
        <w:spacing w:after="60" w:before="60"/>
      </w:pPr>
      <w:r>
        <w:rPr>
          <w:rFonts w:ascii="Arial" w:cs="Arial" w:eastAsia="Arial" w:hAnsi="Arial"/>
          <w:color w:val="1A1A1A"/>
          <w:sz w:val="22"/>
          <w:szCs w:val="22"/>
        </w:rPr>
        <w:t xml:space="preserve">Semi-fictionalization means changing surface details while preserving emotional and situational truth. It is not fabrication — the underlying situation must be real and representative. It is protective distortion.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Element</w:t>
            </w:r>
          </w:p>
        </w:tc>
        <w:tc>
          <w:tcPr>
            <w:tcW w:type="dxa" w:w="30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Permitted Change</w:t>
            </w:r>
          </w:p>
        </w:tc>
        <w:tc>
          <w:tcPr>
            <w:tcW w:type="dxa" w:w="33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Not Permitted</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State</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Change to a neighboring state with similar insurance law framework</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Change from a state with strong patient protections to one without — this alters the legal truth of the story</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Insurance type</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Keep category (employer/marketplace/Medicare/Medicaid) — don't change category</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Changing Medicare to employer insurance changes which federal laws apply — alters legal truth</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Specific drug or treatment</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Change to a comparable drug in the same therapeutic class — e.g., one biologic to another biologic</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Changing a cancer treatment to a cosmetic treatment — changes the moral weight and legal context entirely</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Dollar amounts</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Round to nearest $10,000 or use a range ('between $15,000 and $20,000')</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Inflating amounts for dramatic effect — this is fabrication and YMYL violation</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Timeline</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Compress or extend by a few weeks — 'after three months' vs 'after several months'</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Changing 'eventually won appeal' to 'still fighting' — alters the resolution arc and is misleading</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Demographic details</w:t>
            </w:r>
          </w:p>
        </w:tc>
        <w:tc>
          <w:tcPr>
            <w:tcW w:type="dxa" w:w="30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Age group (30s → early 40s). Family status (married → partnered). Occupation category.</w:t>
            </w:r>
          </w:p>
        </w:tc>
        <w:tc>
          <w:tcPr>
            <w:tcW w:type="dxa" w:w="3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Changing race/ethnicity — creates a false impression of which communities face which denials, which is factually misleading</w:t>
            </w:r>
          </w:p>
        </w:tc>
      </w:tr>
    </w:tbl>
    <w:p>
      <w:pPr>
        <w:spacing w:after="0" w:before="100"/>
      </w:pPr>
    </w:p>
    <w:p>
      <w:pPr>
        <w:pStyle w:val="Heading2"/>
        <w:spacing w:after="80" w:before="260"/>
      </w:pPr>
      <w:r>
        <w:rPr>
          <w:rFonts w:ascii="Arial" w:cs="Arial" w:eastAsia="Arial" w:hAnsi="Arial"/>
          <w:b/>
          <w:bCs/>
          <w:color w:val="1A6B72"/>
          <w:sz w:val="27"/>
          <w:szCs w:val="27"/>
        </w:rPr>
        <w:t xml:space="preserve">The Scrub Record (Supabase Schema)</w:t>
      </w:r>
    </w:p>
    <w:p>
      <w:pPr>
        <w:spacing w:after="60" w:before="60"/>
      </w:pPr>
      <w:r>
        <w:rPr>
          <w:rFonts w:ascii="Arial" w:cs="Arial" w:eastAsia="Arial" w:hAnsi="Arial"/>
          <w:color w:val="1A1A1A"/>
          <w:sz w:val="22"/>
          <w:szCs w:val="22"/>
        </w:rPr>
        <w:t xml:space="preserve">Every story that enters the pipeline gets a Supabase record with the following fields before any scripting begins:</w:t>
      </w:r>
    </w:p>
    <w:p>
      <w:pPr>
        <w:pStyle w:val="ListParagraph"/>
        <w:numPr>
          <w:ilvl w:val="0"/>
          <w:numId w:val="2"/>
        </w:numPr>
        <w:spacing w:after="40" w:before="40"/>
      </w:pPr>
      <w:r>
        <w:rPr>
          <w:rFonts w:ascii="Arial" w:cs="Arial" w:eastAsia="Arial" w:hAnsi="Arial"/>
          <w:color w:val="1A1A1A"/>
          <w:sz w:val="22"/>
          <w:szCs w:val="22"/>
        </w:rPr>
        <w:t xml:space="preserve">story_id (generated)</w:t>
      </w:r>
    </w:p>
    <w:p>
      <w:pPr>
        <w:pStyle w:val="ListParagraph"/>
        <w:numPr>
          <w:ilvl w:val="0"/>
          <w:numId w:val="2"/>
        </w:numPr>
        <w:spacing w:after="40" w:before="40"/>
      </w:pPr>
      <w:r>
        <w:rPr>
          <w:rFonts w:ascii="Arial" w:cs="Arial" w:eastAsia="Arial" w:hAnsi="Arial"/>
          <w:color w:val="1A1A1A"/>
          <w:sz w:val="22"/>
          <w:szCs w:val="22"/>
        </w:rPr>
        <w:t xml:space="preserve">source_track (A = submission, B = research)</w:t>
      </w:r>
    </w:p>
    <w:p>
      <w:pPr>
        <w:pStyle w:val="ListParagraph"/>
        <w:numPr>
          <w:ilvl w:val="0"/>
          <w:numId w:val="2"/>
        </w:numPr>
        <w:spacing w:after="40" w:before="40"/>
      </w:pPr>
      <w:r>
        <w:rPr>
          <w:rFonts w:ascii="Arial" w:cs="Arial" w:eastAsia="Arial" w:hAnsi="Arial"/>
          <w:color w:val="1A1A1A"/>
          <w:sz w:val="22"/>
          <w:szCs w:val="22"/>
        </w:rPr>
        <w:t xml:space="preserve">source_type (reddit / cfpb / commissioner / forum / news / submission)</w:t>
      </w:r>
    </w:p>
    <w:p>
      <w:pPr>
        <w:pStyle w:val="ListParagraph"/>
        <w:numPr>
          <w:ilvl w:val="0"/>
          <w:numId w:val="2"/>
        </w:numPr>
        <w:spacing w:after="40" w:before="40"/>
      </w:pPr>
      <w:r>
        <w:rPr>
          <w:rFonts w:ascii="Arial" w:cs="Arial" w:eastAsia="Arial" w:hAnsi="Arial"/>
          <w:color w:val="1A1A1A"/>
          <w:sz w:val="22"/>
          <w:szCs w:val="22"/>
        </w:rPr>
        <w:t xml:space="preserve">source_url or reference (for Track B — internal reference only, never published)</w:t>
      </w:r>
    </w:p>
    <w:p>
      <w:pPr>
        <w:pStyle w:val="ListParagraph"/>
        <w:numPr>
          <w:ilvl w:val="0"/>
          <w:numId w:val="2"/>
        </w:numPr>
        <w:spacing w:after="40" w:before="40"/>
      </w:pPr>
      <w:r>
        <w:rPr>
          <w:rFonts w:ascii="Arial" w:cs="Arial" w:eastAsia="Arial" w:hAnsi="Arial"/>
          <w:color w:val="1A1A1A"/>
          <w:sz w:val="22"/>
          <w:szCs w:val="22"/>
        </w:rPr>
        <w:t xml:space="preserve">scrub_completed_by (founder or nurse co-founder initials)</w:t>
      </w:r>
    </w:p>
    <w:p>
      <w:pPr>
        <w:pStyle w:val="ListParagraph"/>
        <w:numPr>
          <w:ilvl w:val="0"/>
          <w:numId w:val="2"/>
        </w:numPr>
        <w:spacing w:after="40" w:before="40"/>
      </w:pPr>
      <w:r>
        <w:rPr>
          <w:rFonts w:ascii="Arial" w:cs="Arial" w:eastAsia="Arial" w:hAnsi="Arial"/>
          <w:color w:val="1A1A1A"/>
          <w:sz w:val="22"/>
          <w:szCs w:val="22"/>
        </w:rPr>
        <w:t xml:space="preserve">scrub_date</w:t>
      </w:r>
    </w:p>
    <w:p>
      <w:pPr>
        <w:pStyle w:val="ListParagraph"/>
        <w:numPr>
          <w:ilvl w:val="0"/>
          <w:numId w:val="2"/>
        </w:numPr>
        <w:spacing w:after="40" w:before="40"/>
      </w:pPr>
      <w:r>
        <w:rPr>
          <w:rFonts w:ascii="Arial" w:cs="Arial" w:eastAsia="Arial" w:hAnsi="Arial"/>
          <w:color w:val="1A1A1A"/>
          <w:sz w:val="22"/>
          <w:szCs w:val="22"/>
        </w:rPr>
        <w:t xml:space="preserve">pii_removed (boolean — confirms scrub pass completed)</w:t>
      </w:r>
    </w:p>
    <w:p>
      <w:pPr>
        <w:pStyle w:val="ListParagraph"/>
        <w:numPr>
          <w:ilvl w:val="0"/>
          <w:numId w:val="2"/>
        </w:numPr>
        <w:spacing w:after="40" w:before="40"/>
      </w:pPr>
      <w:r>
        <w:rPr>
          <w:rFonts w:ascii="Arial" w:cs="Arial" w:eastAsia="Arial" w:hAnsi="Arial"/>
          <w:color w:val="1A1A1A"/>
          <w:sz w:val="22"/>
          <w:szCs w:val="22"/>
        </w:rPr>
        <w:t xml:space="preserve">semi_fictionalized (boolean — Track B only)</w:t>
      </w:r>
    </w:p>
    <w:p>
      <w:pPr>
        <w:pStyle w:val="ListParagraph"/>
        <w:numPr>
          <w:ilvl w:val="0"/>
          <w:numId w:val="2"/>
        </w:numPr>
        <w:spacing w:after="40" w:before="40"/>
      </w:pPr>
      <w:r>
        <w:rPr>
          <w:rFonts w:ascii="Arial" w:cs="Arial" w:eastAsia="Arial" w:hAnsi="Arial"/>
          <w:color w:val="1A1A1A"/>
          <w:sz w:val="22"/>
          <w:szCs w:val="22"/>
        </w:rPr>
        <w:t xml:space="preserve">nurse_review_required (boolean — flag if medical content is present)</w:t>
      </w:r>
    </w:p>
    <w:p>
      <w:pPr>
        <w:pStyle w:val="ListParagraph"/>
        <w:numPr>
          <w:ilvl w:val="0"/>
          <w:numId w:val="2"/>
        </w:numPr>
        <w:spacing w:after="40" w:before="40"/>
      </w:pPr>
      <w:r>
        <w:rPr>
          <w:rFonts w:ascii="Arial" w:cs="Arial" w:eastAsia="Arial" w:hAnsi="Arial"/>
          <w:color w:val="1A1A1A"/>
          <w:sz w:val="22"/>
          <w:szCs w:val="22"/>
        </w:rPr>
        <w:t xml:space="preserve">nurse_review_completed (boolean)</w:t>
      </w:r>
    </w:p>
    <w:p>
      <w:pPr>
        <w:pStyle w:val="ListParagraph"/>
        <w:numPr>
          <w:ilvl w:val="0"/>
          <w:numId w:val="2"/>
        </w:numPr>
        <w:spacing w:after="40" w:before="40"/>
      </w:pPr>
      <w:r>
        <w:rPr>
          <w:rFonts w:ascii="Arial" w:cs="Arial" w:eastAsia="Arial" w:hAnsi="Arial"/>
          <w:color w:val="1A1A1A"/>
          <w:sz w:val="22"/>
          <w:szCs w:val="22"/>
        </w:rPr>
        <w:t xml:space="preserve">approved_for_script (boolean — final gate before pipeline entry)</w:t>
      </w:r>
    </w:p>
    <w:p>
      <w:pPr>
        <w:pStyle w:val="ListParagraph"/>
        <w:numPr>
          <w:ilvl w:val="0"/>
          <w:numId w:val="2"/>
        </w:numPr>
        <w:spacing w:after="40" w:before="40"/>
      </w:pPr>
      <w:r>
        <w:rPr>
          <w:rFonts w:ascii="Arial" w:cs="Arial" w:eastAsia="Arial" w:hAnsi="Arial"/>
          <w:color w:val="1A1A1A"/>
          <w:sz w:val="22"/>
          <w:szCs w:val="22"/>
        </w:rPr>
        <w:t xml:space="preserve">story_type (denial / billing / rights / navigation)</w:t>
      </w:r>
    </w:p>
    <w:p>
      <w:pPr>
        <w:pStyle w:val="ListParagraph"/>
        <w:numPr>
          <w:ilvl w:val="0"/>
          <w:numId w:val="2"/>
        </w:numPr>
        <w:spacing w:after="40" w:before="40"/>
      </w:pPr>
      <w:r>
        <w:rPr>
          <w:rFonts w:ascii="Arial" w:cs="Arial" w:eastAsia="Arial" w:hAnsi="Arial"/>
          <w:color w:val="1A1A1A"/>
          <w:sz w:val="22"/>
          <w:szCs w:val="22"/>
        </w:rPr>
        <w:t xml:space="preserve">primary_denial_code or issue type</w:t>
      </w:r>
    </w:p>
    <w:p>
      <w:pPr>
        <w:pStyle w:val="ListParagraph"/>
        <w:numPr>
          <w:ilvl w:val="0"/>
          <w:numId w:val="2"/>
        </w:numPr>
        <w:spacing w:after="40" w:before="40"/>
      </w:pPr>
      <w:r>
        <w:rPr>
          <w:rFonts w:ascii="Arial" w:cs="Arial" w:eastAsia="Arial" w:hAnsi="Arial"/>
          <w:color w:val="1A1A1A"/>
          <w:sz w:val="22"/>
          <w:szCs w:val="22"/>
        </w:rPr>
        <w:t xml:space="preserve">state_context (scrubbed state if used)</w:t>
      </w:r>
    </w:p>
    <w:p>
      <w:pPr>
        <w:pStyle w:val="ListParagraph"/>
        <w:numPr>
          <w:ilvl w:val="0"/>
          <w:numId w:val="2"/>
        </w:numPr>
        <w:spacing w:after="40" w:before="40"/>
      </w:pPr>
      <w:r>
        <w:rPr>
          <w:rFonts w:ascii="Arial" w:cs="Arial" w:eastAsia="Arial" w:hAnsi="Arial"/>
          <w:color w:val="1A1A1A"/>
          <w:sz w:val="22"/>
          <w:szCs w:val="22"/>
        </w:rPr>
        <w:t xml:space="preserve">insurance_category</w:t>
      </w:r>
    </w:p>
    <w:p>
      <w:pPr>
        <w:spacing w:after="0" w:before="8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ORANGE FLAG — Nurse review required for any story involving: specific medication denials (especially oncology, rare disease, mental health), hospital discharge disputes, nursing home or long-term care issues, any story where the scrub removed medical terminology that affects the script's accuracy. The nurse co-founder's review is a pipeline gate, not a suggestion. Script production does not start until nurse_review_completed = true for flagged stories.</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3 — AI ACTOR CHARACTER SPECIFICATION</w:t>
      </w:r>
    </w:p>
    <w:p>
      <w:pPr>
        <w:spacing w:after="60" w:before="60"/>
      </w:pPr>
      <w:r>
        <w:rPr>
          <w:rFonts w:ascii="Arial" w:cs="Arial" w:eastAsia="Arial" w:hAnsi="Arial"/>
          <w:color w:val="1A1A1A"/>
          <w:sz w:val="22"/>
          <w:szCs w:val="22"/>
        </w:rPr>
        <w:t xml:space="preserve">The AI actor character is the face of all Patient Story Engine video content across YouTube Shorts and Instagram Reels. The character is not a mascot, not a brand spokesperson, and not the 'grandmother Mei' affiliate model. The character is a patient advocate — someone who has seen the system, knows how it works, and is unambiguously on the patient's side.</w:t>
      </w:r>
    </w:p>
    <w:p>
      <w:pPr>
        <w:spacing w:after="60" w:before="60"/>
      </w:pPr>
      <w:r>
        <w:rPr>
          <w:rFonts w:ascii="Arial" w:cs="Arial" w:eastAsia="Arial" w:hAnsi="Arial"/>
          <w:color w:val="1A1A1A"/>
          <w:sz w:val="22"/>
          <w:szCs w:val="22"/>
        </w:rPr>
        <w:t xml:space="preserve">Both founders remain anonymous. The character carries all external identity.</w:t>
      </w:r>
    </w:p>
    <w:p>
      <w:pPr>
        <w:spacing w:after="0" w:before="80"/>
      </w:pPr>
    </w:p>
    <w:p>
      <w:pPr>
        <w:pStyle w:val="Heading2"/>
        <w:spacing w:after="80" w:before="260"/>
      </w:pPr>
      <w:r>
        <w:rPr>
          <w:rFonts w:ascii="Arial" w:cs="Arial" w:eastAsia="Arial" w:hAnsi="Arial"/>
          <w:b/>
          <w:bCs/>
          <w:color w:val="1A6B72"/>
          <w:sz w:val="27"/>
          <w:szCs w:val="27"/>
        </w:rPr>
        <w:t xml:space="preserve">Character Design Principles</w:t>
      </w:r>
    </w:p>
    <w:p>
      <w:pPr>
        <w:pStyle w:val="Heading3"/>
        <w:spacing w:after="60" w:before="180"/>
      </w:pPr>
      <w:r>
        <w:rPr>
          <w:rFonts w:ascii="Arial" w:cs="Arial" w:eastAsia="Arial" w:hAnsi="Arial"/>
          <w:b/>
          <w:bCs/>
          <w:color w:val="1B2E4B"/>
          <w:sz w:val="23"/>
          <w:szCs w:val="23"/>
        </w:rPr>
        <w:t xml:space="preserve">What the Character Must Signal</w:t>
      </w:r>
    </w:p>
    <w:p>
      <w:pPr>
        <w:pStyle w:val="ListParagraph"/>
        <w:numPr>
          <w:ilvl w:val="0"/>
          <w:numId w:val="2"/>
        </w:numPr>
        <w:spacing w:after="40" w:before="40"/>
      </w:pPr>
      <w:r>
        <w:rPr>
          <w:rFonts w:ascii="Arial" w:cs="Arial" w:eastAsia="Arial" w:hAnsi="Arial"/>
          <w:color w:val="1A1A1A"/>
          <w:sz w:val="22"/>
          <w:szCs w:val="22"/>
        </w:rPr>
        <w:t xml:space="preserve">Competence — not warmth. This person knows what they're talking about.</w:t>
      </w:r>
    </w:p>
    <w:p>
      <w:pPr>
        <w:pStyle w:val="ListParagraph"/>
        <w:numPr>
          <w:ilvl w:val="0"/>
          <w:numId w:val="2"/>
        </w:numPr>
        <w:spacing w:after="40" w:before="40"/>
      </w:pPr>
      <w:r>
        <w:rPr>
          <w:rFonts w:ascii="Arial" w:cs="Arial" w:eastAsia="Arial" w:hAnsi="Arial"/>
          <w:color w:val="1A1A1A"/>
          <w:sz w:val="22"/>
          <w:szCs w:val="22"/>
        </w:rPr>
        <w:t xml:space="preserve">Empathy — earned through knowledge, not performed.</w:t>
      </w:r>
    </w:p>
    <w:p>
      <w:pPr>
        <w:pStyle w:val="ListParagraph"/>
        <w:numPr>
          <w:ilvl w:val="0"/>
          <w:numId w:val="2"/>
        </w:numPr>
        <w:spacing w:after="40" w:before="40"/>
      </w:pPr>
      <w:r>
        <w:rPr>
          <w:rFonts w:ascii="Arial" w:cs="Arial" w:eastAsia="Arial" w:hAnsi="Arial"/>
          <w:color w:val="1A1A1A"/>
          <w:sz w:val="22"/>
          <w:szCs w:val="22"/>
        </w:rPr>
        <w:t xml:space="preserve">Adversarial toward systems — visibly on the patient's side without being inflammatory.</w:t>
      </w:r>
    </w:p>
    <w:p>
      <w:pPr>
        <w:pStyle w:val="ListParagraph"/>
        <w:numPr>
          <w:ilvl w:val="0"/>
          <w:numId w:val="2"/>
        </w:numPr>
        <w:spacing w:after="40" w:before="40"/>
      </w:pPr>
      <w:r>
        <w:rPr>
          <w:rFonts w:ascii="Arial" w:cs="Arial" w:eastAsia="Arial" w:hAnsi="Arial"/>
          <w:color w:val="1A1A1A"/>
          <w:sz w:val="22"/>
          <w:szCs w:val="22"/>
        </w:rPr>
        <w:t xml:space="preserve">Accessible — not intimidating, not overly corporate, not academic.</w:t>
      </w:r>
    </w:p>
    <w:p>
      <w:pPr>
        <w:pStyle w:val="ListParagraph"/>
        <w:numPr>
          <w:ilvl w:val="0"/>
          <w:numId w:val="2"/>
        </w:numPr>
        <w:spacing w:after="40" w:before="40"/>
      </w:pPr>
      <w:r>
        <w:rPr>
          <w:rFonts w:ascii="Arial" w:cs="Arial" w:eastAsia="Arial" w:hAnsi="Arial"/>
          <w:color w:val="1A1A1A"/>
          <w:sz w:val="22"/>
          <w:szCs w:val="22"/>
        </w:rPr>
        <w:t xml:space="preserve">Culturally neutral in the English character — not coded as belonging to any specific demographic that would exclude others.</w:t>
      </w:r>
    </w:p>
    <w:p>
      <w:pPr>
        <w:spacing w:after="0" w:before="80"/>
      </w:pPr>
    </w:p>
    <w:p>
      <w:pPr>
        <w:pStyle w:val="Heading3"/>
        <w:spacing w:after="60" w:before="180"/>
      </w:pPr>
      <w:r>
        <w:rPr>
          <w:rFonts w:ascii="Arial" w:cs="Arial" w:eastAsia="Arial" w:hAnsi="Arial"/>
          <w:b/>
          <w:bCs/>
          <w:color w:val="1B2E4B"/>
          <w:sz w:val="23"/>
          <w:szCs w:val="23"/>
        </w:rPr>
        <w:t xml:space="preserve">What the Character Must NOT Be</w:t>
      </w:r>
    </w:p>
    <w:p>
      <w:pPr>
        <w:pStyle w:val="ListParagraph"/>
        <w:numPr>
          <w:ilvl w:val="0"/>
          <w:numId w:val="2"/>
        </w:numPr>
        <w:spacing w:after="40" w:before="40"/>
      </w:pPr>
      <w:r>
        <w:rPr>
          <w:rFonts w:ascii="Arial" w:cs="Arial" w:eastAsia="Arial" w:hAnsi="Arial"/>
          <w:color w:val="1A1A1A"/>
          <w:sz w:val="22"/>
          <w:szCs w:val="22"/>
        </w:rPr>
        <w:t xml:space="preserve">A healthcare professional — the platform does not give medical advice. A nurse or doctor character implies clinical authority that the content legally cannot claim.</w:t>
      </w:r>
    </w:p>
    <w:p>
      <w:pPr>
        <w:pStyle w:val="ListParagraph"/>
        <w:numPr>
          <w:ilvl w:val="0"/>
          <w:numId w:val="2"/>
        </w:numPr>
        <w:spacing w:after="40" w:before="40"/>
      </w:pPr>
      <w:r>
        <w:rPr>
          <w:rFonts w:ascii="Arial" w:cs="Arial" w:eastAsia="Arial" w:hAnsi="Arial"/>
          <w:color w:val="1A1A1A"/>
          <w:sz w:val="22"/>
          <w:szCs w:val="22"/>
        </w:rPr>
        <w:t xml:space="preserve">An attorney — same issue. Legal authority the platform cannot claim.</w:t>
      </w:r>
    </w:p>
    <w:p>
      <w:pPr>
        <w:pStyle w:val="ListParagraph"/>
        <w:numPr>
          <w:ilvl w:val="0"/>
          <w:numId w:val="2"/>
        </w:numPr>
        <w:spacing w:after="40" w:before="40"/>
      </w:pPr>
      <w:r>
        <w:rPr>
          <w:rFonts w:ascii="Arial" w:cs="Arial" w:eastAsia="Arial" w:hAnsi="Arial"/>
          <w:color w:val="1A1A1A"/>
          <w:sz w:val="22"/>
          <w:szCs w:val="22"/>
        </w:rPr>
        <w:t xml:space="preserve">Overtly AI-generated in appearance — the uncanny valley destroys trust. Use HeyGen's most natural avatars.</w:t>
      </w:r>
    </w:p>
    <w:p>
      <w:pPr>
        <w:pStyle w:val="ListParagraph"/>
        <w:numPr>
          <w:ilvl w:val="0"/>
          <w:numId w:val="2"/>
        </w:numPr>
        <w:spacing w:after="40" w:before="40"/>
      </w:pPr>
      <w:r>
        <w:rPr>
          <w:rFonts w:ascii="Arial" w:cs="Arial" w:eastAsia="Arial" w:hAnsi="Arial"/>
          <w:color w:val="1A1A1A"/>
          <w:sz w:val="22"/>
          <w:szCs w:val="22"/>
        </w:rPr>
        <w:t xml:space="preserve">A direct copy of any existing AI character persona (grandmother, monk, etc.) — brand differentiation matters.</w:t>
      </w:r>
    </w:p>
    <w:p>
      <w:pPr>
        <w:pStyle w:val="ListParagraph"/>
        <w:numPr>
          <w:ilvl w:val="0"/>
          <w:numId w:val="2"/>
        </w:numPr>
        <w:spacing w:after="40" w:before="40"/>
      </w:pPr>
      <w:r>
        <w:rPr>
          <w:rFonts w:ascii="Arial" w:cs="Arial" w:eastAsia="Arial" w:hAnsi="Arial"/>
          <w:color w:val="1A1A1A"/>
          <w:sz w:val="22"/>
          <w:szCs w:val="22"/>
        </w:rPr>
        <w:t xml:space="preserve">Anonymous in a suspicious way — the character should feel like a real person even though the founders are not named.</w:t>
      </w:r>
    </w:p>
    <w:p>
      <w:pPr>
        <w:pStyle w:val="Heading2"/>
        <w:spacing w:after="80" w:before="260"/>
      </w:pPr>
      <w:r>
        <w:rPr>
          <w:rFonts w:ascii="Arial" w:cs="Arial" w:eastAsia="Arial" w:hAnsi="Arial"/>
          <w:b/>
          <w:bCs/>
          <w:color w:val="1A6B72"/>
          <w:sz w:val="27"/>
          <w:szCs w:val="27"/>
        </w:rPr>
        <w:t xml:space="preserve">Recommended Character Archetypes</w:t>
      </w:r>
    </w:p>
    <w:p>
      <w:pPr>
        <w:spacing w:after="60" w:before="60"/>
      </w:pPr>
      <w:r>
        <w:rPr>
          <w:rFonts w:ascii="Arial" w:cs="Arial" w:eastAsia="Arial" w:hAnsi="Arial"/>
          <w:color w:val="1A1A1A"/>
          <w:sz w:val="22"/>
          <w:szCs w:val="22"/>
        </w:rPr>
        <w:t xml:space="preserve">Two characters are recommended — one English-primary, one Spanish-primary. They are distinct individuals, not the same character dubbed. This matters because the Spanish-language content requires cultural authenticity, not just translation.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Attribute</w:t>
            </w:r>
          </w:p>
        </w:tc>
        <w:tc>
          <w:tcPr>
            <w:tcW w:type="dxa" w:w="358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English Character</w:t>
            </w:r>
          </w:p>
        </w:tc>
        <w:tc>
          <w:tcPr>
            <w:tcW w:type="dxa" w:w="358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Spanish Character</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Archetype</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Patient advocate — someone who has navigated the system personally and now helps others</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Community advocate — a trusted community member who bridges the healthcare system and the Hispanic community</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Apparent age</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35–50. Old enough to carry authority. Young enough to be relatable to the broadest patient demographic.</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30–45. Community peer — not a distant authority figure. Warmth is part of the trust signal for this audience.</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Visual tone</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Professional casual. Not a suit. Not scrubs. The kind of person you'd trust to help you fill out a form.</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Slightly warmer palette. Community-feel rather than institutional. Similar competence signal but more approachable register.</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Voice register</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Calm, direct, slightly urgent when describing the problem. Never alarmist. Never overly cheerful.</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Warm, direct, community-oriented. Natural Spanish (not translated-feeling). Regional neutrality — not specifically one Latin American dialect.</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What they never say</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'You will win.' 'This is illegal.' 'Trust me.' 'The insurance company is evil.'</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Same prohibitions plus: Nothing that implies undocumented status creates legal barriers to healthcare rights — because it generally doesn't and the fear itself is a barrier.</w:t>
            </w:r>
          </w:p>
        </w:tc>
      </w:tr>
      <w:tr>
        <w:tc>
          <w:tcPr>
            <w:tcW w:type="dxa" w:w="22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HeyGen avatar selection</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Choose from HeyGen's premium avatars. Prioritize: natural lip sync, neutral background, professional appearance. Test 3 candidates with the same script and select based on trust impression, not attractiveness.</w:t>
            </w:r>
          </w:p>
        </w:tc>
        <w:tc>
          <w:tcPr>
            <w:tcW w:type="dxa" w:w="358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Select a separate avatar — not a dubbed version of the English character. Hispanic audience will notice if it's the same face with a different voice. HeyGen has Spanish-appropriate avatar options.</w:t>
            </w:r>
          </w:p>
        </w:tc>
      </w:tr>
    </w:tbl>
    <w:p>
      <w:pPr>
        <w:spacing w:after="0" w:before="100"/>
      </w:pPr>
    </w:p>
    <w:p>
      <w:pPr>
        <w:pStyle w:val="Heading2"/>
        <w:spacing w:after="80" w:before="260"/>
      </w:pPr>
      <w:r>
        <w:rPr>
          <w:rFonts w:ascii="Arial" w:cs="Arial" w:eastAsia="Arial" w:hAnsi="Arial"/>
          <w:b/>
          <w:bCs/>
          <w:color w:val="1A6B72"/>
          <w:sz w:val="27"/>
          <w:szCs w:val="27"/>
        </w:rPr>
        <w:t xml:space="preserve">AI Disclosure</w:t>
      </w: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ORANGE FLAG — YouTube and Instagram both have policies requiring disclosure of AI-generated content in certain contexts, particularly for realistic depictions of real people or in political/healthcare content. MyAdvocate's characters are not depictions of real people — they are fictional AI constructs. However, given the YMYL nature of healthcare content, proactive disclosure is recommended. Add 'This video features an AI-generated presenter' in the video description and as a YouTube AI disclosure tag. This builds trust rather than eroding it — audiences in 2026 are sophisticated and appreciate honesty about AI. The disclosure also protects against future platform policy tightening.</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4 — SCRIPT PRODUCTION PIPELINE</w:t>
      </w:r>
    </w:p>
    <w:p>
      <w:pPr>
        <w:spacing w:after="60" w:before="60"/>
      </w:pPr>
      <w:r>
        <w:rPr>
          <w:rFonts w:ascii="Arial" w:cs="Arial" w:eastAsia="Arial" w:hAnsi="Arial"/>
          <w:color w:val="1A1A1A"/>
          <w:sz w:val="22"/>
          <w:szCs w:val="22"/>
        </w:rPr>
        <w:t xml:space="preserve">A scrubbed and approved story enters the script production pipeline. The pipeline converts the raw story into a YMYL-compliant, brand-voice-aligned, 60–90 second video script. The pipeline is partially automated (Claude API via n8n) with mandatory human review gates.</w:t>
      </w:r>
    </w:p>
    <w:p>
      <w:pPr>
        <w:pStyle w:val="Heading2"/>
        <w:spacing w:after="80" w:before="260"/>
      </w:pPr>
      <w:r>
        <w:rPr>
          <w:rFonts w:ascii="Arial" w:cs="Arial" w:eastAsia="Arial" w:hAnsi="Arial"/>
          <w:b/>
          <w:bCs/>
          <w:color w:val="1A6B72"/>
          <w:sz w:val="27"/>
          <w:szCs w:val="27"/>
        </w:rPr>
        <w:t xml:space="preserve">The Script Structure (All Story Videos)</w:t>
      </w:r>
    </w:p>
    <w:p>
      <w:pPr>
        <w:spacing w:after="60" w:before="60"/>
      </w:pPr>
      <w:r>
        <w:rPr>
          <w:rFonts w:ascii="Arial" w:cs="Arial" w:eastAsia="Arial" w:hAnsi="Arial"/>
          <w:color w:val="1A1A1A"/>
          <w:sz w:val="22"/>
          <w:szCs w:val="22"/>
        </w:rPr>
        <w:t xml:space="preserve">Every story-based video follows this structure. It is not a rigid template — the details change per story — but the arc is consistent: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600"/>
        <w:gridCol w:w="3040"/>
      </w:tblGrid>
      <w:tr>
        <w:tc>
          <w:tcPr>
            <w:tcW w:type="dxa" w:w="72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w:t>
            </w:r>
          </w:p>
        </w:tc>
        <w:tc>
          <w:tcPr>
            <w:tcW w:type="dxa" w:w="20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Section</w:t>
            </w:r>
          </w:p>
        </w:tc>
        <w:tc>
          <w:tcPr>
            <w:tcW w:type="dxa" w:w="36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Content</w:t>
            </w:r>
          </w:p>
        </w:tc>
        <w:tc>
          <w:tcPr>
            <w:tcW w:type="dxa" w:w="304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Brand Voice Rule</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1</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Hook (0–3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State the situation immediately. 'Sarah's insurance denied her cancer medication. Again.' — No windup, no intro, no 'hi guys'.</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Problem-first. No platform mention. No character introduction.</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2</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Situation (3–15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Expand the story with enough specificity to make it recognizable to anyone in a similar situation. Denial code, insurer type, what was at stake.</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Plain language. Jargon translated immediately. Sixth-grade reading level. No clinical diagnosis details.</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3</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What most people do (15–25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Briefly acknowledge the wrong response — accept the denial, give up, pay the bill. This validates the viewer's temptation without endorsing it.</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Empathetic, not judgmental. 'Most people give up here — and the insurance companies know it.'</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4</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What actually works (25–55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The educational core. 2–3 concrete, actionable steps. These must be accurate and applicable. This is where the nurse review earns its value — clinical steps must be correct.</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Navigation framing only. 'Under federal law, you have the right to...' not 'You will win if...' Steps must be verified accurate.</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5</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Outcome (55–70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resolution if one exists. If the story is still unresolved, frame around the action taken, not the outcome. 'She filed the appeal. The insurer had 30 days to respond.'</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NEVER imply guaranteed outcome. Outcome language: 'in cases like this' / 'appeals like this succeed roughly X% of the time' — only if that statistic is documented.</w:t>
            </w:r>
          </w:p>
        </w:tc>
      </w:tr>
      <w:tr>
        <w:tc>
          <w:tcPr>
            <w:tcW w:type="dxa" w:w="72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6</w:t>
            </w:r>
          </w:p>
        </w:tc>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CTA (70–90 sec)</w:t>
            </w:r>
          </w:p>
        </w:tc>
        <w:tc>
          <w:tcPr>
            <w:tcW w:type="dxa" w:w="36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Single, clear action. Drive to tool or email capture. 'Use the link in bio to generate your appeal letter in 3 minutes.' — not 'subscribe' as the primary ask.</w:t>
            </w:r>
          </w:p>
        </w:tc>
        <w:tc>
          <w:tcPr>
            <w:tcW w:type="dxa" w:w="304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Tool-first CTA. Channel growth is secondary to tool conversion.</w:t>
            </w:r>
          </w:p>
        </w:tc>
      </w:tr>
    </w:tbl>
    <w:p>
      <w:pPr>
        <w:spacing w:after="0" w:before="100"/>
      </w:pPr>
    </w:p>
    <w:p>
      <w:pPr>
        <w:pStyle w:val="Heading2"/>
        <w:spacing w:after="80" w:before="260"/>
      </w:pPr>
      <w:r>
        <w:rPr>
          <w:rFonts w:ascii="Arial" w:cs="Arial" w:eastAsia="Arial" w:hAnsi="Arial"/>
          <w:b/>
          <w:bCs/>
          <w:color w:val="1A6B72"/>
          <w:sz w:val="27"/>
          <w:szCs w:val="27"/>
        </w:rPr>
        <w:t xml:space="preserve">Automated Script Generation (Claude API via n8n)</w:t>
      </w:r>
    </w:p>
    <w:p>
      <w:pPr>
        <w:spacing w:after="60" w:before="60"/>
      </w:pPr>
      <w:r>
        <w:rPr>
          <w:rFonts w:ascii="Arial" w:cs="Arial" w:eastAsia="Arial" w:hAnsi="Arial"/>
          <w:color w:val="1A1A1A"/>
          <w:sz w:val="22"/>
          <w:szCs w:val="22"/>
        </w:rPr>
        <w:t xml:space="preserve">The story record (post-scrub) is sent to the Claude API with a system prompt containing: the script structure above, the brand voice rules, the YMYL prohibition list, the specific story type (denial/billing/rights/navigation), and the denial code or issue context. The API returns a draft script.</w:t>
      </w:r>
    </w:p>
    <w:p>
      <w:pPr>
        <w:spacing w:after="60" w:before="60"/>
      </w:pPr>
      <w:r>
        <w:rPr>
          <w:rFonts w:ascii="Arial" w:cs="Arial" w:eastAsia="Arial" w:hAnsi="Arial"/>
          <w:color w:val="1A1A1A"/>
          <w:sz w:val="22"/>
          <w:szCs w:val="22"/>
        </w:rPr>
        <w:t xml:space="preserve">This draft is a starting point, not a finished product. The automated generation handles structure and language compliance. It does not verify factual accuracy of the advocacy steps. That is the human review gate.</w:t>
      </w:r>
    </w:p>
    <w:p>
      <w:pPr>
        <w:spacing w:after="0" w:before="80"/>
      </w:pPr>
    </w:p>
    <w:p>
      <w:pPr>
        <w:pStyle w:val="Heading2"/>
        <w:spacing w:after="80" w:before="260"/>
      </w:pPr>
      <w:r>
        <w:rPr>
          <w:rFonts w:ascii="Arial" w:cs="Arial" w:eastAsia="Arial" w:hAnsi="Arial"/>
          <w:b/>
          <w:bCs/>
          <w:color w:val="1A6B72"/>
          <w:sz w:val="27"/>
          <w:szCs w:val="27"/>
        </w:rPr>
        <w:t xml:space="preserve">Human Review Gates</w:t>
      </w:r>
    </w:p>
    <w:p>
      <w:pPr>
        <w:pStyle w:val="ListParagraph"/>
        <w:numPr>
          <w:ilvl w:val="0"/>
          <w:numId w:val="2"/>
        </w:numPr>
        <w:spacing w:after="40" w:before="40"/>
      </w:pPr>
      <w:r>
        <w:rPr>
          <w:rFonts w:ascii="Arial" w:cs="Arial" w:eastAsia="Arial" w:hAnsi="Arial"/>
          <w:color w:val="1A1A1A"/>
          <w:sz w:val="22"/>
          <w:szCs w:val="22"/>
        </w:rPr>
        <w:t xml:space="preserve">Gate 1 — Founder review: Script reads naturally in the brand voice. Hook is strong. CTA is correct. No prohibited language. (5–10 min per script)</w:t>
      </w:r>
    </w:p>
    <w:p>
      <w:pPr>
        <w:pStyle w:val="ListParagraph"/>
        <w:numPr>
          <w:ilvl w:val="0"/>
          <w:numId w:val="2"/>
        </w:numPr>
        <w:spacing w:after="40" w:before="40"/>
      </w:pPr>
      <w:r>
        <w:rPr>
          <w:rFonts w:ascii="Arial" w:cs="Arial" w:eastAsia="Arial" w:hAnsi="Arial"/>
          <w:color w:val="1A1A1A"/>
          <w:sz w:val="22"/>
          <w:szCs w:val="22"/>
        </w:rPr>
        <w:t xml:space="preserve">Gate 2 — Nurse review: Any script where the advocacy steps involve clinical or medication details. Nurse confirms the steps are medically accurate and the language does not imply clinical advice. (Required for denial stories involving specific drugs, treatments, or diagnoses)</w:t>
      </w:r>
    </w:p>
    <w:p>
      <w:pPr>
        <w:pStyle w:val="ListParagraph"/>
        <w:numPr>
          <w:ilvl w:val="0"/>
          <w:numId w:val="2"/>
        </w:numPr>
        <w:spacing w:after="40" w:before="40"/>
      </w:pPr>
      <w:r>
        <w:rPr>
          <w:rFonts w:ascii="Arial" w:cs="Arial" w:eastAsia="Arial" w:hAnsi="Arial"/>
          <w:color w:val="1A1A1A"/>
          <w:sz w:val="22"/>
          <w:szCs w:val="22"/>
        </w:rPr>
        <w:t xml:space="preserve">Gate 3 — YMYL automated scan: Claude API Stage 1 check (from the YouTube pipeline) runs on the final approved script before video generation. Redundant by design.</w:t>
      </w:r>
    </w:p>
    <w:p>
      <w:pPr>
        <w:spacing w:after="0" w:before="8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ORANGE FLAG — Script velocity risk: As the pipeline scales, the temptation will be to reduce human review to increase throughput. This must not happen for story-based content. Unlike denial-code explainer videos (where the content is structural and templated), story videos are one-off narratives that can contain unexpected details requiring human judgment. The nurse review gate is non-negotiable for flagged stories regardless of pipeline volume.</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5 — CHANNEL INTEGRATION</w:t>
      </w:r>
    </w:p>
    <w:p>
      <w:pPr>
        <w:spacing w:after="60" w:before="60"/>
      </w:pPr>
      <w:r>
        <w:rPr>
          <w:rFonts w:ascii="Arial" w:cs="Arial" w:eastAsia="Arial" w:hAnsi="Arial"/>
          <w:color w:val="1A1A1A"/>
          <w:sz w:val="22"/>
          <w:szCs w:val="22"/>
        </w:rPr>
        <w:t xml:space="preserve">Story content integrates into the existing YouTube and Instagram pipelines defined in the YouTube &amp; Spanish Strategy Report and Instagram Strategy v2.0. This section defines specifically where story content fits within those frameworks — it does not replace the educational content infrastructure, it supplements it.</w:t>
      </w:r>
    </w:p>
    <w:p>
      <w:pPr>
        <w:pStyle w:val="Heading2"/>
        <w:spacing w:after="80" w:before="260"/>
      </w:pPr>
      <w:r>
        <w:rPr>
          <w:rFonts w:ascii="Arial" w:cs="Arial" w:eastAsia="Arial" w:hAnsi="Arial"/>
          <w:b/>
          <w:bCs/>
          <w:color w:val="1A6B72"/>
          <w:sz w:val="27"/>
          <w:szCs w:val="27"/>
        </w:rPr>
        <w:t xml:space="preserve">YouTube Integration</w:t>
      </w:r>
    </w:p>
    <w:p>
      <w:pPr>
        <w:spacing w:after="60" w:before="60"/>
      </w:pPr>
      <w:r>
        <w:rPr>
          <w:rFonts w:ascii="Arial" w:cs="Arial" w:eastAsia="Arial" w:hAnsi="Arial"/>
          <w:color w:val="1A1A1A"/>
          <w:sz w:val="22"/>
          <w:szCs w:val="22"/>
        </w:rPr>
        <w:t xml:space="preserve">Story videos map to the 'Win Story / Outcome' content type already defined in the YouTube content architecture. They feed the same n8n pipeline: script → Stage 1 audit → HeyGen generation → Stages 2–5 QA → scheduling.</w:t>
      </w:r>
    </w:p>
    <w:p>
      <w:pPr>
        <w:pStyle w:val="Heading3"/>
        <w:spacing w:after="60" w:before="180"/>
      </w:pPr>
      <w:r>
        <w:rPr>
          <w:rFonts w:ascii="Arial" w:cs="Arial" w:eastAsia="Arial" w:hAnsi="Arial"/>
          <w:b/>
          <w:bCs/>
          <w:color w:val="1B2E4B"/>
          <w:sz w:val="23"/>
          <w:szCs w:val="23"/>
        </w:rPr>
        <w:t xml:space="preserve">Specific YouTube Considerations</w:t>
      </w:r>
    </w:p>
    <w:p>
      <w:pPr>
        <w:pStyle w:val="ListParagraph"/>
        <w:numPr>
          <w:ilvl w:val="0"/>
          <w:numId w:val="2"/>
        </w:numPr>
        <w:spacing w:after="40" w:before="40"/>
      </w:pPr>
      <w:r>
        <w:rPr>
          <w:rFonts w:ascii="Arial" w:cs="Arial" w:eastAsia="Arial" w:hAnsi="Arial"/>
          <w:color w:val="1A1A1A"/>
          <w:sz w:val="22"/>
          <w:szCs w:val="22"/>
        </w:rPr>
        <w:t xml:space="preserve">Story videos are longer than denial-code explainers — target 75–90 seconds, not 60. The narrative arc requires more time than a straight explainer.</w:t>
      </w:r>
    </w:p>
    <w:p>
      <w:pPr>
        <w:pStyle w:val="ListParagraph"/>
        <w:numPr>
          <w:ilvl w:val="0"/>
          <w:numId w:val="2"/>
        </w:numPr>
        <w:spacing w:after="40" w:before="40"/>
      </w:pPr>
      <w:r>
        <w:rPr>
          <w:rFonts w:ascii="Arial" w:cs="Arial" w:eastAsia="Arial" w:hAnsi="Arial"/>
          <w:color w:val="1A1A1A"/>
          <w:sz w:val="22"/>
          <w:szCs w:val="22"/>
        </w:rPr>
        <w:t xml:space="preserve">Thumbnail strategy: Use a text overlay on the character visual stating the core problem — 'Denied. Again.' or '$40,000 Bill. Here's what she did.' Curiosity hook, not clickbait.</w:t>
      </w:r>
    </w:p>
    <w:p>
      <w:pPr>
        <w:pStyle w:val="ListParagraph"/>
        <w:numPr>
          <w:ilvl w:val="0"/>
          <w:numId w:val="2"/>
        </w:numPr>
        <w:spacing w:after="40" w:before="40"/>
      </w:pPr>
      <w:r>
        <w:rPr>
          <w:rFonts w:ascii="Arial" w:cs="Arial" w:eastAsia="Arial" w:hAnsi="Arial"/>
          <w:color w:val="1A1A1A"/>
          <w:sz w:val="22"/>
          <w:szCs w:val="22"/>
        </w:rPr>
        <w:t xml:space="preserve">Title strategy: 'Insurance denied her cancer medication 3 times. Here's what worked.' — specific, search-adjacent, emotionally grounded.</w:t>
      </w:r>
    </w:p>
    <w:p>
      <w:pPr>
        <w:pStyle w:val="ListParagraph"/>
        <w:numPr>
          <w:ilvl w:val="0"/>
          <w:numId w:val="2"/>
        </w:numPr>
        <w:spacing w:after="40" w:before="40"/>
      </w:pPr>
      <w:r>
        <w:rPr>
          <w:rFonts w:ascii="Arial" w:cs="Arial" w:eastAsia="Arial" w:hAnsi="Arial"/>
          <w:color w:val="1A1A1A"/>
          <w:sz w:val="22"/>
          <w:szCs w:val="22"/>
        </w:rPr>
        <w:t xml:space="preserve">Spanish story videos: HeyGen auto-translation applies at Month 9 per the existing timeline. Story content translates well because the narrative structure is universal. Cultural adaptation note: Spanish versions of stories should prioritize stories where the source context resonates with Hispanic community experience — Medicaid navigation, language barrier denials, undocumented-adjacent fear (rights apply regardless of status).</w:t>
      </w:r>
    </w:p>
    <w:p>
      <w:pPr>
        <w:pStyle w:val="ListParagraph"/>
        <w:numPr>
          <w:ilvl w:val="0"/>
          <w:numId w:val="2"/>
        </w:numPr>
        <w:spacing w:after="40" w:before="40"/>
      </w:pPr>
      <w:r>
        <w:rPr>
          <w:rFonts w:ascii="Arial" w:cs="Arial" w:eastAsia="Arial" w:hAnsi="Arial"/>
          <w:color w:val="1A1A1A"/>
          <w:sz w:val="22"/>
          <w:szCs w:val="22"/>
        </w:rPr>
        <w:t xml:space="preserve">Playlist structure: Create a 'Real Stories' or 'Fighting Back' playlist to house story content separately from explainer content. Viewers who engage with one story are high-intent and likely to watch others.</w:t>
      </w:r>
    </w:p>
    <w:p>
      <w:pPr>
        <w:pStyle w:val="Heading2"/>
        <w:spacing w:after="80" w:before="260"/>
      </w:pPr>
      <w:r>
        <w:rPr>
          <w:rFonts w:ascii="Arial" w:cs="Arial" w:eastAsia="Arial" w:hAnsi="Arial"/>
          <w:b/>
          <w:bCs/>
          <w:color w:val="1A6B72"/>
          <w:sz w:val="27"/>
          <w:szCs w:val="27"/>
        </w:rPr>
        <w:t xml:space="preserve">Instagram Integration</w:t>
      </w:r>
    </w:p>
    <w:p>
      <w:pPr>
        <w:spacing w:after="60" w:before="60"/>
      </w:pPr>
      <w:r>
        <w:rPr>
          <w:rFonts w:ascii="Arial" w:cs="Arial" w:eastAsia="Arial" w:hAnsi="Arial"/>
          <w:color w:val="1A1A1A"/>
          <w:sz w:val="22"/>
          <w:szCs w:val="22"/>
        </w:rPr>
        <w:t xml:space="preserve">Story content maps to the 'Outcome Story' content pillar in the Instagram v2.0 framework, which unlocks at Gate 1 (10+ UTM-attributed tool clicks in a month). This gate exists for a reason — story content performs best when there is already an audience with established trust in the character. Launching with story content before explainer content has built that trust baseline inverts the funnel.</w:t>
      </w:r>
    </w:p>
    <w:p>
      <w:pPr>
        <w:pStyle w:val="Heading3"/>
        <w:spacing w:after="60" w:before="180"/>
      </w:pPr>
      <w:r>
        <w:rPr>
          <w:rFonts w:ascii="Arial" w:cs="Arial" w:eastAsia="Arial" w:hAnsi="Arial"/>
          <w:b/>
          <w:bCs/>
          <w:color w:val="1B2E4B"/>
          <w:sz w:val="23"/>
          <w:szCs w:val="23"/>
        </w:rPr>
        <w:t xml:space="preserve">Specific Instagram Considerations</w:t>
      </w:r>
    </w:p>
    <w:p>
      <w:pPr>
        <w:pStyle w:val="ListParagraph"/>
        <w:numPr>
          <w:ilvl w:val="0"/>
          <w:numId w:val="2"/>
        </w:numPr>
        <w:spacing w:after="40" w:before="40"/>
      </w:pPr>
      <w:r>
        <w:rPr>
          <w:rFonts w:ascii="Arial" w:cs="Arial" w:eastAsia="Arial" w:hAnsi="Arial"/>
          <w:color w:val="1A1A1A"/>
          <w:sz w:val="22"/>
          <w:szCs w:val="22"/>
        </w:rPr>
        <w:t xml:space="preserve">Format: Carousel (primary for Instagram) — 5–7 slides following the script structure. Slide 1 = hook. Slides 2–4 = situation + what works. Slide 5–6 = outcome. Final slide = CTA.</w:t>
      </w:r>
    </w:p>
    <w:p>
      <w:pPr>
        <w:pStyle w:val="ListParagraph"/>
        <w:numPr>
          <w:ilvl w:val="0"/>
          <w:numId w:val="2"/>
        </w:numPr>
        <w:spacing w:after="40" w:before="40"/>
      </w:pPr>
      <w:r>
        <w:rPr>
          <w:rFonts w:ascii="Arial" w:cs="Arial" w:eastAsia="Arial" w:hAnsi="Arial"/>
          <w:color w:val="1A1A1A"/>
          <w:sz w:val="22"/>
          <w:szCs w:val="22"/>
        </w:rPr>
        <w:t xml:space="preserve">Reel format: The video generated for YouTube Shorts can be directly cross-posted to Instagram Reels. Same video, same character, same script. No additional production required.</w:t>
      </w:r>
    </w:p>
    <w:p>
      <w:pPr>
        <w:pStyle w:val="ListParagraph"/>
        <w:numPr>
          <w:ilvl w:val="0"/>
          <w:numId w:val="2"/>
        </w:numPr>
        <w:spacing w:after="40" w:before="40"/>
      </w:pPr>
      <w:r>
        <w:rPr>
          <w:rFonts w:ascii="Arial" w:cs="Arial" w:eastAsia="Arial" w:hAnsi="Arial"/>
          <w:color w:val="1A1A1A"/>
          <w:sz w:val="22"/>
          <w:szCs w:val="22"/>
        </w:rPr>
        <w:t xml:space="preserve">Caption: Extended version of the hook. Do not repeat the slides in the caption. Add 1–2 sentences of contextual framing and the CTA.</w:t>
      </w:r>
    </w:p>
    <w:p>
      <w:pPr>
        <w:pStyle w:val="ListParagraph"/>
        <w:numPr>
          <w:ilvl w:val="0"/>
          <w:numId w:val="2"/>
        </w:numPr>
        <w:spacing w:after="40" w:before="40"/>
      </w:pPr>
      <w:r>
        <w:rPr>
          <w:rFonts w:ascii="Arial" w:cs="Arial" w:eastAsia="Arial" w:hAnsi="Arial"/>
          <w:color w:val="1A1A1A"/>
          <w:sz w:val="22"/>
          <w:szCs w:val="22"/>
        </w:rPr>
        <w:t xml:space="preserve">Spanish account: Same story, Spanish carousel version generated via translation pipeline. Cultural adaptation applies — especially for stories involving Hispanic community-specific barriers.</w:t>
      </w:r>
    </w:p>
    <w:p>
      <w:pPr>
        <w:pStyle w:val="ListParagraph"/>
        <w:numPr>
          <w:ilvl w:val="0"/>
          <w:numId w:val="2"/>
        </w:numPr>
        <w:spacing w:after="40" w:before="40"/>
      </w:pPr>
      <w:r>
        <w:rPr>
          <w:rFonts w:ascii="Arial" w:cs="Arial" w:eastAsia="Arial" w:hAnsi="Arial"/>
          <w:color w:val="1A1A1A"/>
          <w:sz w:val="22"/>
          <w:szCs w:val="22"/>
        </w:rPr>
        <w:t xml:space="preserve">Save rate tracking: Story carousels are predicted to have higher save rates than educational carousels because they are emotionally resonant and practically useful. Track saves separately for story vs. explainer content to validate this assumption.</w:t>
      </w:r>
    </w:p>
    <w:p>
      <w:pPr>
        <w:pStyle w:val="Heading2"/>
        <w:spacing w:after="80" w:before="260"/>
      </w:pPr>
      <w:r>
        <w:rPr>
          <w:rFonts w:ascii="Arial" w:cs="Arial" w:eastAsia="Arial" w:hAnsi="Arial"/>
          <w:b/>
          <w:bCs/>
          <w:color w:val="1A6B72"/>
          <w:sz w:val="27"/>
          <w:szCs w:val="27"/>
        </w:rPr>
        <w:t xml:space="preserve">Future Channel Readiness</w:t>
      </w:r>
    </w:p>
    <w:p>
      <w:pPr>
        <w:pStyle w:val="ListParagraph"/>
        <w:numPr>
          <w:ilvl w:val="0"/>
          <w:numId w:val="2"/>
        </w:numPr>
        <w:spacing w:after="40" w:before="40"/>
      </w:pPr>
      <w:r>
        <w:rPr>
          <w:rFonts w:ascii="Arial" w:cs="Arial" w:eastAsia="Arial" w:hAnsi="Arial"/>
          <w:color w:val="1A1A1A"/>
          <w:sz w:val="22"/>
          <w:szCs w:val="22"/>
        </w:rPr>
        <w:t xml:space="preserve">TikTok (Month 15+ optional): Story content cross-posts from YouTube Shorts with zero additional production. Same video.</w:t>
      </w:r>
    </w:p>
    <w:p>
      <w:pPr>
        <w:pStyle w:val="ListParagraph"/>
        <w:numPr>
          <w:ilvl w:val="0"/>
          <w:numId w:val="2"/>
        </w:numPr>
        <w:spacing w:after="40" w:before="40"/>
      </w:pPr>
      <w:r>
        <w:rPr>
          <w:rFonts w:ascii="Arial" w:cs="Arial" w:eastAsia="Arial" w:hAnsi="Arial"/>
          <w:color w:val="1A1A1A"/>
          <w:sz w:val="22"/>
          <w:szCs w:val="22"/>
        </w:rPr>
        <w:t xml:space="preserve">Email (Beehiiv): Monthly newsletter can feature one anonymized story as a 'This Month's Fight' section — drives email engagement and secondary tool CTAs. Story Bank provides content without additional writing.</w:t>
      </w:r>
    </w:p>
    <w:p>
      <w:pPr>
        <w:pStyle w:val="ListParagraph"/>
        <w:numPr>
          <w:ilvl w:val="0"/>
          <w:numId w:val="2"/>
        </w:numPr>
        <w:spacing w:after="40" w:before="40"/>
      </w:pPr>
      <w:r>
        <w:rPr>
          <w:rFonts w:ascii="Arial" w:cs="Arial" w:eastAsia="Arial" w:hAnsi="Arial"/>
          <w:color w:val="1A1A1A"/>
          <w:sz w:val="22"/>
          <w:szCs w:val="22"/>
        </w:rPr>
        <w:t xml:space="preserve">Platform (on-site): Story Bank eventually feeds an on-platform 'Community Stories' section — logged-in users can read anonymized stories for motivation before starting their own appeal. This is a deferred Phase 3+ feature.</w:t>
      </w: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6 — ROLLOUT GATES &amp; MONITORING</w:t>
      </w:r>
    </w:p>
    <w:p>
      <w:pPr>
        <w:pStyle w:val="Heading2"/>
        <w:spacing w:after="80" w:before="260"/>
      </w:pPr>
      <w:r>
        <w:rPr>
          <w:rFonts w:ascii="Arial" w:cs="Arial" w:eastAsia="Arial" w:hAnsi="Arial"/>
          <w:b/>
          <w:bCs/>
          <w:color w:val="1A6B72"/>
          <w:sz w:val="27"/>
          <w:szCs w:val="27"/>
        </w:rPr>
        <w:t xml:space="preserve">Pre-Launch (Before First Video Published)</w:t>
      </w:r>
    </w:p>
    <w:p>
      <w:pPr>
        <w:pStyle w:val="ListParagraph"/>
        <w:numPr>
          <w:ilvl w:val="0"/>
          <w:numId w:val="2"/>
        </w:numPr>
        <w:spacing w:after="40" w:before="40"/>
      </w:pPr>
      <w:r>
        <w:rPr>
          <w:rFonts w:ascii="Arial" w:cs="Arial" w:eastAsia="Arial" w:hAnsi="Arial"/>
          <w:color w:val="1A1A1A"/>
          <w:sz w:val="22"/>
          <w:szCs w:val="22"/>
        </w:rPr>
        <w:t xml:space="preserve">Supabase scrub record schema deployed</w:t>
      </w:r>
    </w:p>
    <w:p>
      <w:pPr>
        <w:pStyle w:val="ListParagraph"/>
        <w:numPr>
          <w:ilvl w:val="0"/>
          <w:numId w:val="2"/>
        </w:numPr>
        <w:spacing w:after="40" w:before="40"/>
      </w:pPr>
      <w:r>
        <w:rPr>
          <w:rFonts w:ascii="Arial" w:cs="Arial" w:eastAsia="Arial" w:hAnsi="Arial"/>
          <w:color w:val="1A1A1A"/>
          <w:sz w:val="22"/>
          <w:szCs w:val="22"/>
        </w:rPr>
        <w:t xml:space="preserve">Submission form built and live on platform</w:t>
      </w:r>
    </w:p>
    <w:p>
      <w:pPr>
        <w:pStyle w:val="ListParagraph"/>
        <w:numPr>
          <w:ilvl w:val="0"/>
          <w:numId w:val="2"/>
        </w:numPr>
        <w:spacing w:after="40" w:before="40"/>
      </w:pPr>
      <w:r>
        <w:rPr>
          <w:rFonts w:ascii="Arial" w:cs="Arial" w:eastAsia="Arial" w:hAnsi="Arial"/>
          <w:color w:val="1A1A1A"/>
          <w:sz w:val="22"/>
          <w:szCs w:val="22"/>
        </w:rPr>
        <w:t xml:space="preserve">Submission consent language reviewed by attorney (add to existing pre-launch attorney review scope)</w:t>
      </w:r>
    </w:p>
    <w:p>
      <w:pPr>
        <w:pStyle w:val="ListParagraph"/>
        <w:numPr>
          <w:ilvl w:val="0"/>
          <w:numId w:val="2"/>
        </w:numPr>
        <w:spacing w:after="40" w:before="40"/>
      </w:pPr>
      <w:r>
        <w:rPr>
          <w:rFonts w:ascii="Arial" w:cs="Arial" w:eastAsia="Arial" w:hAnsi="Arial"/>
          <w:color w:val="1A1A1A"/>
          <w:sz w:val="22"/>
          <w:szCs w:val="22"/>
        </w:rPr>
        <w:t xml:space="preserve">Two AI actor characters selected in HeyGen — English and Spanish</w:t>
      </w:r>
    </w:p>
    <w:p>
      <w:pPr>
        <w:pStyle w:val="ListParagraph"/>
        <w:numPr>
          <w:ilvl w:val="0"/>
          <w:numId w:val="2"/>
        </w:numPr>
        <w:spacing w:after="40" w:before="40"/>
      </w:pPr>
      <w:r>
        <w:rPr>
          <w:rFonts w:ascii="Arial" w:cs="Arial" w:eastAsia="Arial" w:hAnsi="Arial"/>
          <w:color w:val="1A1A1A"/>
          <w:sz w:val="22"/>
          <w:szCs w:val="22"/>
        </w:rPr>
        <w:t xml:space="preserve">Brand voice rules documented and added to Claude API system prompt for script generation</w:t>
      </w:r>
    </w:p>
    <w:p>
      <w:pPr>
        <w:pStyle w:val="ListParagraph"/>
        <w:numPr>
          <w:ilvl w:val="0"/>
          <w:numId w:val="2"/>
        </w:numPr>
        <w:spacing w:after="40" w:before="40"/>
      </w:pPr>
      <w:r>
        <w:rPr>
          <w:rFonts w:ascii="Arial" w:cs="Arial" w:eastAsia="Arial" w:hAnsi="Arial"/>
          <w:color w:val="1A1A1A"/>
          <w:sz w:val="22"/>
          <w:szCs w:val="22"/>
        </w:rPr>
        <w:t xml:space="preserve">YMYL prohibition list updated to include story-specific prohibitions (outcome guarantees, medical diagnosis language)</w:t>
      </w:r>
    </w:p>
    <w:p>
      <w:pPr>
        <w:pStyle w:val="ListParagraph"/>
        <w:numPr>
          <w:ilvl w:val="0"/>
          <w:numId w:val="2"/>
        </w:numPr>
        <w:spacing w:after="40" w:before="40"/>
      </w:pPr>
      <w:r>
        <w:rPr>
          <w:rFonts w:ascii="Arial" w:cs="Arial" w:eastAsia="Arial" w:hAnsi="Arial"/>
          <w:color w:val="1A1A1A"/>
          <w:sz w:val="22"/>
          <w:szCs w:val="22"/>
        </w:rPr>
        <w:t xml:space="preserve">Nurse co-founder briefed on flagged story review criteria</w:t>
      </w:r>
    </w:p>
    <w:p>
      <w:pPr>
        <w:pStyle w:val="ListParagraph"/>
        <w:numPr>
          <w:ilvl w:val="0"/>
          <w:numId w:val="2"/>
        </w:numPr>
        <w:spacing w:after="40" w:before="40"/>
      </w:pPr>
      <w:r>
        <w:rPr>
          <w:rFonts w:ascii="Arial" w:cs="Arial" w:eastAsia="Arial" w:hAnsi="Arial"/>
          <w:color w:val="1A1A1A"/>
          <w:sz w:val="22"/>
          <w:szCs w:val="22"/>
        </w:rPr>
        <w:t xml:space="preserve">First 3 stories sourced, scrubbed, and approved — Story Bank seeded before any video is generated</w:t>
      </w:r>
    </w:p>
    <w:p>
      <w:pPr>
        <w:spacing w:after="0" w:before="80"/>
      </w:pPr>
    </w:p>
    <w:p>
      <w:pPr>
        <w:pBdr>
          <w:left w:val="single" w:color="1E6B3A" w:sz="14" w:space="8"/>
        </w:pBdr>
        <w:shd w:fill="F0F7F0" w:val="clear"/>
        <w:spacing w:after="80" w:before="80"/>
      </w:pPr>
      <w:r>
        <w:rPr>
          <w:rFonts w:ascii="Arial" w:cs="Arial" w:eastAsia="Arial" w:hAnsi="Arial"/>
          <w:i/>
          <w:iCs/>
          <w:color w:val="1A1A1A"/>
          <w:sz w:val="22"/>
          <w:szCs w:val="22"/>
        </w:rPr>
        <w:t xml:space="preserve">  Target: First story video published by Month 3 (same as YouTube channel launch). Story content does not need to wait for the submission pipeline to generate volume — the Research Track provides immediate Story Bank content while submissions build.</w:t>
      </w:r>
    </w:p>
    <w:p>
      <w:pPr>
        <w:pStyle w:val="Heading2"/>
        <w:spacing w:after="80" w:before="260"/>
      </w:pPr>
      <w:r>
        <w:rPr>
          <w:rFonts w:ascii="Arial" w:cs="Arial" w:eastAsia="Arial" w:hAnsi="Arial"/>
          <w:b/>
          <w:bCs/>
          <w:color w:val="1A6B72"/>
          <w:sz w:val="27"/>
          <w:szCs w:val="27"/>
        </w:rPr>
        <w:t xml:space="preserve">Signal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Gate</w:t>
            </w:r>
          </w:p>
        </w:tc>
        <w:tc>
          <w:tcPr>
            <w:tcW w:type="dxa" w:w="24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Unlock Signal</w:t>
            </w:r>
          </w:p>
        </w:tc>
        <w:tc>
          <w:tcPr>
            <w:tcW w:type="dxa" w:w="27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What Unlocks</w:t>
            </w:r>
          </w:p>
        </w:tc>
        <w:tc>
          <w:tcPr>
            <w:tcW w:type="dxa" w:w="27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What Stays Locked</w:t>
            </w:r>
          </w:p>
        </w:tc>
      </w:tr>
      <w:tr>
        <w:tc>
          <w:tcPr>
            <w:tcW w:type="dxa" w:w="144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Gate 0
Pre-launch</w:t>
            </w:r>
          </w:p>
        </w:tc>
        <w:tc>
          <w:tcPr>
            <w:tcW w:type="dxa" w:w="24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Platform tools live + first SEO article published</w:t>
            </w:r>
          </w:p>
        </w:tc>
        <w:tc>
          <w:tcPr>
            <w:tcW w:type="dxa" w:w="276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Bank begins (scrubbing + story collection). First video can be produced manually.</w:t>
            </w:r>
          </w:p>
        </w:tc>
        <w:tc>
          <w:tcPr>
            <w:tcW w:type="dxa" w:w="27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content on Instagram (requires Gate 1 per Instagram v2.0). Spanish story videos.</w:t>
            </w:r>
          </w:p>
        </w:tc>
      </w:tr>
      <w:tr>
        <w:tc>
          <w:tcPr>
            <w:tcW w:type="dxa" w:w="144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Gate 1
Month 3–5</w:t>
            </w:r>
          </w:p>
        </w:tc>
        <w:tc>
          <w:tcPr>
            <w:tcW w:type="dxa" w:w="24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First 3 story videos published on YouTube AND 10+ UTM-attributed tool clicks from Instagram in a month</w:t>
            </w:r>
          </w:p>
        </w:tc>
        <w:tc>
          <w:tcPr>
            <w:tcW w:type="dxa" w:w="276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content added to Instagram Reels + carousels (Outcome Story pillar unlocked per Instagram v2.0 Gate 1).</w:t>
            </w:r>
          </w:p>
        </w:tc>
        <w:tc>
          <w:tcPr>
            <w:tcW w:type="dxa" w:w="27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Spanish story videos. Submission-sourced story naming (even anonymized).</w:t>
            </w:r>
          </w:p>
        </w:tc>
      </w:tr>
      <w:tr>
        <w:tc>
          <w:tcPr>
            <w:tcW w:type="dxa" w:w="144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Gate 2
Month 6–9</w:t>
            </w:r>
          </w:p>
        </w:tc>
        <w:tc>
          <w:tcPr>
            <w:tcW w:type="dxa" w:w="24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videos generating measurable tool click-through (any YouTube story video drives 50+ tool clicks) AND submission pipeline has received 10+ stories</w:t>
            </w:r>
          </w:p>
        </w:tc>
        <w:tc>
          <w:tcPr>
            <w:tcW w:type="dxa" w:w="276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Submission-sourced stories replace Research Track as primary source. Monthly story cadence increases to 2/month. Story section added to Beehiiv newsletter.</w:t>
            </w:r>
          </w:p>
        </w:tc>
        <w:tc>
          <w:tcPr>
            <w:tcW w:type="dxa" w:w="27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Named case studies (even with permission — requires Phase 2 attorney review). On-platform community stories section.</w:t>
            </w:r>
          </w:p>
        </w:tc>
      </w:tr>
      <w:tr>
        <w:tc>
          <w:tcPr>
            <w:tcW w:type="dxa" w:w="144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Gate 3
Month 9+</w:t>
            </w:r>
          </w:p>
        </w:tc>
        <w:tc>
          <w:tcPr>
            <w:tcW w:type="dxa" w:w="24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Spanish channel active (per YT Strategy Month 9 gate) AND 25+ stories in Story Bank</w:t>
            </w:r>
          </w:p>
        </w:tc>
        <w:tc>
          <w:tcPr>
            <w:tcW w:type="dxa" w:w="2760"/>
            <w:tcBorders>
              <w:top w:val="single" w:color="D9DDE2" w:sz="2"/>
              <w:left w:val="single" w:color="D9DDE2" w:sz="2"/>
              <w:bottom w:val="single" w:color="D9DDE2" w:sz="2"/>
              <w:right w:val="single" w:color="D9DDE2" w:sz="2"/>
            </w:tcBorders>
            <w:shd w:fill="F0F7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Spanish story video production (cultural adaptation pipeline active). Story content informs B2B win-rate narrative at Signal 1.</w:t>
            </w:r>
          </w:p>
        </w:tc>
        <w:tc>
          <w:tcPr>
            <w:tcW w:type="dxa" w:w="27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B2B use of stories (requires outcome tracking data + separate consent framework — not before Month 9 Checkpoint 3 review).</w:t>
            </w:r>
          </w:p>
        </w:tc>
      </w:tr>
    </w:tbl>
    <w:p>
      <w:pPr>
        <w:spacing w:after="0" w:before="100"/>
      </w:pPr>
    </w:p>
    <w:p>
      <w:pPr>
        <w:pStyle w:val="Heading2"/>
        <w:spacing w:after="80" w:before="260"/>
      </w:pPr>
      <w:r>
        <w:rPr>
          <w:rFonts w:ascii="Arial" w:cs="Arial" w:eastAsia="Arial" w:hAnsi="Arial"/>
          <w:b/>
          <w:bCs/>
          <w:color w:val="1A6B72"/>
          <w:sz w:val="27"/>
          <w:szCs w:val="27"/>
        </w:rPr>
        <w:t xml:space="preserve">Monitoring Framework</w:t>
      </w:r>
    </w:p>
    <w:p>
      <w:pPr>
        <w:pStyle w:val="Heading3"/>
        <w:spacing w:after="60" w:before="180"/>
      </w:pPr>
      <w:r>
        <w:rPr>
          <w:rFonts w:ascii="Arial" w:cs="Arial" w:eastAsia="Arial" w:hAnsi="Arial"/>
          <w:b/>
          <w:bCs/>
          <w:color w:val="1B2E4B"/>
          <w:sz w:val="23"/>
          <w:szCs w:val="23"/>
        </w:rPr>
        <w:t xml:space="preserve">Weekly Metrics (CMO Agent Digest)</w:t>
      </w:r>
    </w:p>
    <w:p>
      <w:pPr>
        <w:pStyle w:val="ListParagraph"/>
        <w:numPr>
          <w:ilvl w:val="0"/>
          <w:numId w:val="2"/>
        </w:numPr>
        <w:spacing w:after="40" w:before="40"/>
      </w:pPr>
      <w:r>
        <w:rPr>
          <w:rFonts w:ascii="Arial" w:cs="Arial" w:eastAsia="Arial" w:hAnsi="Arial"/>
          <w:color w:val="1A1A1A"/>
          <w:sz w:val="22"/>
          <w:szCs w:val="22"/>
        </w:rPr>
        <w:t xml:space="preserve">Stories scrubbed this week (both tracks)</w:t>
      </w:r>
    </w:p>
    <w:p>
      <w:pPr>
        <w:pStyle w:val="ListParagraph"/>
        <w:numPr>
          <w:ilvl w:val="0"/>
          <w:numId w:val="2"/>
        </w:numPr>
        <w:spacing w:after="40" w:before="40"/>
      </w:pPr>
      <w:r>
        <w:rPr>
          <w:rFonts w:ascii="Arial" w:cs="Arial" w:eastAsia="Arial" w:hAnsi="Arial"/>
          <w:color w:val="1A1A1A"/>
          <w:sz w:val="22"/>
          <w:szCs w:val="22"/>
        </w:rPr>
        <w:t xml:space="preserve">Scripts generated / scripts approved / scripts held for revision</w:t>
      </w:r>
    </w:p>
    <w:p>
      <w:pPr>
        <w:pStyle w:val="ListParagraph"/>
        <w:numPr>
          <w:ilvl w:val="0"/>
          <w:numId w:val="2"/>
        </w:numPr>
        <w:spacing w:after="40" w:before="40"/>
      </w:pPr>
      <w:r>
        <w:rPr>
          <w:rFonts w:ascii="Arial" w:cs="Arial" w:eastAsia="Arial" w:hAnsi="Arial"/>
          <w:color w:val="1A1A1A"/>
          <w:sz w:val="22"/>
          <w:szCs w:val="22"/>
        </w:rPr>
        <w:t xml:space="preserve">Story videos published (EN) / (ES when active)</w:t>
      </w:r>
    </w:p>
    <w:p>
      <w:pPr>
        <w:pStyle w:val="ListParagraph"/>
        <w:numPr>
          <w:ilvl w:val="0"/>
          <w:numId w:val="2"/>
        </w:numPr>
        <w:spacing w:after="40" w:before="40"/>
      </w:pPr>
      <w:r>
        <w:rPr>
          <w:rFonts w:ascii="Arial" w:cs="Arial" w:eastAsia="Arial" w:hAnsi="Arial"/>
          <w:color w:val="1A1A1A"/>
          <w:sz w:val="22"/>
          <w:szCs w:val="22"/>
        </w:rPr>
        <w:t xml:space="preserve">QA pipeline pass rate on story scripts (Stage 1 fail rate — target &lt;5%)</w:t>
      </w:r>
    </w:p>
    <w:p>
      <w:pPr>
        <w:pStyle w:val="ListParagraph"/>
        <w:numPr>
          <w:ilvl w:val="0"/>
          <w:numId w:val="2"/>
        </w:numPr>
        <w:spacing w:after="40" w:before="40"/>
      </w:pPr>
      <w:r>
        <w:rPr>
          <w:rFonts w:ascii="Arial" w:cs="Arial" w:eastAsia="Arial" w:hAnsi="Arial"/>
          <w:color w:val="1A1A1A"/>
          <w:sz w:val="22"/>
          <w:szCs w:val="22"/>
        </w:rPr>
        <w:t xml:space="preserve">Story video view count vs. explainer video view count (ratio tracking)</w:t>
      </w:r>
    </w:p>
    <w:p>
      <w:pPr>
        <w:pStyle w:val="Heading3"/>
        <w:spacing w:after="60" w:before="180"/>
      </w:pPr>
      <w:r>
        <w:rPr>
          <w:rFonts w:ascii="Arial" w:cs="Arial" w:eastAsia="Arial" w:hAnsi="Arial"/>
          <w:b/>
          <w:bCs/>
          <w:color w:val="1B2E4B"/>
          <w:sz w:val="23"/>
          <w:szCs w:val="23"/>
        </w:rPr>
        <w:t xml:space="preserve">Monthly Metrics (MPR Addition)</w:t>
      </w:r>
    </w:p>
    <w:p>
      <w:pPr>
        <w:pStyle w:val="ListParagraph"/>
        <w:numPr>
          <w:ilvl w:val="0"/>
          <w:numId w:val="2"/>
        </w:numPr>
        <w:spacing w:after="40" w:before="40"/>
      </w:pPr>
      <w:r>
        <w:rPr>
          <w:rFonts w:ascii="Arial" w:cs="Arial" w:eastAsia="Arial" w:hAnsi="Arial"/>
          <w:color w:val="1A1A1A"/>
          <w:sz w:val="22"/>
          <w:szCs w:val="22"/>
        </w:rPr>
        <w:t xml:space="preserve">Submission form completion rate (submissions received vs. page visits)</w:t>
      </w:r>
    </w:p>
    <w:p>
      <w:pPr>
        <w:pStyle w:val="ListParagraph"/>
        <w:numPr>
          <w:ilvl w:val="0"/>
          <w:numId w:val="2"/>
        </w:numPr>
        <w:spacing w:after="40" w:before="40"/>
      </w:pPr>
      <w:r>
        <w:rPr>
          <w:rFonts w:ascii="Arial" w:cs="Arial" w:eastAsia="Arial" w:hAnsi="Arial"/>
          <w:color w:val="1A1A1A"/>
          <w:sz w:val="22"/>
          <w:szCs w:val="22"/>
        </w:rPr>
        <w:t xml:space="preserve">Story Bank depth: total approved stories available for production</w:t>
      </w:r>
    </w:p>
    <w:p>
      <w:pPr>
        <w:pStyle w:val="ListParagraph"/>
        <w:numPr>
          <w:ilvl w:val="0"/>
          <w:numId w:val="2"/>
        </w:numPr>
        <w:spacing w:after="40" w:before="40"/>
      </w:pPr>
      <w:r>
        <w:rPr>
          <w:rFonts w:ascii="Arial" w:cs="Arial" w:eastAsia="Arial" w:hAnsi="Arial"/>
          <w:color w:val="1A1A1A"/>
          <w:sz w:val="22"/>
          <w:szCs w:val="22"/>
        </w:rPr>
        <w:t xml:space="preserve">Tool click-through rate from story videos vs. explainer videos (are stories converting better?)</w:t>
      </w:r>
    </w:p>
    <w:p>
      <w:pPr>
        <w:pStyle w:val="ListParagraph"/>
        <w:numPr>
          <w:ilvl w:val="0"/>
          <w:numId w:val="2"/>
        </w:numPr>
        <w:spacing w:after="40" w:before="40"/>
      </w:pPr>
      <w:r>
        <w:rPr>
          <w:rFonts w:ascii="Arial" w:cs="Arial" w:eastAsia="Arial" w:hAnsi="Arial"/>
          <w:color w:val="1A1A1A"/>
          <w:sz w:val="22"/>
          <w:szCs w:val="22"/>
        </w:rPr>
        <w:t xml:space="preserve">Nurse review queue backlog (zero tolerance — if backlog exceeds 5 flagged stories, pipeline pauses until cleared)</w:t>
      </w:r>
    </w:p>
    <w:p>
      <w:pPr>
        <w:pStyle w:val="ListParagraph"/>
        <w:numPr>
          <w:ilvl w:val="0"/>
          <w:numId w:val="2"/>
        </w:numPr>
        <w:spacing w:after="40" w:before="40"/>
      </w:pPr>
      <w:r>
        <w:rPr>
          <w:rFonts w:ascii="Arial" w:cs="Arial" w:eastAsia="Arial" w:hAnsi="Arial"/>
          <w:color w:val="1A1A1A"/>
          <w:sz w:val="22"/>
          <w:szCs w:val="22"/>
        </w:rPr>
        <w:t xml:space="preserve">UTM-attributed conversions from story content specifically</w:t>
      </w:r>
    </w:p>
    <w:p>
      <w:pPr>
        <w:pStyle w:val="Heading3"/>
        <w:spacing w:after="60" w:before="180"/>
      </w:pPr>
      <w:r>
        <w:rPr>
          <w:rFonts w:ascii="Arial" w:cs="Arial" w:eastAsia="Arial" w:hAnsi="Arial"/>
          <w:b/>
          <w:bCs/>
          <w:color w:val="1B2E4B"/>
          <w:sz w:val="23"/>
          <w:szCs w:val="23"/>
        </w:rPr>
        <w:t xml:space="preserve">Quality Signal Thresholds — Action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Signal</w:t>
            </w:r>
          </w:p>
        </w:tc>
        <w:tc>
          <w:tcPr>
            <w:tcW w:type="dxa" w:w="21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Threshold</w:t>
            </w:r>
          </w:p>
        </w:tc>
        <w:tc>
          <w:tcPr>
            <w:tcW w:type="dxa" w:w="42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Stage 1 YMYL fail rate on story scripts</w:t>
            </w:r>
          </w:p>
        </w:tc>
        <w:tc>
          <w:tcPr>
            <w:tcW w:type="dxa" w:w="2160"/>
            <w:tcBorders>
              <w:top w:val="single" w:color="D9DDE2" w:sz="2"/>
              <w:left w:val="single" w:color="D9DDE2" w:sz="2"/>
              <w:bottom w:val="single" w:color="D9DDE2" w:sz="2"/>
              <w:right w:val="single" w:color="D9DDE2" w:sz="2"/>
            </w:tcBorders>
            <w:shd w:fill="FFF8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&gt;10% of scripts flagged</w:t>
            </w:r>
          </w:p>
        </w:tc>
        <w:tc>
          <w:tcPr>
            <w:tcW w:type="dxa" w:w="4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Revise Claude API system prompt. Add new prohibited pattern to YMYL blocklist. Review last 10 approved scripts for near-misses.</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video watch time at 30 seconds</w:t>
            </w:r>
          </w:p>
        </w:tc>
        <w:tc>
          <w:tcPr>
            <w:tcW w:type="dxa" w:w="2160"/>
            <w:tcBorders>
              <w:top w:val="single" w:color="D9DDE2" w:sz="2"/>
              <w:left w:val="single" w:color="D9DDE2" w:sz="2"/>
              <w:bottom w:val="single" w:color="D9DDE2" w:sz="2"/>
              <w:right w:val="single" w:color="D9DDE2" w:sz="2"/>
            </w:tcBorders>
            <w:shd w:fill="FFF8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&lt;40% retention</w:t>
            </w:r>
          </w:p>
        </w:tc>
        <w:tc>
          <w:tcPr>
            <w:tcW w:type="dxa" w:w="4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Hook is failing. Revise hook formula. Test alternative opening with same story structure. CMO Agent flags for A/B test.</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Submission form conversion rate</w:t>
            </w:r>
          </w:p>
        </w:tc>
        <w:tc>
          <w:tcPr>
            <w:tcW w:type="dxa" w:w="2160"/>
            <w:tcBorders>
              <w:top w:val="single" w:color="D9DDE2" w:sz="2"/>
              <w:left w:val="single" w:color="D9DDE2" w:sz="2"/>
              <w:bottom w:val="single" w:color="D9DDE2" w:sz="2"/>
              <w:right w:val="single" w:color="D9DDE2" w:sz="2"/>
            </w:tcBorders>
            <w:shd w:fill="FFF8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&lt;2% of platform visits resulting in submission views</w:t>
            </w:r>
          </w:p>
        </w:tc>
        <w:tc>
          <w:tcPr>
            <w:tcW w:type="dxa" w:w="420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Form is not visible or CTA is weak. Review placement in user journey. Add story submission prompt post-tool-completion.</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Nurse review backlog</w:t>
            </w:r>
          </w:p>
        </w:tc>
        <w:tc>
          <w:tcPr>
            <w:tcW w:type="dxa" w:w="2160"/>
            <w:tcBorders>
              <w:top w:val="single" w:color="D9DDE2" w:sz="2"/>
              <w:left w:val="single" w:color="D9DDE2" w:sz="2"/>
              <w:bottom w:val="single" w:color="D9DDE2" w:sz="2"/>
              <w:right w:val="single" w:color="D9DDE2" w:sz="2"/>
            </w:tcBorders>
            <w:shd w:fill="FFF0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&gt;5 flagged stories awaiting review</w:t>
            </w:r>
          </w:p>
        </w:tc>
        <w:tc>
          <w:tcPr>
            <w:tcW w:type="dxa" w:w="4200"/>
            <w:tcBorders>
              <w:top w:val="single" w:color="D9DDE2" w:sz="2"/>
              <w:left w:val="single" w:color="D9DDE2" w:sz="2"/>
              <w:bottom w:val="single" w:color="D9DDE2" w:sz="2"/>
              <w:right w:val="single" w:color="D9DDE2" w:sz="2"/>
            </w:tcBorders>
            <w:shd w:fill="FFF0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HARD STOP — pipeline pauses for new story production until backlog cleared. Nurse co-founder is not an optional gate.</w:t>
            </w:r>
          </w:p>
        </w:tc>
      </w:tr>
      <w:tr>
        <w:tc>
          <w:tcPr>
            <w:tcW w:type="dxa" w:w="3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complaint or recognition by original poster (Research Track)</w:t>
            </w:r>
          </w:p>
        </w:tc>
        <w:tc>
          <w:tcPr>
            <w:tcW w:type="dxa" w:w="2160"/>
            <w:tcBorders>
              <w:top w:val="single" w:color="D9DDE2" w:sz="2"/>
              <w:left w:val="single" w:color="D9DDE2" w:sz="2"/>
              <w:bottom w:val="single" w:color="D9DDE2" w:sz="2"/>
              <w:right w:val="single" w:color="D9DDE2" w:sz="2"/>
            </w:tcBorders>
            <w:shd w:fill="FFF0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Any complaint received</w:t>
            </w:r>
          </w:p>
        </w:tc>
        <w:tc>
          <w:tcPr>
            <w:tcW w:type="dxa" w:w="4200"/>
            <w:tcBorders>
              <w:top w:val="single" w:color="D9DDE2" w:sz="2"/>
              <w:left w:val="single" w:color="D9DDE2" w:sz="2"/>
              <w:bottom w:val="single" w:color="D9DDE2" w:sz="2"/>
              <w:right w:val="single" w:color="D9DDE2" w:sz="2"/>
            </w:tcBorders>
            <w:shd w:fill="FFF0F0"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Immediate video removal. Replace with submission-sourced story. Review all Research Track content for similar identification risk. Founder decision on response.</w:t>
            </w:r>
          </w:p>
        </w:tc>
      </w:tr>
    </w:tbl>
    <w:p>
      <w:pPr>
        <w:pageBreakBefore/>
      </w:pPr>
    </w:p>
    <w:p>
      <w:pPr>
        <w:pBdr>
          <w:bottom w:val="single" w:color="1B2E4B" w:sz="16" w:space="6"/>
        </w:pBdr>
        <w:spacing w:after="200" w:before="0"/>
      </w:pPr>
      <w:r>
        <w:rPr>
          <w:rFonts w:ascii="Arial" w:cs="Arial" w:eastAsia="Arial" w:hAnsi="Arial"/>
          <w:b/>
          <w:bCs/>
          <w:color w:val="1B2E4B"/>
          <w:sz w:val="38"/>
          <w:szCs w:val="38"/>
        </w:rPr>
        <w:t xml:space="preserve">SECTION 7 — COMPLETE FLAG REGISTRY</w:t>
      </w:r>
    </w:p>
    <w:p>
      <w:pPr>
        <w:spacing w:after="60" w:before="60"/>
      </w:pPr>
      <w:r>
        <w:rPr>
          <w:rFonts w:ascii="Arial" w:cs="Arial" w:eastAsia="Arial" w:hAnsi="Arial"/>
          <w:color w:val="1A1A1A"/>
          <w:sz w:val="22"/>
          <w:szCs w:val="22"/>
        </w:rPr>
        <w:t xml:space="preserve">All identified legal, ethical, operational, and compliance risks in one place for ongoing reference.</w:t>
      </w:r>
    </w:p>
    <w:p>
      <w:pPr>
        <w:spacing w:after="0" w:before="8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Reddit ToS prohibits automated scraping. Research Track uses manual curation only — a human reads and selects, does not run scrapers. Violating this creates platform ban risk and legal exposure under CFAA depending on jurisdiction.</w:t>
      </w:r>
    </w:p>
    <w:p>
      <w:pPr>
        <w:spacing w:after="0" w:before="4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Combining multiple non-removed identifiers (rare condition + specific insurer + specific state + specific year) creates a fingerprint even without a name. Stories must pass a 'could this identify someone with 30 seconds of Googling?' test before approval.</w:t>
      </w:r>
    </w:p>
    <w:p>
      <w:pPr>
        <w:spacing w:after="0" w:before="4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Private group posts (Facebook closed groups, private Discord servers, DMs) are absolute exclusions regardless of content quality. No exception. The violation of trust is existential for a healthcare advocacy platform.</w:t>
      </w:r>
    </w:p>
    <w:p>
      <w:pPr>
        <w:spacing w:after="0" w:before="4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Posts by apparent minors are absolute exclusions. No story involving anyone under 18 as the primary subject, regardless of how compelling the story.</w:t>
      </w:r>
    </w:p>
    <w:p>
      <w:pPr>
        <w:spacing w:after="0" w:before="40"/>
      </w:pPr>
    </w:p>
    <w:p>
      <w:pPr>
        <w:pBdr>
          <w:top w:val="single" w:color="8A1A1A" w:sz="2"/>
          <w:bottom w:val="single" w:color="8A1A1A" w:sz="2"/>
          <w:left w:val="single" w:color="8A1A1A" w:sz="16"/>
          <w:right w:val="single" w:color="8A1A1A" w:sz="2"/>
        </w:pBdr>
        <w:shd w:fill="FFF0F0" w:val="clear"/>
        <w:spacing w:after="100" w:before="100"/>
      </w:pPr>
      <w:r>
        <w:rPr>
          <w:rFonts w:ascii="Arial" w:cs="Arial" w:eastAsia="Arial" w:hAnsi="Arial"/>
          <w:b/>
          <w:bCs/>
          <w:color w:val="8A1A1A"/>
          <w:sz w:val="22"/>
          <w:szCs w:val="22"/>
        </w:rPr>
        <w:t xml:space="preserve">🔴  RED FLAG — </w:t>
      </w:r>
      <w:r>
        <w:rPr>
          <w:rFonts w:ascii="Arial" w:cs="Arial" w:eastAsia="Arial" w:hAnsi="Arial"/>
          <w:color w:val="1A1A1A"/>
          <w:sz w:val="22"/>
          <w:szCs w:val="22"/>
        </w:rPr>
        <w:t xml:space="preserve">Nurse review backlog exceeding 5 flagged stories triggers a pipeline hard stop. This is not a soft recommendation — production does not resume until the backlog is cleared.</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Submission consent language requires attorney review before the form goes live. The checkbox must clearly specify scope of use, anonymization commitment, and what consent does and does not cover. Add to existing pre-launch attorney review scope.</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Semi-fictionalization must preserve legal truth. Changing the insurance type or state can alter which federal/state laws apply and therefore make the advocacy steps in the script incorrect. Nurse + founder double-check required for any story where the state or insurance type was changed.</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Consent scope on submissions covers educational video content only. B2B use (sales decks, case studies, press materials) requires separate written consent. Document this clearly in the Supabase record. Flag for re-review before any B2B activation.</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AI disclosure: YouTube has AI content labeling requirements. Instagram is tightening disclosure policies. Proactive disclosure ('This video features an AI-generated presenter') is recommended in descriptions and as platform tags. Review platform policies quarterly as they evolve.</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Spanish medical/legal terminology drift: HeyGen translation and Claude API translation of medical terms can introduce errors. All Spanish story scripts involving denial codes, drug names, or legal rights language require nurse review before production — not just the English version.</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Script velocity risk: Do not reduce human review gates to increase throughput. Story scripts are not templated explainers — they contain one-off details requiring human judgment. The pipeline can scale volume but cannot automate the nurse review gate.</w:t>
      </w:r>
    </w:p>
    <w:p>
      <w:pPr>
        <w:spacing w:after="0" w:before="40"/>
      </w:pPr>
    </w:p>
    <w:p>
      <w:pPr>
        <w:pBdr>
          <w:top w:val="single" w:color="B35C00" w:sz="2"/>
          <w:bottom w:val="single" w:color="B35C00" w:sz="2"/>
          <w:left w:val="single" w:color="B35C00" w:sz="16"/>
          <w:right w:val="single" w:color="B35C00" w:sz="2"/>
        </w:pBdr>
        <w:shd w:fill="FFF8F0" w:val="clear"/>
        <w:spacing w:after="100" w:before="100"/>
      </w:pPr>
      <w:r>
        <w:rPr>
          <w:rFonts w:ascii="Arial" w:cs="Arial" w:eastAsia="Arial" w:hAnsi="Arial"/>
          <w:b/>
          <w:bCs/>
          <w:color w:val="B35C00"/>
          <w:sz w:val="22"/>
          <w:szCs w:val="22"/>
        </w:rPr>
        <w:t xml:space="preserve">🟠  ORANGE FLAG — </w:t>
      </w:r>
      <w:r>
        <w:rPr>
          <w:rFonts w:ascii="Arial" w:cs="Arial" w:eastAsia="Arial" w:hAnsi="Arial"/>
          <w:color w:val="1A1A1A"/>
          <w:sz w:val="22"/>
          <w:szCs w:val="22"/>
        </w:rPr>
        <w:t xml:space="preserve">Outcome language is a persistent YMYL risk in story content. Scripts must not imply the story subject 'won' in a way that implies the viewer will also win. Use: 'she filed the appeal and the insurer reversed their decision' not 'she fought back and won.' Subtle but meaningful.</w:t>
      </w:r>
    </w:p>
    <w:p>
      <w:pPr>
        <w:spacing w:after="0" w:before="40"/>
      </w:pPr>
    </w:p>
    <w:p>
      <w:pPr>
        <w:pBdr>
          <w:top w:val="single" w:color="1E6B3A" w:sz="2"/>
          <w:bottom w:val="single" w:color="1E6B3A" w:sz="2"/>
          <w:left w:val="single" w:color="1E6B3A" w:sz="16"/>
          <w:right w:val="single" w:color="1E6B3A" w:sz="2"/>
        </w:pBdr>
        <w:shd w:fill="F0F7F0" w:val="clear"/>
        <w:spacing w:after="100" w:before="100"/>
      </w:pPr>
      <w:r>
        <w:rPr>
          <w:rFonts w:ascii="Arial" w:cs="Arial" w:eastAsia="Arial" w:hAnsi="Arial"/>
          <w:b/>
          <w:bCs/>
          <w:color w:val="1E6B3A"/>
          <w:sz w:val="22"/>
          <w:szCs w:val="22"/>
        </w:rPr>
        <w:t xml:space="preserve">✅  CLEARED — </w:t>
      </w:r>
      <w:r>
        <w:rPr>
          <w:rFonts w:ascii="Arial" w:cs="Arial" w:eastAsia="Arial" w:hAnsi="Arial"/>
          <w:color w:val="1A1A1A"/>
          <w:sz w:val="22"/>
          <w:szCs w:val="22"/>
        </w:rPr>
        <w:t xml:space="preserve">Submission Track stories have explicit consent and are the cleanest content source. Prioritize building the submission pipeline over scaling the Research Track.</w:t>
      </w:r>
    </w:p>
    <w:p>
      <w:pPr>
        <w:spacing w:after="0" w:before="40"/>
      </w:pPr>
    </w:p>
    <w:p>
      <w:pPr>
        <w:pBdr>
          <w:top w:val="single" w:color="1E6B3A" w:sz="2"/>
          <w:bottom w:val="single" w:color="1E6B3A" w:sz="2"/>
          <w:left w:val="single" w:color="1E6B3A" w:sz="16"/>
          <w:right w:val="single" w:color="1E6B3A" w:sz="2"/>
        </w:pBdr>
        <w:shd w:fill="F0F7F0" w:val="clear"/>
        <w:spacing w:after="100" w:before="100"/>
      </w:pPr>
      <w:r>
        <w:rPr>
          <w:rFonts w:ascii="Arial" w:cs="Arial" w:eastAsia="Arial" w:hAnsi="Arial"/>
          <w:b/>
          <w:bCs/>
          <w:color w:val="1E6B3A"/>
          <w:sz w:val="22"/>
          <w:szCs w:val="22"/>
        </w:rPr>
        <w:t xml:space="preserve">✅  CLEARED — </w:t>
      </w:r>
      <w:r>
        <w:rPr>
          <w:rFonts w:ascii="Arial" w:cs="Arial" w:eastAsia="Arial" w:hAnsi="Arial"/>
          <w:color w:val="1A1A1A"/>
          <w:sz w:val="22"/>
          <w:szCs w:val="22"/>
        </w:rPr>
        <w:t xml:space="preserve">CFPB and state insurance commissioner complaints are public government records with low ethical risk. These are the cleanest Research Track source and should be mined first before Reddit.</w:t>
      </w:r>
    </w:p>
    <w:p>
      <w:pPr>
        <w:spacing w:after="0" w:before="40"/>
      </w:pPr>
    </w:p>
    <w:p>
      <w:pPr>
        <w:pBdr>
          <w:top w:val="single" w:color="1E6B3A" w:sz="2"/>
          <w:bottom w:val="single" w:color="1E6B3A" w:sz="2"/>
          <w:left w:val="single" w:color="1E6B3A" w:sz="16"/>
          <w:right w:val="single" w:color="1E6B3A" w:sz="2"/>
        </w:pBdr>
        <w:shd w:fill="F0F7F0" w:val="clear"/>
        <w:spacing w:after="100" w:before="100"/>
      </w:pPr>
      <w:r>
        <w:rPr>
          <w:rFonts w:ascii="Arial" w:cs="Arial" w:eastAsia="Arial" w:hAnsi="Arial"/>
          <w:b/>
          <w:bCs/>
          <w:color w:val="1E6B3A"/>
          <w:sz w:val="22"/>
          <w:szCs w:val="22"/>
        </w:rPr>
        <w:t xml:space="preserve">✅  CLEARED — </w:t>
      </w:r>
      <w:r>
        <w:rPr>
          <w:rFonts w:ascii="Arial" w:cs="Arial" w:eastAsia="Arial" w:hAnsi="Arial"/>
          <w:color w:val="1A1A1A"/>
          <w:sz w:val="22"/>
          <w:szCs w:val="22"/>
        </w:rPr>
        <w:t xml:space="preserve">AI disclosure (proactive) builds trust rather than eroding it with a 2026 audience. Transparency about AI-generated characters is a brand asset in healthcare advocacy, not a liability.</w:t>
      </w:r>
    </w:p>
    <w:p>
      <w:pPr>
        <w:spacing w:after="0" w:before="40"/>
      </w:pPr>
    </w:p>
    <w:p>
      <w:pPr>
        <w:pBdr>
          <w:top w:val="single" w:color="1E6B3A" w:sz="2"/>
          <w:bottom w:val="single" w:color="1E6B3A" w:sz="2"/>
          <w:left w:val="single" w:color="1E6B3A" w:sz="16"/>
          <w:right w:val="single" w:color="1E6B3A" w:sz="2"/>
        </w:pBdr>
        <w:shd w:fill="F0F7F0" w:val="clear"/>
        <w:spacing w:after="100" w:before="100"/>
      </w:pPr>
      <w:r>
        <w:rPr>
          <w:rFonts w:ascii="Arial" w:cs="Arial" w:eastAsia="Arial" w:hAnsi="Arial"/>
          <w:b/>
          <w:bCs/>
          <w:color w:val="1E6B3A"/>
          <w:sz w:val="22"/>
          <w:szCs w:val="22"/>
        </w:rPr>
        <w:t xml:space="preserve">✅  CLEARED — </w:t>
      </w:r>
      <w:r>
        <w:rPr>
          <w:rFonts w:ascii="Arial" w:cs="Arial" w:eastAsia="Arial" w:hAnsi="Arial"/>
          <w:color w:val="1A1A1A"/>
          <w:sz w:val="22"/>
          <w:szCs w:val="22"/>
        </w:rPr>
        <w:t xml:space="preserve">The semi-fictionalization protocol, when followed correctly, provides the Research Track with legal protection without sacrificing emotional authenticity. The changes are protective, not distorting.</w:t>
      </w:r>
    </w:p>
    <w:p>
      <w:pPr>
        <w:spacing w:after="0" w:before="40"/>
      </w:pPr>
    </w:p>
    <w:p>
      <w:pPr>
        <w:pageBreakBefore/>
      </w:pPr>
    </w:p>
    <w:p>
      <w:pPr>
        <w:pBdr>
          <w:bottom w:val="single" w:color="1B2E4B" w:sz="16" w:space="6"/>
        </w:pBdr>
        <w:spacing w:after="200" w:before="0"/>
      </w:pPr>
      <w:r>
        <w:rPr>
          <w:rFonts w:ascii="Arial" w:cs="Arial" w:eastAsia="Arial" w:hAnsi="Arial"/>
          <w:b/>
          <w:bCs/>
          <w:color w:val="1B2E4B"/>
          <w:sz w:val="38"/>
          <w:szCs w:val="38"/>
        </w:rPr>
        <w:t xml:space="preserve">SECTION 8 — BOARD OF AGENTS INTEGRATION</w:t>
      </w:r>
    </w:p>
    <w:p>
      <w:pPr>
        <w:spacing w:after="60" w:before="60"/>
      </w:pPr>
      <w:r>
        <w:rPr>
          <w:rFonts w:ascii="Arial" w:cs="Arial" w:eastAsia="Arial" w:hAnsi="Arial"/>
          <w:color w:val="1A1A1A"/>
          <w:sz w:val="22"/>
          <w:szCs w:val="22"/>
        </w:rPr>
        <w:t xml:space="preserve">No new agents are required. Existing agent responsibilities are extended to cover the Patient Story Engine.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Agent</w:t>
            </w:r>
          </w:p>
        </w:tc>
        <w:tc>
          <w:tcPr>
            <w:tcW w:type="dxa" w:w="7360"/>
            <w:tcBorders>
              <w:top w:val="single" w:color="D9DDE2" w:sz="2"/>
              <w:left w:val="single" w:color="D9DDE2" w:sz="2"/>
              <w:bottom w:val="single" w:color="D9DDE2" w:sz="2"/>
              <w:right w:val="single" w:color="D9DDE2" w:sz="2"/>
            </w:tcBorders>
            <w:shd w:fill="1B2E4B" w:val="clear"/>
            <w:tcMar>
              <w:top w:type="dxa" w:w="80"/>
              <w:left w:type="dxa" w:w="120"/>
              <w:bottom w:type="dxa" w:w="80"/>
              <w:right w:type="dxa" w:w="120"/>
            </w:tcMar>
            <w:vAlign w:val="top"/>
          </w:tcPr>
          <w:p>
            <w:r>
              <w:rPr>
                <w:rFonts w:ascii="Arial" w:cs="Arial" w:eastAsia="Arial" w:hAnsi="Arial"/>
                <w:b/>
                <w:bCs/>
                <w:color w:val="FFFFFF"/>
                <w:sz w:val="20"/>
                <w:szCs w:val="20"/>
              </w:rPr>
              <w:t xml:space="preserve">Patient Story Engine Responsibility</w:t>
            </w:r>
          </w:p>
        </w:tc>
      </w:tr>
      <w:tr>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CMO Agent (head_cmo)</w:t>
            </w:r>
          </w:p>
        </w:tc>
        <w:tc>
          <w:tcPr>
            <w:tcW w:type="dxa" w:w="7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Story Bank queue management. Identifies which scrubbed stories should be produced next based on current SEO cluster focus and content calendar. Generates draft scripts via Claude API with YMYL system prompt. Monitors story video performance metrics (views, watch time, tool click-through). Flags when story content is outperforming explainer content (signal to increase story cadence).</w:t>
            </w:r>
          </w:p>
        </w:tc>
      </w:tr>
      <w:tr>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CTO Agent (head_cto)</w:t>
            </w:r>
          </w:p>
        </w:tc>
        <w:tc>
          <w:tcPr>
            <w:tcW w:type="dxa" w:w="7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Manages n8n workflow for story script → HeyGen generation → QA pipeline. Maintains Supabase scrub record schema. Manages Spanish translation pipeline for story videos (Month 9+). Ensures UTM parameters are correctly set for story content tracking (utm_content includes story type tag for attribution analysis).</w:t>
            </w:r>
          </w:p>
        </w:tc>
      </w:tr>
      <w:tr>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Enforcer Agent</w:t>
            </w:r>
          </w:p>
        </w:tc>
        <w:tc>
          <w:tcPr>
            <w:tcW w:type="dxa" w:w="7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Runs Stage 1 YMYL scan on every story script. Maintains story-specific YMYL prohibition list (outcome guarantees, clinical diagnosis language, legal advice framing). Reviews Spanish story scripts for medical/legal terminology accuracy (in addition to general YMYL compliance). No story video enters HeyGen until Enforcer clearance is confirmed.</w:t>
            </w:r>
          </w:p>
        </w:tc>
      </w:tr>
      <w:tr>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Chief of Staff</w:t>
            </w:r>
          </w:p>
        </w:tc>
        <w:tc>
          <w:tcPr>
            <w:tcW w:type="dxa" w:w="7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Monitors nurse co-founder review queue. Flags if backlog exceeds 5 stories. Enforces pipeline hard stop when triggered. Tracks combined content production time — story content must not displace SEO publishing time. Logs any production pauses in weekly tracker.</w:t>
            </w:r>
          </w:p>
        </w:tc>
      </w:tr>
      <w:tr>
        <w:tc>
          <w:tcPr>
            <w:tcW w:type="dxa" w:w="2000"/>
            <w:tcBorders>
              <w:top w:val="single" w:color="D9DDE2" w:sz="2"/>
              <w:left w:val="single" w:color="D9DDE2" w:sz="2"/>
              <w:bottom w:val="single" w:color="D9DDE2" w:sz="2"/>
              <w:right w:val="single" w:color="D9DDE2" w:sz="2"/>
            </w:tcBorders>
            <w:shd w:fill="F2F4F6" w:val="clear"/>
            <w:tcMar>
              <w:top w:type="dxa" w:w="80"/>
              <w:left w:type="dxa" w:w="120"/>
              <w:bottom w:type="dxa" w:w="80"/>
              <w:right w:type="dxa" w:w="120"/>
            </w:tcMar>
            <w:vAlign w:val="top"/>
          </w:tcPr>
          <w:p>
            <w:pPr>
              <w:spacing w:after="50" w:before="50"/>
            </w:pPr>
            <w:r>
              <w:rPr>
                <w:rFonts w:ascii="Arial" w:cs="Arial" w:eastAsia="Arial" w:hAnsi="Arial"/>
                <w:b/>
                <w:bCs/>
                <w:color w:val="1B2E4B"/>
                <w:sz w:val="22"/>
                <w:szCs w:val="22"/>
              </w:rPr>
              <w:t xml:space="preserve">Nurse Co-Founder (human)</w:t>
            </w:r>
          </w:p>
        </w:tc>
        <w:tc>
          <w:tcPr>
            <w:tcW w:type="dxa" w:w="7360"/>
            <w:tcBorders>
              <w:top w:val="single" w:color="D9DDE2" w:sz="2"/>
              <w:left w:val="single" w:color="D9DDE2" w:sz="2"/>
              <w:bottom w:val="single" w:color="D9DDE2" w:sz="2"/>
              <w:right w:val="single" w:color="D9DDE2" w:sz="2"/>
            </w:tcBorders>
            <w:shd w:fill="FFFFFF" w:val="clear"/>
            <w:tcMar>
              <w:top w:type="dxa" w:w="80"/>
              <w:left w:type="dxa" w:w="120"/>
              <w:bottom w:type="dxa" w:w="80"/>
              <w:right w:type="dxa" w:w="120"/>
            </w:tcMar>
            <w:vAlign w:val="top"/>
          </w:tcPr>
          <w:p>
            <w:pPr>
              <w:spacing w:after="50" w:before="50"/>
            </w:pPr>
            <w:r>
              <w:rPr>
                <w:rFonts w:ascii="Arial" w:cs="Arial" w:eastAsia="Arial" w:hAnsi="Arial"/>
                <w:b w:val="false"/>
                <w:bCs w:val="false"/>
                <w:color w:val="1A1A1A"/>
                <w:sz w:val="22"/>
                <w:szCs w:val="22"/>
              </w:rPr>
              <w:t xml:space="preserve">Not an agent — the founding advocate and the only person who can clear the nurse review gate. Reviews flagged story scripts for medical accuracy. Spot-checks Spanish medical terminology monthly. Signs off on any story involving clinical content before video production begins. Her review is a structural gate, not a courtesy.</w:t>
            </w:r>
          </w:p>
        </w:tc>
      </w:tr>
    </w:tbl>
    <w:p>
      <w:pPr>
        <w:pageBreakBefore/>
      </w:pPr>
    </w:p>
    <w:p>
      <w:pPr>
        <w:pBdr>
          <w:bottom w:val="single" w:color="1B2E4B" w:sz="16" w:space="6"/>
        </w:pBdr>
        <w:spacing w:after="200" w:before="0"/>
      </w:pPr>
      <w:r>
        <w:rPr>
          <w:rFonts w:ascii="Arial" w:cs="Arial" w:eastAsia="Arial" w:hAnsi="Arial"/>
          <w:b/>
          <w:bCs/>
          <w:color w:val="1B2E4B"/>
          <w:sz w:val="38"/>
          <w:szCs w:val="38"/>
        </w:rPr>
        <w:t xml:space="preserve">GOVERNANCE &amp; NEXT ACTIONS</w:t>
      </w:r>
    </w:p>
    <w:p>
      <w:pPr>
        <w:pStyle w:val="Heading2"/>
        <w:spacing w:after="80" w:before="260"/>
      </w:pPr>
      <w:r>
        <w:rPr>
          <w:rFonts w:ascii="Arial" w:cs="Arial" w:eastAsia="Arial" w:hAnsi="Arial"/>
          <w:b/>
          <w:bCs/>
          <w:color w:val="1A6B72"/>
          <w:sz w:val="27"/>
          <w:szCs w:val="27"/>
        </w:rPr>
        <w:t xml:space="preserve">Canonical Authority</w:t>
      </w:r>
    </w:p>
    <w:p>
      <w:pPr>
        <w:pBdr>
          <w:left w:val="single" w:color="1A4F8A" w:sz="14" w:space="8"/>
        </w:pBdr>
        <w:shd w:fill="F0F4FF" w:val="clear"/>
        <w:spacing w:after="80" w:before="80"/>
      </w:pPr>
      <w:r>
        <w:rPr>
          <w:rFonts w:ascii="Arial" w:cs="Arial" w:eastAsia="Arial" w:hAnsi="Arial"/>
          <w:i/>
          <w:iCs/>
          <w:color w:val="1A1A1A"/>
          <w:sz w:val="22"/>
          <w:szCs w:val="22"/>
        </w:rPr>
        <w:t xml:space="preserve">  This document operates under: MA-PMP-001 (strategic doctrine) → MA-LCH-002 (Launch Truth scope gate) → MA-SEC-001 (security and privacy). All story content is subject to the four-layer privacy architecture. No PII from the story pipeline ever touches the OpenClaw layer.</w:t>
      </w:r>
    </w:p>
    <w:p>
      <w:pPr>
        <w:spacing w:after="0" w:before="80"/>
      </w:pPr>
    </w:p>
    <w:p>
      <w:pPr>
        <w:pStyle w:val="Heading2"/>
        <w:spacing w:after="80" w:before="260"/>
      </w:pPr>
      <w:r>
        <w:rPr>
          <w:rFonts w:ascii="Arial" w:cs="Arial" w:eastAsia="Arial" w:hAnsi="Arial"/>
          <w:b/>
          <w:bCs/>
          <w:color w:val="1A6B72"/>
          <w:sz w:val="27"/>
          <w:szCs w:val="27"/>
        </w:rPr>
        <w:t xml:space="preserve">Pre-Launch Actions Required</w:t>
      </w:r>
    </w:p>
    <w:p>
      <w:pPr>
        <w:pStyle w:val="ListParagraph"/>
        <w:numPr>
          <w:ilvl w:val="0"/>
          <w:numId w:val="2"/>
        </w:numPr>
        <w:spacing w:after="40" w:before="40"/>
      </w:pPr>
      <w:r>
        <w:rPr>
          <w:rFonts w:ascii="Arial" w:cs="Arial" w:eastAsia="Arial" w:hAnsi="Arial"/>
          <w:color w:val="1A1A1A"/>
          <w:sz w:val="22"/>
          <w:szCs w:val="22"/>
        </w:rPr>
        <w:t xml:space="preserve">Attorney review: Submission form consent language — add to existing pre-launch attorney review scope</w:t>
      </w:r>
    </w:p>
    <w:p>
      <w:pPr>
        <w:pStyle w:val="ListParagraph"/>
        <w:numPr>
          <w:ilvl w:val="0"/>
          <w:numId w:val="2"/>
        </w:numPr>
        <w:spacing w:after="40" w:before="40"/>
      </w:pPr>
      <w:r>
        <w:rPr>
          <w:rFonts w:ascii="Arial" w:cs="Arial" w:eastAsia="Arial" w:hAnsi="Arial"/>
          <w:color w:val="1A1A1A"/>
          <w:sz w:val="22"/>
          <w:szCs w:val="22"/>
        </w:rPr>
        <w:t xml:space="preserve">Supabase schema: Deploy scrub record table before Story Bank begins</w:t>
      </w:r>
    </w:p>
    <w:p>
      <w:pPr>
        <w:pStyle w:val="ListParagraph"/>
        <w:numPr>
          <w:ilvl w:val="0"/>
          <w:numId w:val="2"/>
        </w:numPr>
        <w:spacing w:after="40" w:before="40"/>
      </w:pPr>
      <w:r>
        <w:rPr>
          <w:rFonts w:ascii="Arial" w:cs="Arial" w:eastAsia="Arial" w:hAnsi="Arial"/>
          <w:color w:val="1A1A1A"/>
          <w:sz w:val="22"/>
          <w:szCs w:val="22"/>
        </w:rPr>
        <w:t xml:space="preserve">HeyGen avatar selection: Test 3 English and 3 Spanish avatar candidates with same script. Select based on trust impression.</w:t>
      </w:r>
    </w:p>
    <w:p>
      <w:pPr>
        <w:pStyle w:val="ListParagraph"/>
        <w:numPr>
          <w:ilvl w:val="0"/>
          <w:numId w:val="2"/>
        </w:numPr>
        <w:spacing w:after="40" w:before="40"/>
      </w:pPr>
      <w:r>
        <w:rPr>
          <w:rFonts w:ascii="Arial" w:cs="Arial" w:eastAsia="Arial" w:hAnsi="Arial"/>
          <w:color w:val="1A1A1A"/>
          <w:sz w:val="22"/>
          <w:szCs w:val="22"/>
        </w:rPr>
        <w:t xml:space="preserve">YMYL system prompt: Update Claude API script generation prompt with story-specific prohibitions from Section 4</w:t>
      </w:r>
    </w:p>
    <w:p>
      <w:pPr>
        <w:pStyle w:val="ListParagraph"/>
        <w:numPr>
          <w:ilvl w:val="0"/>
          <w:numId w:val="2"/>
        </w:numPr>
        <w:spacing w:after="40" w:before="40"/>
      </w:pPr>
      <w:r>
        <w:rPr>
          <w:rFonts w:ascii="Arial" w:cs="Arial" w:eastAsia="Arial" w:hAnsi="Arial"/>
          <w:color w:val="1A1A1A"/>
          <w:sz w:val="22"/>
          <w:szCs w:val="22"/>
        </w:rPr>
        <w:t xml:space="preserve">Nurse co-founder briefing: Review flagging criteria for story scripts. Establish async review protocol (target: 24h turnaround on flagged scripts)</w:t>
      </w:r>
    </w:p>
    <w:p>
      <w:pPr>
        <w:pStyle w:val="ListParagraph"/>
        <w:numPr>
          <w:ilvl w:val="0"/>
          <w:numId w:val="2"/>
        </w:numPr>
        <w:spacing w:after="40" w:before="40"/>
      </w:pPr>
      <w:r>
        <w:rPr>
          <w:rFonts w:ascii="Arial" w:cs="Arial" w:eastAsia="Arial" w:hAnsi="Arial"/>
          <w:color w:val="1A1A1A"/>
          <w:sz w:val="22"/>
          <w:szCs w:val="22"/>
        </w:rPr>
        <w:t xml:space="preserve">Seed Story Bank: Source, scrub, and approve first 3 stories before Month 3 YouTube launch</w:t>
      </w:r>
    </w:p>
    <w:p>
      <w:pPr>
        <w:spacing w:after="0" w:before="80"/>
      </w:pPr>
    </w:p>
    <w:p>
      <w:pPr>
        <w:pStyle w:val="Heading2"/>
        <w:spacing w:after="80" w:before="260"/>
      </w:pPr>
      <w:r>
        <w:rPr>
          <w:rFonts w:ascii="Arial" w:cs="Arial" w:eastAsia="Arial" w:hAnsi="Arial"/>
          <w:b/>
          <w:bCs/>
          <w:color w:val="1A6B72"/>
          <w:sz w:val="27"/>
          <w:szCs w:val="27"/>
        </w:rPr>
        <w:t xml:space="preserve">Document Registration</w:t>
      </w:r>
    </w:p>
    <w:p>
      <w:pPr>
        <w:spacing w:after="60" w:before="60"/>
      </w:pPr>
      <w:r>
        <w:rPr>
          <w:rFonts w:ascii="Arial" w:cs="Arial" w:eastAsia="Arial" w:hAnsi="Arial"/>
          <w:color w:val="1A1A1A"/>
          <w:sz w:val="22"/>
          <w:szCs w:val="22"/>
        </w:rPr>
        <w:t xml:space="preserve">This addendum should be registered in the Master Document Registry as MA-SOC-002 under Family Code SOC (Social &amp; Content). It supplements AAI (Automated Social Distribution), the YouTube &amp; Spanish Strategy Report, and Instagram Strategy v2.0. All four documents operate as a coordinated social content system.</w:t>
      </w:r>
    </w:p>
    <w:p>
      <w:pPr>
        <w:spacing w:after="0" w:before="80"/>
      </w:pPr>
    </w:p>
    <w:p>
      <w:pPr>
        <w:pBdr>
          <w:left w:val="single" w:color="1E6B3A" w:sz="14" w:space="8"/>
        </w:pBdr>
        <w:shd w:fill="F0F7F0" w:val="clear"/>
        <w:spacing w:after="80" w:before="80"/>
      </w:pPr>
      <w:r>
        <w:rPr>
          <w:rFonts w:ascii="Arial" w:cs="Arial" w:eastAsia="Arial" w:hAnsi="Arial"/>
          <w:i/>
          <w:iCs/>
          <w:color w:val="1A1A1A"/>
          <w:sz w:val="22"/>
          <w:szCs w:val="22"/>
        </w:rPr>
        <w:t xml:space="preserve">  The insurance companies have lawyers. You have MyAdvocate. And soon — the documented stories of the people those lawyers tried to silence.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6" w:space="4"/>
      </w:pBdr>
    </w:pPr>
    <w:r>
      <w:rPr>
        <w:rFonts w:ascii="Arial" w:cs="Arial" w:eastAsia="Arial" w:hAnsi="Arial"/>
        <w:color w:val="1A1A1A"/>
        <w:sz w:val="16"/>
        <w:szCs w:val="16"/>
      </w:rPr>
      <w:t xml:space="preserve">MyAdvocate Internal Document  |  Not for distribution  |  </w:t>
    </w:r>
    <w:r>
      <w:rPr>
        <w:rFonts w:ascii="Arial" w:cs="Arial" w:eastAsia="Arial" w:hAnsi="Arial"/>
        <w:b/>
        <w:bCs/>
        <w:color w:val="8A1A1A"/>
        <w:sz w:val="16"/>
        <w:szCs w:val="16"/>
      </w:rPr>
      <w:t xml:space="preserve">Attorney review required for consent language before launch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4"/>
      </w:pBdr>
    </w:pPr>
    <w:r>
      <w:rPr>
        <w:rFonts w:ascii="Arial" w:cs="Arial" w:eastAsia="Arial" w:hAnsi="Arial"/>
        <w:color w:val="1A6B72"/>
        <w:sz w:val="18"/>
        <w:szCs w:val="18"/>
      </w:rPr>
      <w:t xml:space="preserve">MYADVOCATE — Patient Story Engine  </w:t>
    </w:r>
    <w:r>
      <w:rPr>
        <w:rFonts w:ascii="Arial" w:cs="Arial" w:eastAsia="Arial" w:hAnsi="Arial"/>
        <w:b/>
        <w:bCs/>
        <w:color w:val="1B2E4B"/>
        <w:sz w:val="18"/>
        <w:szCs w:val="18"/>
      </w:rPr>
      <w:t xml:space="preserve">MA-SOC-002 v1.0</w:t>
    </w:r>
    <w:r>
      <w:rPr>
        <w:rFonts w:ascii="Arial" w:cs="Arial" w:eastAsia="Arial" w:hAnsi="Arial"/>
        <w:color w:val="8A1A1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2E4B"/>
      <w:sz w:val="34"/>
      <w:szCs w:val="34"/>
    </w:rPr>
  </w:style>
  <w:style w:type="paragraph" w:styleId="Heading2">
    <w:name w:val="Heading 2"/>
    <w:basedOn w:val="Normal"/>
    <w:next w:val="Normal"/>
    <w:qFormat/>
    <w:pPr>
      <w:spacing w:after="80" w:before="260"/>
      <w:outlineLvl w:val="1"/>
    </w:pPr>
    <w:rPr>
      <w:rFonts w:ascii="Arial" w:cs="Arial" w:eastAsia="Arial" w:hAnsi="Arial"/>
      <w:b/>
      <w:bCs/>
      <w:color w:val="1A6B72"/>
      <w:sz w:val="27"/>
      <w:szCs w:val="27"/>
    </w:rPr>
  </w:style>
  <w:style w:type="paragraph" w:styleId="Heading3">
    <w:name w:val="Heading 3"/>
    <w:basedOn w:val="Normal"/>
    <w:next w:val="Normal"/>
    <w:qFormat/>
    <w:pPr>
      <w:spacing w:after="60" w:before="180"/>
      <w:outlineLvl w:val="2"/>
    </w:pPr>
    <w:rPr>
      <w:rFonts w:ascii="Arial" w:cs="Arial" w:eastAsia="Arial" w:hAnsi="Arial"/>
      <w:b/>
      <w:bCs/>
      <w:color w:val="1B2E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2026-03-12T16:20:36.763Z</dcterms:created>
  <dcterms:modified xsi:type="dcterms:W3CDTF">2026-03-12T16:20:36.764Z</dcterms:modified>
</cp:coreProperties>
</file>

<file path=docProps/custom.xml><?xml version="1.0" encoding="utf-8"?>
<Properties xmlns="http://schemas.openxmlformats.org/officeDocument/2006/custom-properties" xmlns:vt="http://schemas.openxmlformats.org/officeDocument/2006/docPropsVTypes"/>
</file>