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868"/>
          <w:sz w:val="48"/>
        </w:rPr>
        <w:t>MyAdvocate Case Engine</w:t>
        <w:br/>
      </w:r>
      <w:r>
        <w:rPr>
          <w:b/>
          <w:color w:val="3C3C3C"/>
          <w:sz w:val="30"/>
        </w:rPr>
        <w:t>V4 Operator-Grade Build Spec — Option B</w:t>
      </w:r>
    </w:p>
    <w:p>
      <w:pPr>
        <w:jc w:val="center"/>
      </w:pPr>
      <w:r>
        <w:rPr>
          <w:i/>
        </w:rPr>
        <w:br/>
        <w:t>Purpose: canonical engineering reference for pre-launch implementation, hardening, debugging, and OpenHands task construction.</w:t>
      </w:r>
    </w:p>
    <w:p/>
    <w:tbl>
      <w:tblPr>
        <w:tblW w:type="auto" w:w="0"/>
        <w:jc w:val="center"/>
        <w:tblLayout w:type="fixed"/>
        <w:tblLook w:firstColumn="1" w:firstRow="1" w:lastColumn="0" w:lastRow="0" w:noHBand="0" w:noVBand="1" w:val="04A0"/>
      </w:tblPr>
      <w:tblGrid>
        <w:gridCol w:w="3168"/>
        <w:gridCol w:w="6912"/>
      </w:tblGrid>
      <w:tr>
        <w:tc>
          <w:tcPr>
            <w:tcW w:type="dxa" w:w="4968"/>
            <w:vAlign w:val="center"/>
          </w:tcPr>
          <w:p>
            <w:r>
              <w:t>Design stance</w:t>
            </w:r>
          </w:p>
        </w:tc>
        <w:tc>
          <w:tcPr>
            <w:tcW w:type="dxa" w:w="4968"/>
            <w:vAlign w:val="center"/>
          </w:tcPr>
          <w:p>
            <w:r>
              <w:t>Option B: more engineered system spec, more future-proofing, still launch-aware</w:t>
            </w:r>
          </w:p>
        </w:tc>
      </w:tr>
    </w:tbl>
    <w:p/>
    <w:p>
      <w:pPr>
        <w:pStyle w:val="Heading1"/>
      </w:pPr>
      <w:r>
        <w:t>Executive Summary</w:t>
      </w:r>
    </w:p>
    <w:p>
      <w:r>
        <w:t>This specification defines the MyAdvocate Case Engine as a modular, deterministic-first decision system that sits between bounded user intake and downstream advocacy actions. The goal is not merely to classify a healthcare problem; it is to create a safe, inspectable, reusable operating layer that can support medical billing disputes, denial workflows, future veteran logic, fraud / waste / abuse routing, and later document-derived signal extraction without forcing architectural rewrites.</w:t>
      </w:r>
    </w:p>
    <w:p>
      <w:r>
        <w:t>Because MyAdvocate is only a few weeks from launch, the recommended build posture is disciplined: keep the public surface area narrow while making the engine internally strong. That means strict contracts, runtime validation, deterministic rule paths, confidence-gated follow-up, explicit reason codes, prompt versioning, no-PII telemetry, and a debug model that turns failures into regression fixtures rather than guesswork.</w:t>
      </w:r>
    </w:p>
    <w:p>
      <w:r>
        <w:t>This document is intended to be referenced directly when writing prompts and instructions for OpenHands. It is written as an execution manual, not as a conceptual outline.</w:t>
      </w:r>
    </w:p>
    <w:p>
      <w:pPr>
        <w:pStyle w:val="Heading1"/>
      </w:pPr>
      <w:r>
        <w:t>1. System Objectives and Non-Negotiables</w:t>
      </w:r>
    </w:p>
    <w:p>
      <w:r>
        <w:t>The Case Engine must satisfy six simultaneous objectives:</w:t>
      </w:r>
    </w:p>
    <w:p>
      <w:pPr>
        <w:pStyle w:val="ListBullet"/>
        <w:ind w:left="360"/>
      </w:pPr>
      <w:r>
        <w:t>Classify bounded healthcare cases into reliable action buckets.</w:t>
      </w:r>
    </w:p>
    <w:p>
      <w:pPr>
        <w:pStyle w:val="ListBullet"/>
        <w:ind w:left="360"/>
      </w:pPr>
      <w:r>
        <w:t>Produce outputs that are explainable, testable, and safe in a YMYL environment.</w:t>
      </w:r>
    </w:p>
    <w:p>
      <w:pPr>
        <w:pStyle w:val="ListBullet"/>
        <w:ind w:left="360"/>
      </w:pPr>
      <w:r>
        <w:t>Avoid dependence on opaque AI judgment for core routing decisions.</w:t>
      </w:r>
    </w:p>
    <w:p>
      <w:pPr>
        <w:pStyle w:val="ListBullet"/>
        <w:ind w:left="360"/>
      </w:pPr>
      <w:r>
        <w:t>Create a framework that can later absorb veteran-specific, Medicare, fraud, and document-signal logic as extensions rather than rewrites.</w:t>
      </w:r>
    </w:p>
    <w:p>
      <w:pPr>
        <w:pStyle w:val="ListBullet"/>
        <w:ind w:left="360"/>
      </w:pPr>
      <w:r>
        <w:t>Provide enough telemetry and debug structure to diagnose misclassification quickly without logging raw user-sensitive content.</w:t>
      </w:r>
    </w:p>
    <w:p>
      <w:pPr>
        <w:pStyle w:val="ListBullet"/>
        <w:ind w:left="360"/>
      </w:pPr>
      <w:r>
        <w:t>Remain compact enough to implement safely before launch.</w:t>
      </w:r>
    </w:p>
    <w:p>
      <w:r>
        <w:t>The following rules are non-negotiable:</w:t>
      </w:r>
    </w:p>
    <w:p>
      <w:pPr>
        <w:pStyle w:val="ListBullet"/>
        <w:ind w:left="360"/>
      </w:pPr>
      <w:r>
        <w:t>No AI in first-pass classification.</w:t>
      </w:r>
    </w:p>
    <w:p>
      <w:pPr>
        <w:pStyle w:val="ListBullet"/>
        <w:ind w:left="360"/>
      </w:pPr>
      <w:r>
        <w:t>No free-text dependency in the initial routing path.</w:t>
      </w:r>
    </w:p>
    <w:p>
      <w:pPr>
        <w:pStyle w:val="ListBullet"/>
        <w:ind w:left="360"/>
      </w:pPr>
      <w:r>
        <w:t>No raw PII or raw uploaded content in analytics, debug events, or routine logs.</w:t>
      </w:r>
    </w:p>
    <w:p>
      <w:pPr>
        <w:pStyle w:val="ListBullet"/>
        <w:ind w:left="360"/>
      </w:pPr>
      <w:r>
        <w:t>No silent failure paths. Any uncertainty must surface as bounded follow-up or a safe fallback.</w:t>
      </w:r>
    </w:p>
    <w:p>
      <w:pPr>
        <w:pStyle w:val="ListBullet"/>
        <w:ind w:left="360"/>
      </w:pPr>
      <w:r>
        <w:t>No returning low-confidence results as if they are definitive.</w:t>
      </w:r>
    </w:p>
    <w:p>
      <w:pPr>
        <w:pStyle w:val="ListBullet"/>
        <w:ind w:left="360"/>
      </w:pPr>
      <w:r>
        <w:t>No schema-less handoffs between intake, engine, telemetry, and downstream actions.</w:t>
      </w:r>
    </w:p>
    <w:p>
      <w:pPr>
        <w:pStyle w:val="Heading1"/>
      </w:pPr>
      <w:r>
        <w:t>2. Recommended Architectural Posture</w:t>
      </w:r>
    </w:p>
    <w:p>
      <w:r>
        <w:t>A seasoned engineer would expand the earlier framework by separating the system into explicit layers with tight interfaces rather than by adding more branches inside one giant function. The correct approach here is not feature sprawl; it is contract discipline.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t>Layer</w:t>
            </w:r>
          </w:p>
        </w:tc>
        <w:tc>
          <w:tcPr>
            <w:tcW w:type="dxa" w:w="3312"/>
            <w:vAlign w:val="center"/>
          </w:tcPr>
          <w:p>
            <w:r>
              <w:t>Responsibility</w:t>
            </w:r>
          </w:p>
        </w:tc>
        <w:tc>
          <w:tcPr>
            <w:tcW w:type="dxa" w:w="3312"/>
            <w:vAlign w:val="center"/>
          </w:tcPr>
          <w:p>
            <w:r>
              <w:t>Why it exists</w:t>
            </w:r>
          </w:p>
        </w:tc>
      </w:tr>
      <w:tr>
        <w:tc>
          <w:tcPr>
            <w:tcW w:type="dxa" w:w="3312"/>
            <w:vAlign w:val="center"/>
          </w:tcPr>
          <w:p>
            <w:r>
              <w:t>Contracts</w:t>
            </w:r>
          </w:p>
        </w:tc>
        <w:tc>
          <w:tcPr>
            <w:tcW w:type="dxa" w:w="3312"/>
            <w:vAlign w:val="center"/>
          </w:tcPr>
          <w:p>
            <w:r>
              <w:t>Types + runtime schemas + strict data shapes</w:t>
            </w:r>
          </w:p>
        </w:tc>
        <w:tc>
          <w:tcPr>
            <w:tcW w:type="dxa" w:w="3312"/>
            <w:vAlign w:val="center"/>
          </w:tcPr>
          <w:p>
            <w:r>
              <w:t>Prevents invalid input, drift, and ambiguous handoffs</w:t>
            </w:r>
          </w:p>
        </w:tc>
      </w:tr>
      <w:tr>
        <w:tc>
          <w:tcPr>
            <w:tcW w:type="dxa" w:w="3312"/>
            <w:vAlign w:val="center"/>
          </w:tcPr>
          <w:p>
            <w:r>
              <w:t>Normalization</w:t>
            </w:r>
          </w:p>
        </w:tc>
        <w:tc>
          <w:tcPr>
            <w:tcW w:type="dxa" w:w="3312"/>
            <w:vAlign w:val="center"/>
          </w:tcPr>
          <w:p>
            <w:r>
              <w:t>Convert intake and document hints into bounded signals</w:t>
            </w:r>
          </w:p>
        </w:tc>
        <w:tc>
          <w:tcPr>
            <w:tcW w:type="dxa" w:w="3312"/>
            <w:vAlign w:val="center"/>
          </w:tcPr>
          <w:p>
            <w:r>
              <w:t>Creates consistent inputs for rules</w:t>
            </w:r>
          </w:p>
        </w:tc>
      </w:tr>
      <w:tr>
        <w:tc>
          <w:tcPr>
            <w:tcW w:type="dxa" w:w="3312"/>
            <w:vAlign w:val="center"/>
          </w:tcPr>
          <w:p>
            <w:r>
              <w:t>Deterministic Core</w:t>
            </w:r>
          </w:p>
        </w:tc>
        <w:tc>
          <w:tcPr>
            <w:tcW w:type="dxa" w:w="3312"/>
            <w:vAlign w:val="center"/>
          </w:tcPr>
          <w:p>
            <w:r>
              <w:t>Classification, reason codes, confidence, next action</w:t>
            </w:r>
          </w:p>
        </w:tc>
        <w:tc>
          <w:tcPr>
            <w:tcW w:type="dxa" w:w="3312"/>
            <w:vAlign w:val="center"/>
          </w:tcPr>
          <w:p>
            <w:r>
              <w:t>Keeps core routing explainable and testable</w:t>
            </w:r>
          </w:p>
        </w:tc>
      </w:tr>
      <w:tr>
        <w:tc>
          <w:tcPr>
            <w:tcW w:type="dxa" w:w="3312"/>
            <w:vAlign w:val="center"/>
          </w:tcPr>
          <w:p>
            <w:r>
              <w:t>Recovery</w:t>
            </w:r>
          </w:p>
        </w:tc>
        <w:tc>
          <w:tcPr>
            <w:tcW w:type="dxa" w:w="3312"/>
            <w:vAlign w:val="center"/>
          </w:tcPr>
          <w:p>
            <w:r>
              <w:t>One-more-question follow-up and safe fallback logic</w:t>
            </w:r>
          </w:p>
        </w:tc>
        <w:tc>
          <w:tcPr>
            <w:tcW w:type="dxa" w:w="3312"/>
            <w:vAlign w:val="center"/>
          </w:tcPr>
          <w:p>
            <w:r>
              <w:t>Prevents bluffing when signals are weak</w:t>
            </w:r>
          </w:p>
        </w:tc>
      </w:tr>
      <w:tr>
        <w:tc>
          <w:tcPr>
            <w:tcW w:type="dxa" w:w="3312"/>
            <w:vAlign w:val="center"/>
          </w:tcPr>
          <w:p>
            <w:r>
              <w:t>AI Assist</w:t>
            </w:r>
          </w:p>
        </w:tc>
        <w:tc>
          <w:tcPr>
            <w:tcW w:type="dxa" w:w="3312"/>
            <w:vAlign w:val="center"/>
          </w:tcPr>
          <w:p>
            <w:r>
              <w:t>Readable explanation generation only</w:t>
            </w:r>
          </w:p>
        </w:tc>
        <w:tc>
          <w:tcPr>
            <w:tcW w:type="dxa" w:w="3312"/>
            <w:vAlign w:val="center"/>
          </w:tcPr>
          <w:p>
            <w:r>
              <w:t>Improves UX without owning risk</w:t>
            </w:r>
          </w:p>
        </w:tc>
      </w:tr>
      <w:tr>
        <w:tc>
          <w:tcPr>
            <w:tcW w:type="dxa" w:w="3312"/>
            <w:vAlign w:val="center"/>
          </w:tcPr>
          <w:p>
            <w:r>
              <w:t>Observability</w:t>
            </w:r>
          </w:p>
        </w:tc>
        <w:tc>
          <w:tcPr>
            <w:tcW w:type="dxa" w:w="3312"/>
            <w:vAlign w:val="center"/>
          </w:tcPr>
          <w:p>
            <w:r>
              <w:t>Telemetry, prompt versions, debug traces, fixtures</w:t>
            </w:r>
          </w:p>
        </w:tc>
        <w:tc>
          <w:tcPr>
            <w:tcW w:type="dxa" w:w="3312"/>
            <w:vAlign w:val="center"/>
          </w:tcPr>
          <w:p>
            <w:r>
              <w:t>Supports debugging and iteration</w:t>
            </w:r>
          </w:p>
        </w:tc>
      </w:tr>
    </w:tbl>
    <w:p>
      <w:r>
        <w:t>This separation lets MyAdvocate launch with a small number of supported scenarios while preserving a strong spine for future modules.</w:t>
      </w:r>
    </w:p>
    <w:p>
      <w:pPr>
        <w:pStyle w:val="Heading1"/>
      </w:pPr>
      <w:r>
        <w:t>3. Domain Model and Core Contracts</w:t>
      </w:r>
    </w:p>
    <w:p>
      <w:r>
        <w:t>The engine should define a stable domain contract that is more specific than the existing case object but does not leak complexity back into intake.</w:t>
      </w:r>
    </w:p>
    <w:p>
      <w:pPr>
        <w:pStyle w:val="Heading2"/>
      </w:pPr>
      <w:r>
        <w:t>3.1 CaseEngineInput</w:t>
      </w:r>
    </w:p>
    <w:p>
      <w:pPr>
        <w:shd w:fill="F3F5F7"/>
        <w:spacing w:before="80" w:after="160"/>
        <w:ind w:left="216" w:right="216"/>
      </w:pPr>
      <w:r>
        <w:rPr>
          <w:rFonts w:ascii="Courier New" w:hAnsi="Courier New"/>
          <w:sz w:val="17"/>
        </w:rPr>
        <w:t>type CaseEngineInput = {</w:t>
        <w:br/>
      </w:r>
      <w:r>
        <w:rPr>
          <w:rFonts w:ascii="Courier New" w:hAnsi="Courier New"/>
          <w:sz w:val="17"/>
        </w:rPr>
        <w:t xml:space="preserve">  caseId: string</w:t>
        <w:br/>
      </w:r>
      <w:r>
        <w:rPr>
          <w:rFonts w:ascii="Courier New" w:hAnsi="Courier New"/>
          <w:sz w:val="17"/>
        </w:rPr>
        <w:t xml:space="preserve">  issueType: 'denial' | 'billing' | 'access'</w:t>
        <w:br/>
      </w:r>
      <w:r>
        <w:rPr>
          <w:rFonts w:ascii="Courier New" w:hAnsi="Courier New"/>
          <w:sz w:val="17"/>
        </w:rPr>
        <w:t xml:space="preserve">  state: 'CA' | 'TX' | 'NY'</w:t>
        <w:br/>
      </w:r>
      <w:r>
        <w:rPr>
          <w:rFonts w:ascii="Courier New" w:hAnsi="Courier New"/>
          <w:sz w:val="17"/>
        </w:rPr>
        <w:br/>
      </w:r>
      <w:r>
        <w:rPr>
          <w:rFonts w:ascii="Courier New" w:hAnsi="Courier New"/>
          <w:sz w:val="17"/>
        </w:rPr>
        <w:t xml:space="preserve">  signals: {</w:t>
        <w:br/>
      </w:r>
      <w:r>
        <w:rPr>
          <w:rFonts w:ascii="Courier New" w:hAnsi="Courier New"/>
          <w:sz w:val="17"/>
        </w:rPr>
        <w:t xml:space="preserve">    hasDenialCode?: boolean</w:t>
        <w:br/>
      </w:r>
      <w:r>
        <w:rPr>
          <w:rFonts w:ascii="Courier New" w:hAnsi="Courier New"/>
          <w:sz w:val="17"/>
        </w:rPr>
        <w:t xml:space="preserve">    hasBill?: boolean</w:t>
        <w:br/>
      </w:r>
      <w:r>
        <w:rPr>
          <w:rFonts w:ascii="Courier New" w:hAnsi="Courier New"/>
          <w:sz w:val="17"/>
        </w:rPr>
        <w:t xml:space="preserve">    hasCollectionsNotice?: boolean</w:t>
        <w:br/>
      </w:r>
      <w:r>
        <w:rPr>
          <w:rFonts w:ascii="Courier New" w:hAnsi="Courier New"/>
          <w:sz w:val="17"/>
        </w:rPr>
        <w:t xml:space="preserve">    senderType?: 'insurer' | 'provider' | 'collector' | 'unknown'</w:t>
        <w:br/>
      </w:r>
      <w:r>
        <w:rPr>
          <w:rFonts w:ascii="Courier New" w:hAnsi="Courier New"/>
          <w:sz w:val="17"/>
        </w:rPr>
        <w:t xml:space="preserve">    insuranceStatus?: 'insured' | 'uninsured' | 'unknown'</w:t>
        <w:br/>
      </w:r>
      <w:r>
        <w:rPr>
          <w:rFonts w:ascii="Courier New" w:hAnsi="Courier New"/>
          <w:sz w:val="17"/>
        </w:rPr>
        <w:br/>
      </w:r>
      <w:r>
        <w:rPr>
          <w:rFonts w:ascii="Courier New" w:hAnsi="Courier New"/>
          <w:sz w:val="17"/>
        </w:rPr>
        <w:t xml:space="preserve">    // optional normalized hints from later integrations</w:t>
        <w:br/>
      </w:r>
      <w:r>
        <w:rPr>
          <w:rFonts w:ascii="Courier New" w:hAnsi="Courier New"/>
          <w:sz w:val="17"/>
        </w:rPr>
        <w:t xml:space="preserve">    hasExplanationOfBenefits?: boolean</w:t>
        <w:br/>
      </w:r>
      <w:r>
        <w:rPr>
          <w:rFonts w:ascii="Courier New" w:hAnsi="Courier New"/>
          <w:sz w:val="17"/>
        </w:rPr>
        <w:t xml:space="preserve">    hasAmountDue?: boolean</w:t>
        <w:br/>
      </w:r>
      <w:r>
        <w:rPr>
          <w:rFonts w:ascii="Courier New" w:hAnsi="Courier New"/>
          <w:sz w:val="17"/>
        </w:rPr>
        <w:t xml:space="preserve">    hasDueDate?: boolean</w:t>
        <w:br/>
      </w:r>
      <w:r>
        <w:rPr>
          <w:rFonts w:ascii="Courier New" w:hAnsi="Courier New"/>
          <w:sz w:val="17"/>
        </w:rPr>
        <w:t xml:space="preserve">    hasAccountNumber?: boolean</w:t>
        <w:br/>
      </w:r>
      <w:r>
        <w:rPr>
          <w:rFonts w:ascii="Courier New" w:hAnsi="Courier New"/>
          <w:sz w:val="17"/>
        </w:rPr>
        <w:t xml:space="preserve">    documentType?: 'bill' | 'denial_letter' | 'collection_notice' | 'eob' | 'unknown'</w:t>
        <w:br/>
      </w:r>
      <w:r>
        <w:rPr>
          <w:rFonts w:ascii="Courier New" w:hAnsi="Courier New"/>
          <w:sz w:val="17"/>
        </w:rPr>
        <w:t xml:space="preserve">  }</w:t>
        <w:br/>
      </w:r>
      <w:r>
        <w:rPr>
          <w:rFonts w:ascii="Courier New" w:hAnsi="Courier New"/>
          <w:sz w:val="17"/>
        </w:rPr>
        <w:br/>
      </w:r>
      <w:r>
        <w:rPr>
          <w:rFonts w:ascii="Courier New" w:hAnsi="Courier New"/>
          <w:sz w:val="17"/>
        </w:rPr>
        <w:t xml:space="preserve">  source: {</w:t>
        <w:br/>
      </w:r>
      <w:r>
        <w:rPr>
          <w:rFonts w:ascii="Courier New" w:hAnsi="Courier New"/>
          <w:sz w:val="17"/>
        </w:rPr>
        <w:t xml:space="preserve">    entrySource: 'denial_decoder' | 'direct' | 'seo'</w:t>
        <w:br/>
      </w:r>
      <w:r>
        <w:rPr>
          <w:rFonts w:ascii="Courier New" w:hAnsi="Courier New"/>
          <w:sz w:val="17"/>
        </w:rPr>
        <w:t xml:space="preserve">    signalOrigin?: 'intake_only' | 'intake_plus_document_hints'</w:t>
        <w:br/>
      </w:r>
      <w:r>
        <w:rPr>
          <w:rFonts w:ascii="Courier New" w:hAnsi="Courier New"/>
          <w:sz w:val="17"/>
        </w:rPr>
        <w:t xml:space="preserve">  }</w:t>
        <w:br/>
      </w:r>
      <w:r>
        <w:rPr>
          <w:rFonts w:ascii="Courier New" w:hAnsi="Courier New"/>
          <w:sz w:val="17"/>
        </w:rPr>
        <w:t>}</w:t>
      </w:r>
    </w:p>
    <w:p>
      <w:r>
        <w:t>The input remains intentionally bounded. It is designed to absorb future signal sources without requiring free-text classification.</w:t>
      </w:r>
    </w:p>
    <w:p>
      <w:pPr>
        <w:pStyle w:val="Heading2"/>
      </w:pPr>
      <w:r>
        <w:t>3.2 CaseEngineResult</w:t>
      </w:r>
    </w:p>
    <w:p>
      <w:pPr>
        <w:shd w:fill="F3F5F7"/>
        <w:spacing w:before="80" w:after="160"/>
        <w:ind w:left="216" w:right="216"/>
      </w:pPr>
      <w:r>
        <w:rPr>
          <w:rFonts w:ascii="Courier New" w:hAnsi="Courier New"/>
          <w:sz w:val="17"/>
        </w:rPr>
        <w:t>type CaseEngineResult = {</w:t>
        <w:br/>
      </w:r>
      <w:r>
        <w:rPr>
          <w:rFonts w:ascii="Courier New" w:hAnsi="Courier New"/>
          <w:sz w:val="17"/>
        </w:rPr>
        <w:t xml:space="preserve">  issueSubtype:</w:t>
        <w:br/>
      </w:r>
      <w:r>
        <w:rPr>
          <w:rFonts w:ascii="Courier New" w:hAnsi="Courier New"/>
          <w:sz w:val="17"/>
        </w:rPr>
        <w:t xml:space="preserve">    | 'collections'</w:t>
        <w:br/>
      </w:r>
      <w:r>
        <w:rPr>
          <w:rFonts w:ascii="Courier New" w:hAnsi="Courier New"/>
          <w:sz w:val="17"/>
        </w:rPr>
        <w:t xml:space="preserve">    | 'coverage_issue'</w:t>
        <w:br/>
      </w:r>
      <w:r>
        <w:rPr>
          <w:rFonts w:ascii="Courier New" w:hAnsi="Courier New"/>
          <w:sz w:val="17"/>
        </w:rPr>
        <w:t xml:space="preserve">    | 'billing_error'</w:t>
        <w:br/>
      </w:r>
      <w:r>
        <w:rPr>
          <w:rFonts w:ascii="Courier New" w:hAnsi="Courier New"/>
          <w:sz w:val="17"/>
        </w:rPr>
        <w:t xml:space="preserve">    | 'unknown'</w:t>
        <w:br/>
      </w:r>
      <w:r>
        <w:rPr>
          <w:rFonts w:ascii="Courier New" w:hAnsi="Courier New"/>
          <w:sz w:val="17"/>
        </w:rPr>
        <w:br/>
      </w:r>
      <w:r>
        <w:rPr>
          <w:rFonts w:ascii="Courier New" w:hAnsi="Courier New"/>
          <w:sz w:val="17"/>
        </w:rPr>
        <w:t xml:space="preserve">  entity: 'insurer' | 'provider' | 'collector' | 'mixed' | 'unknown'</w:t>
        <w:br/>
      </w:r>
      <w:r>
        <w:rPr>
          <w:rFonts w:ascii="Courier New" w:hAnsi="Courier New"/>
          <w:sz w:val="17"/>
        </w:rPr>
        <w:t xml:space="preserve">  confidence: number</w:t>
        <w:br/>
      </w:r>
      <w:r>
        <w:rPr>
          <w:rFonts w:ascii="Courier New" w:hAnsi="Courier New"/>
          <w:sz w:val="17"/>
        </w:rPr>
        <w:t xml:space="preserve">  confidenceBand: 'high' | 'medium' | 'low'</w:t>
        <w:br/>
      </w:r>
      <w:r>
        <w:rPr>
          <w:rFonts w:ascii="Courier New" w:hAnsi="Courier New"/>
          <w:sz w:val="17"/>
        </w:rPr>
        <w:br/>
      </w:r>
      <w:r>
        <w:rPr>
          <w:rFonts w:ascii="Courier New" w:hAnsi="Courier New"/>
          <w:sz w:val="17"/>
        </w:rPr>
        <w:t xml:space="preserve">  reasonCodes: ReasonCode[]</w:t>
        <w:br/>
      </w:r>
      <w:r>
        <w:rPr>
          <w:rFonts w:ascii="Courier New" w:hAnsi="Courier New"/>
          <w:sz w:val="17"/>
        </w:rPr>
        <w:br/>
      </w:r>
      <w:r>
        <w:rPr>
          <w:rFonts w:ascii="Courier New" w:hAnsi="Courier New"/>
          <w:sz w:val="17"/>
        </w:rPr>
        <w:t xml:space="preserve">  nextAction: string</w:t>
        <w:br/>
      </w:r>
      <w:r>
        <w:rPr>
          <w:rFonts w:ascii="Courier New" w:hAnsi="Courier New"/>
          <w:sz w:val="17"/>
        </w:rPr>
        <w:t xml:space="preserve">  actionTrack: 'appeal' | 'dispute' | 'validate_debt' | 'review_documents'</w:t>
        <w:br/>
      </w:r>
      <w:r>
        <w:rPr>
          <w:rFonts w:ascii="Courier New" w:hAnsi="Courier New"/>
          <w:sz w:val="17"/>
        </w:rPr>
        <w:br/>
      </w:r>
      <w:r>
        <w:rPr>
          <w:rFonts w:ascii="Courier New" w:hAnsi="Courier New"/>
          <w:sz w:val="17"/>
        </w:rPr>
        <w:t xml:space="preserve">  requiresFollowup: boolean</w:t>
        <w:br/>
      </w:r>
      <w:r>
        <w:rPr>
          <w:rFonts w:ascii="Courier New" w:hAnsi="Courier New"/>
          <w:sz w:val="17"/>
        </w:rPr>
        <w:t xml:space="preserve">  followupQuestion?: FollowupQuestion</w:t>
        <w:br/>
      </w:r>
      <w:r>
        <w:rPr>
          <w:rFonts w:ascii="Courier New" w:hAnsi="Courier New"/>
          <w:sz w:val="17"/>
        </w:rPr>
        <w:br/>
      </w:r>
      <w:r>
        <w:rPr>
          <w:rFonts w:ascii="Courier New" w:hAnsi="Courier New"/>
          <w:sz w:val="17"/>
        </w:rPr>
        <w:t xml:space="preserve">  explanation?: {</w:t>
        <w:br/>
      </w:r>
      <w:r>
        <w:rPr>
          <w:rFonts w:ascii="Courier New" w:hAnsi="Courier New"/>
          <w:sz w:val="17"/>
        </w:rPr>
        <w:t xml:space="preserve">    text: string</w:t>
        <w:br/>
      </w:r>
      <w:r>
        <w:rPr>
          <w:rFonts w:ascii="Courier New" w:hAnsi="Courier New"/>
          <w:sz w:val="17"/>
        </w:rPr>
        <w:t xml:space="preserve">    promptId: string</w:t>
        <w:br/>
      </w:r>
      <w:r>
        <w:rPr>
          <w:rFonts w:ascii="Courier New" w:hAnsi="Courier New"/>
          <w:sz w:val="17"/>
        </w:rPr>
        <w:t xml:space="preserve">    promptVersion: string</w:t>
        <w:br/>
      </w:r>
      <w:r>
        <w:rPr>
          <w:rFonts w:ascii="Courier New" w:hAnsi="Courier New"/>
          <w:sz w:val="17"/>
        </w:rPr>
        <w:t xml:space="preserve">    modelTier?: 'haiku' | 'sonnet'</w:t>
        <w:br/>
      </w:r>
      <w:r>
        <w:rPr>
          <w:rFonts w:ascii="Courier New" w:hAnsi="Courier New"/>
          <w:sz w:val="17"/>
        </w:rPr>
        <w:t xml:space="preserve">  }</w:t>
        <w:br/>
      </w:r>
      <w:r>
        <w:rPr>
          <w:rFonts w:ascii="Courier New" w:hAnsi="Courier New"/>
          <w:sz w:val="17"/>
        </w:rPr>
        <w:br/>
      </w:r>
      <w:r>
        <w:rPr>
          <w:rFonts w:ascii="Courier New" w:hAnsi="Courier New"/>
          <w:sz w:val="17"/>
        </w:rPr>
        <w:t xml:space="preserve">  disclaimer: string</w:t>
        <w:br/>
      </w:r>
      <w:r>
        <w:rPr>
          <w:rFonts w:ascii="Courier New" w:hAnsi="Courier New"/>
          <w:sz w:val="17"/>
        </w:rPr>
        <w:t>}</w:t>
      </w:r>
    </w:p>
    <w:p>
      <w:r>
        <w:t>The engine result is not merely a UI payload. It is the canonical handoff object for telemetry, debugging, and downstream workflow triggers.</w:t>
      </w:r>
    </w:p>
    <w:p>
      <w:pPr>
        <w:pStyle w:val="Heading2"/>
      </w:pPr>
      <w:r>
        <w:t>3.3 FollowupQuestion</w:t>
      </w:r>
    </w:p>
    <w:p>
      <w:pPr>
        <w:shd w:fill="F3F5F7"/>
        <w:spacing w:before="80" w:after="160"/>
        <w:ind w:left="216" w:right="216"/>
      </w:pPr>
      <w:r>
        <w:rPr>
          <w:rFonts w:ascii="Courier New" w:hAnsi="Courier New"/>
          <w:sz w:val="17"/>
        </w:rPr>
        <w:t>type FollowupQuestion = {</w:t>
        <w:br/>
      </w:r>
      <w:r>
        <w:rPr>
          <w:rFonts w:ascii="Courier New" w:hAnsi="Courier New"/>
          <w:sz w:val="17"/>
        </w:rPr>
        <w:t xml:space="preserve">  id: 'sender_type' | 'document_type' | 'collections_status' | 'denial_or_bill'</w:t>
        <w:br/>
      </w:r>
      <w:r>
        <w:rPr>
          <w:rFonts w:ascii="Courier New" w:hAnsi="Courier New"/>
          <w:sz w:val="17"/>
        </w:rPr>
        <w:t xml:space="preserve">  question: string</w:t>
        <w:br/>
      </w:r>
      <w:r>
        <w:rPr>
          <w:rFonts w:ascii="Courier New" w:hAnsi="Courier New"/>
          <w:sz w:val="17"/>
        </w:rPr>
        <w:t xml:space="preserve">  options: { value: string; label: string }[]</w:t>
        <w:br/>
      </w:r>
      <w:r>
        <w:rPr>
          <w:rFonts w:ascii="Courier New" w:hAnsi="Courier New"/>
          <w:sz w:val="17"/>
        </w:rPr>
        <w:t xml:space="preserve">  reason: 'low_confidence' | 'conflicting_signals' | 'missing_critical_signal'</w:t>
        <w:br/>
      </w:r>
      <w:r>
        <w:rPr>
          <w:rFonts w:ascii="Courier New" w:hAnsi="Courier New"/>
          <w:sz w:val="17"/>
        </w:rPr>
        <w:t>}</w:t>
      </w:r>
    </w:p>
    <w:p>
      <w:pPr>
        <w:pStyle w:val="Heading1"/>
      </w:pPr>
      <w:r>
        <w:t>4. Runtime Validation</w:t>
      </w:r>
    </w:p>
    <w:p>
      <w:r>
        <w:t>TypeScript alone is insufficient because it disappears at runtime. A seasoned developer would install runtime validation immediately at every boundary where external data enters or leaves the engine.</w:t>
      </w:r>
    </w:p>
    <w:p>
      <w:pPr>
        <w:shd w:fill="F3F5F7"/>
        <w:spacing w:before="80" w:after="160"/>
        <w:ind w:left="216" w:right="216"/>
      </w:pPr>
      <w:r>
        <w:rPr>
          <w:rFonts w:ascii="Courier New" w:hAnsi="Courier New"/>
          <w:sz w:val="17"/>
        </w:rPr>
        <w:t>import { z } from 'zod'</w:t>
        <w:br/>
      </w:r>
      <w:r>
        <w:rPr>
          <w:rFonts w:ascii="Courier New" w:hAnsi="Courier New"/>
          <w:sz w:val="17"/>
        </w:rPr>
        <w:br/>
      </w:r>
      <w:r>
        <w:rPr>
          <w:rFonts w:ascii="Courier New" w:hAnsi="Courier New"/>
          <w:sz w:val="17"/>
        </w:rPr>
        <w:t>export const SenderTypeSchema = z.enum(['insurer', 'provider', 'collector', 'unknown'])</w:t>
        <w:br/>
      </w:r>
      <w:r>
        <w:rPr>
          <w:rFonts w:ascii="Courier New" w:hAnsi="Courier New"/>
          <w:sz w:val="17"/>
        </w:rPr>
        <w:t>export const InsuranceStatusSchema = z.enum(['insured', 'uninsured', 'unknown'])</w:t>
        <w:br/>
      </w:r>
      <w:r>
        <w:rPr>
          <w:rFonts w:ascii="Courier New" w:hAnsi="Courier New"/>
          <w:sz w:val="17"/>
        </w:rPr>
        <w:t>export const IssueTypeSchema = z.enum(['denial', 'billing', 'access'])</w:t>
        <w:br/>
      </w:r>
      <w:r>
        <w:rPr>
          <w:rFonts w:ascii="Courier New" w:hAnsi="Courier New"/>
          <w:sz w:val="17"/>
        </w:rPr>
        <w:t>export const StateSchema = z.enum(['CA', 'TX', 'NY'])</w:t>
        <w:br/>
      </w:r>
      <w:r>
        <w:rPr>
          <w:rFonts w:ascii="Courier New" w:hAnsi="Courier New"/>
          <w:sz w:val="17"/>
        </w:rPr>
        <w:br/>
      </w:r>
      <w:r>
        <w:rPr>
          <w:rFonts w:ascii="Courier New" w:hAnsi="Courier New"/>
          <w:sz w:val="17"/>
        </w:rPr>
        <w:t>export const CaseEngineInputSchema = z.object({</w:t>
        <w:br/>
      </w:r>
      <w:r>
        <w:rPr>
          <w:rFonts w:ascii="Courier New" w:hAnsi="Courier New"/>
          <w:sz w:val="17"/>
        </w:rPr>
        <w:t xml:space="preserve">  caseId: z.string().min(1),</w:t>
        <w:br/>
      </w:r>
      <w:r>
        <w:rPr>
          <w:rFonts w:ascii="Courier New" w:hAnsi="Courier New"/>
          <w:sz w:val="17"/>
        </w:rPr>
        <w:t xml:space="preserve">  issueType: IssueTypeSchema,</w:t>
        <w:br/>
      </w:r>
      <w:r>
        <w:rPr>
          <w:rFonts w:ascii="Courier New" w:hAnsi="Courier New"/>
          <w:sz w:val="17"/>
        </w:rPr>
        <w:t xml:space="preserve">  state: StateSchema,</w:t>
        <w:br/>
      </w:r>
      <w:r>
        <w:rPr>
          <w:rFonts w:ascii="Courier New" w:hAnsi="Courier New"/>
          <w:sz w:val="17"/>
        </w:rPr>
        <w:t xml:space="preserve">  signals: z.object({</w:t>
        <w:br/>
      </w:r>
      <w:r>
        <w:rPr>
          <w:rFonts w:ascii="Courier New" w:hAnsi="Courier New"/>
          <w:sz w:val="17"/>
        </w:rPr>
        <w:t xml:space="preserve">    hasDenialCode: z.boolean().optional(),</w:t>
        <w:br/>
      </w:r>
      <w:r>
        <w:rPr>
          <w:rFonts w:ascii="Courier New" w:hAnsi="Courier New"/>
          <w:sz w:val="17"/>
        </w:rPr>
        <w:t xml:space="preserve">    hasBill: z.boolean().optional(),</w:t>
        <w:br/>
      </w:r>
      <w:r>
        <w:rPr>
          <w:rFonts w:ascii="Courier New" w:hAnsi="Courier New"/>
          <w:sz w:val="17"/>
        </w:rPr>
        <w:t xml:space="preserve">    hasCollectionsNotice: z.boolean().optional(),</w:t>
        <w:br/>
      </w:r>
      <w:r>
        <w:rPr>
          <w:rFonts w:ascii="Courier New" w:hAnsi="Courier New"/>
          <w:sz w:val="17"/>
        </w:rPr>
        <w:t xml:space="preserve">    senderType: SenderTypeSchema.optional(),</w:t>
        <w:br/>
      </w:r>
      <w:r>
        <w:rPr>
          <w:rFonts w:ascii="Courier New" w:hAnsi="Courier New"/>
          <w:sz w:val="17"/>
        </w:rPr>
        <w:t xml:space="preserve">    insuranceStatus: InsuranceStatusSchema.optional(),</w:t>
        <w:br/>
      </w:r>
      <w:r>
        <w:rPr>
          <w:rFonts w:ascii="Courier New" w:hAnsi="Courier New"/>
          <w:sz w:val="17"/>
        </w:rPr>
        <w:t xml:space="preserve">    hasExplanationOfBenefits: z.boolean().optional(),</w:t>
        <w:br/>
      </w:r>
      <w:r>
        <w:rPr>
          <w:rFonts w:ascii="Courier New" w:hAnsi="Courier New"/>
          <w:sz w:val="17"/>
        </w:rPr>
        <w:t xml:space="preserve">    hasAmountDue: z.boolean().optional(),</w:t>
        <w:br/>
      </w:r>
      <w:r>
        <w:rPr>
          <w:rFonts w:ascii="Courier New" w:hAnsi="Courier New"/>
          <w:sz w:val="17"/>
        </w:rPr>
        <w:t xml:space="preserve">    hasDueDate: z.boolean().optional(),</w:t>
        <w:br/>
      </w:r>
      <w:r>
        <w:rPr>
          <w:rFonts w:ascii="Courier New" w:hAnsi="Courier New"/>
          <w:sz w:val="17"/>
        </w:rPr>
        <w:t xml:space="preserve">    hasAccountNumber: z.boolean().optional(),</w:t>
        <w:br/>
      </w:r>
      <w:r>
        <w:rPr>
          <w:rFonts w:ascii="Courier New" w:hAnsi="Courier New"/>
          <w:sz w:val="17"/>
        </w:rPr>
        <w:t xml:space="preserve">    documentType: z.enum(['bill', 'denial_letter', 'collection_notice', 'eob', 'unknown']).optional(),</w:t>
        <w:br/>
      </w:r>
      <w:r>
        <w:rPr>
          <w:rFonts w:ascii="Courier New" w:hAnsi="Courier New"/>
          <w:sz w:val="17"/>
        </w:rPr>
        <w:t xml:space="preserve">  }),</w:t>
        <w:br/>
      </w:r>
      <w:r>
        <w:rPr>
          <w:rFonts w:ascii="Courier New" w:hAnsi="Courier New"/>
          <w:sz w:val="17"/>
        </w:rPr>
        <w:t xml:space="preserve">  source: z.object({</w:t>
        <w:br/>
      </w:r>
      <w:r>
        <w:rPr>
          <w:rFonts w:ascii="Courier New" w:hAnsi="Courier New"/>
          <w:sz w:val="17"/>
        </w:rPr>
        <w:t xml:space="preserve">    entrySource: z.enum(['denial_decoder', 'direct', 'seo']),</w:t>
        <w:br/>
      </w:r>
      <w:r>
        <w:rPr>
          <w:rFonts w:ascii="Courier New" w:hAnsi="Courier New"/>
          <w:sz w:val="17"/>
        </w:rPr>
        <w:t xml:space="preserve">    signalOrigin: z.enum(['intake_only', 'intake_plus_document_hints']).optional(),</w:t>
        <w:br/>
      </w:r>
      <w:r>
        <w:rPr>
          <w:rFonts w:ascii="Courier New" w:hAnsi="Courier New"/>
          <w:sz w:val="17"/>
        </w:rPr>
        <w:t xml:space="preserve">  }),</w:t>
        <w:br/>
      </w:r>
      <w:r>
        <w:rPr>
          <w:rFonts w:ascii="Courier New" w:hAnsi="Courier New"/>
          <w:sz w:val="17"/>
        </w:rPr>
        <w:t>})</w:t>
      </w:r>
    </w:p>
    <w:p>
      <w:r>
        <w:t>Validation rules:</w:t>
      </w:r>
    </w:p>
    <w:p>
      <w:pPr>
        <w:pStyle w:val="ListBullet"/>
        <w:ind w:left="360"/>
      </w:pPr>
      <w:r>
        <w:t>Validate request payloads before the engine runs.</w:t>
      </w:r>
    </w:p>
    <w:p>
      <w:pPr>
        <w:pStyle w:val="ListBullet"/>
        <w:ind w:left="360"/>
      </w:pPr>
      <w:r>
        <w:t>Validate engine outputs before returning them to UI or downstream services.</w:t>
      </w:r>
    </w:p>
    <w:p>
      <w:pPr>
        <w:pStyle w:val="ListBullet"/>
        <w:ind w:left="360"/>
      </w:pPr>
      <w:r>
        <w:t>Use parse for internal trusted code paths and safeParse at request boundaries where user-facing error handling is needed.</w:t>
      </w:r>
    </w:p>
    <w:p>
      <w:pPr>
        <w:pStyle w:val="ListBullet"/>
        <w:ind w:left="360"/>
      </w:pPr>
      <w:r>
        <w:t>Treat schema failure as a handled application error, not as a silent fallback.</w:t>
      </w:r>
    </w:p>
    <w:p>
      <w:pPr>
        <w:pStyle w:val="Heading1"/>
      </w:pPr>
      <w:r>
        <w:t>5. Reason Code Library</w:t>
      </w:r>
    </w:p>
    <w:p>
      <w:r>
        <w:t>Reason codes are the internal truth table for why the engine reached a conclusion. They are essential for debugging, analytics, and future refinement.</w:t>
      </w:r>
    </w:p>
    <w:p>
      <w:pPr>
        <w:shd w:fill="F3F5F7"/>
        <w:spacing w:before="80" w:after="160"/>
        <w:ind w:left="216" w:right="216"/>
      </w:pPr>
      <w:r>
        <w:rPr>
          <w:rFonts w:ascii="Courier New" w:hAnsi="Courier New"/>
          <w:sz w:val="17"/>
        </w:rPr>
        <w:t>type ReasonCode =</w:t>
        <w:br/>
      </w:r>
      <w:r>
        <w:rPr>
          <w:rFonts w:ascii="Courier New" w:hAnsi="Courier New"/>
          <w:sz w:val="17"/>
        </w:rPr>
        <w:t xml:space="preserve">  // primary evidence</w:t>
        <w:br/>
      </w:r>
      <w:r>
        <w:rPr>
          <w:rFonts w:ascii="Courier New" w:hAnsi="Courier New"/>
          <w:sz w:val="17"/>
        </w:rPr>
        <w:t xml:space="preserve">  | 'HAS_DENIAL_CODE'</w:t>
        <w:br/>
      </w:r>
      <w:r>
        <w:rPr>
          <w:rFonts w:ascii="Courier New" w:hAnsi="Courier New"/>
          <w:sz w:val="17"/>
        </w:rPr>
        <w:t xml:space="preserve">  | 'HAS_BILL'</w:t>
        <w:br/>
      </w:r>
      <w:r>
        <w:rPr>
          <w:rFonts w:ascii="Courier New" w:hAnsi="Courier New"/>
          <w:sz w:val="17"/>
        </w:rPr>
        <w:t xml:space="preserve">  | 'HAS_COLLECTIONS_NOTICE'</w:t>
        <w:br/>
      </w:r>
      <w:r>
        <w:rPr>
          <w:rFonts w:ascii="Courier New" w:hAnsi="Courier New"/>
          <w:sz w:val="17"/>
        </w:rPr>
        <w:t xml:space="preserve">  | 'HAS_EOB'</w:t>
        <w:br/>
      </w:r>
      <w:r>
        <w:rPr>
          <w:rFonts w:ascii="Courier New" w:hAnsi="Courier New"/>
          <w:sz w:val="17"/>
        </w:rPr>
        <w:t xml:space="preserve">  | 'HAS_AMOUNT_DUE'</w:t>
        <w:br/>
      </w:r>
      <w:r>
        <w:rPr>
          <w:rFonts w:ascii="Courier New" w:hAnsi="Courier New"/>
          <w:sz w:val="17"/>
        </w:rPr>
        <w:t xml:space="preserve">  | 'HAS_DUE_DATE'</w:t>
        <w:br/>
      </w:r>
      <w:r>
        <w:rPr>
          <w:rFonts w:ascii="Courier New" w:hAnsi="Courier New"/>
          <w:sz w:val="17"/>
        </w:rPr>
        <w:t xml:space="preserve">  | 'HAS_ACCOUNT_NUMBER'</w:t>
        <w:br/>
      </w:r>
      <w:r>
        <w:rPr>
          <w:rFonts w:ascii="Courier New" w:hAnsi="Courier New"/>
          <w:sz w:val="17"/>
        </w:rPr>
        <w:br/>
      </w:r>
      <w:r>
        <w:rPr>
          <w:rFonts w:ascii="Courier New" w:hAnsi="Courier New"/>
          <w:sz w:val="17"/>
        </w:rPr>
        <w:t xml:space="preserve">  // sender evidence</w:t>
        <w:br/>
      </w:r>
      <w:r>
        <w:rPr>
          <w:rFonts w:ascii="Courier New" w:hAnsi="Courier New"/>
          <w:sz w:val="17"/>
        </w:rPr>
        <w:t xml:space="preserve">  | 'SENDER_IS_INSURER'</w:t>
        <w:br/>
      </w:r>
      <w:r>
        <w:rPr>
          <w:rFonts w:ascii="Courier New" w:hAnsi="Courier New"/>
          <w:sz w:val="17"/>
        </w:rPr>
        <w:t xml:space="preserve">  | 'SENDER_IS_PROVIDER'</w:t>
        <w:br/>
      </w:r>
      <w:r>
        <w:rPr>
          <w:rFonts w:ascii="Courier New" w:hAnsi="Courier New"/>
          <w:sz w:val="17"/>
        </w:rPr>
        <w:t xml:space="preserve">  | 'SENDER_IS_COLLECTOR'</w:t>
        <w:br/>
      </w:r>
      <w:r>
        <w:rPr>
          <w:rFonts w:ascii="Courier New" w:hAnsi="Courier New"/>
          <w:sz w:val="17"/>
        </w:rPr>
        <w:t xml:space="preserve">  | 'SENDER_UNKNOWN'</w:t>
        <w:br/>
      </w:r>
      <w:r>
        <w:rPr>
          <w:rFonts w:ascii="Courier New" w:hAnsi="Courier New"/>
          <w:sz w:val="17"/>
        </w:rPr>
        <w:br/>
      </w:r>
      <w:r>
        <w:rPr>
          <w:rFonts w:ascii="Courier New" w:hAnsi="Courier New"/>
          <w:sz w:val="17"/>
        </w:rPr>
        <w:t xml:space="preserve">  // insurance status evidence</w:t>
        <w:br/>
      </w:r>
      <w:r>
        <w:rPr>
          <w:rFonts w:ascii="Courier New" w:hAnsi="Courier New"/>
          <w:sz w:val="17"/>
        </w:rPr>
        <w:t xml:space="preserve">  | 'INSURANCE_STATUS_INSURED'</w:t>
        <w:br/>
      </w:r>
      <w:r>
        <w:rPr>
          <w:rFonts w:ascii="Courier New" w:hAnsi="Courier New"/>
          <w:sz w:val="17"/>
        </w:rPr>
        <w:t xml:space="preserve">  | 'INSURANCE_STATUS_UNINSURED'</w:t>
        <w:br/>
      </w:r>
      <w:r>
        <w:rPr>
          <w:rFonts w:ascii="Courier New" w:hAnsi="Courier New"/>
          <w:sz w:val="17"/>
        </w:rPr>
        <w:t xml:space="preserve">  | 'INSURANCE_STATUS_UNKNOWN'</w:t>
        <w:br/>
      </w:r>
      <w:r>
        <w:rPr>
          <w:rFonts w:ascii="Courier New" w:hAnsi="Courier New"/>
          <w:sz w:val="17"/>
        </w:rPr>
        <w:br/>
      </w:r>
      <w:r>
        <w:rPr>
          <w:rFonts w:ascii="Courier New" w:hAnsi="Courier New"/>
          <w:sz w:val="17"/>
        </w:rPr>
        <w:t xml:space="preserve">  // document evidence</w:t>
        <w:br/>
      </w:r>
      <w:r>
        <w:rPr>
          <w:rFonts w:ascii="Courier New" w:hAnsi="Courier New"/>
          <w:sz w:val="17"/>
        </w:rPr>
        <w:t xml:space="preserve">  | 'DOCUMENT_TYPE_BILL'</w:t>
        <w:br/>
      </w:r>
      <w:r>
        <w:rPr>
          <w:rFonts w:ascii="Courier New" w:hAnsi="Courier New"/>
          <w:sz w:val="17"/>
        </w:rPr>
        <w:t xml:space="preserve">  | 'DOCUMENT_TYPE_DENIAL_LETTER'</w:t>
        <w:br/>
      </w:r>
      <w:r>
        <w:rPr>
          <w:rFonts w:ascii="Courier New" w:hAnsi="Courier New"/>
          <w:sz w:val="17"/>
        </w:rPr>
        <w:t xml:space="preserve">  | 'DOCUMENT_TYPE_COLLECTION_NOTICE'</w:t>
        <w:br/>
      </w:r>
      <w:r>
        <w:rPr>
          <w:rFonts w:ascii="Courier New" w:hAnsi="Courier New"/>
          <w:sz w:val="17"/>
        </w:rPr>
        <w:t xml:space="preserve">  | 'DOCUMENT_TYPE_EOB'</w:t>
        <w:br/>
      </w:r>
      <w:r>
        <w:rPr>
          <w:rFonts w:ascii="Courier New" w:hAnsi="Courier New"/>
          <w:sz w:val="17"/>
        </w:rPr>
        <w:t xml:space="preserve">  | 'DOCUMENT_TYPE_UNKNOWN'</w:t>
        <w:br/>
      </w:r>
      <w:r>
        <w:rPr>
          <w:rFonts w:ascii="Courier New" w:hAnsi="Courier New"/>
          <w:sz w:val="17"/>
        </w:rPr>
        <w:br/>
      </w:r>
      <w:r>
        <w:rPr>
          <w:rFonts w:ascii="Courier New" w:hAnsi="Courier New"/>
          <w:sz w:val="17"/>
        </w:rPr>
        <w:t xml:space="preserve">  // resolution markers</w:t>
        <w:br/>
      </w:r>
      <w:r>
        <w:rPr>
          <w:rFonts w:ascii="Courier New" w:hAnsi="Courier New"/>
          <w:sz w:val="17"/>
        </w:rPr>
        <w:t xml:space="preserve">  | 'COLLECTIONS_PRIMARY_SIGNAL'</w:t>
        <w:br/>
      </w:r>
      <w:r>
        <w:rPr>
          <w:rFonts w:ascii="Courier New" w:hAnsi="Courier New"/>
          <w:sz w:val="17"/>
        </w:rPr>
        <w:t xml:space="preserve">  | 'DENIAL_PRIMARY_SIGNAL'</w:t>
        <w:br/>
      </w:r>
      <w:r>
        <w:rPr>
          <w:rFonts w:ascii="Courier New" w:hAnsi="Courier New"/>
          <w:sz w:val="17"/>
        </w:rPr>
        <w:t xml:space="preserve">  | 'BILLING_PRIMARY_SIGNAL'</w:t>
        <w:br/>
      </w:r>
      <w:r>
        <w:rPr>
          <w:rFonts w:ascii="Courier New" w:hAnsi="Courier New"/>
          <w:sz w:val="17"/>
        </w:rPr>
        <w:t xml:space="preserve">  | 'UNKNOWN_PRIMARY_SIGNAL'</w:t>
        <w:br/>
      </w:r>
      <w:r>
        <w:rPr>
          <w:rFonts w:ascii="Courier New" w:hAnsi="Courier New"/>
          <w:sz w:val="17"/>
        </w:rPr>
        <w:br/>
      </w:r>
      <w:r>
        <w:rPr>
          <w:rFonts w:ascii="Courier New" w:hAnsi="Courier New"/>
          <w:sz w:val="17"/>
        </w:rPr>
        <w:t xml:space="preserve">  // confidence modifiers</w:t>
        <w:br/>
      </w:r>
      <w:r>
        <w:rPr>
          <w:rFonts w:ascii="Courier New" w:hAnsi="Courier New"/>
          <w:sz w:val="17"/>
        </w:rPr>
        <w:t xml:space="preserve">  | 'MULTIPLE_SUPPORTING_SIGNALS'</w:t>
        <w:br/>
      </w:r>
      <w:r>
        <w:rPr>
          <w:rFonts w:ascii="Courier New" w:hAnsi="Courier New"/>
          <w:sz w:val="17"/>
        </w:rPr>
        <w:t xml:space="preserve">  | 'MISSING_CRITICAL_SIGNAL'</w:t>
        <w:br/>
      </w:r>
      <w:r>
        <w:rPr>
          <w:rFonts w:ascii="Courier New" w:hAnsi="Courier New"/>
          <w:sz w:val="17"/>
        </w:rPr>
        <w:t xml:space="preserve">  | 'CONFLICTING_SIGNALS'</w:t>
        <w:br/>
      </w:r>
      <w:r>
        <w:rPr>
          <w:rFonts w:ascii="Courier New" w:hAnsi="Courier New"/>
          <w:sz w:val="17"/>
        </w:rPr>
        <w:t xml:space="preserve">  | 'LOW_SIGNAL_INPUT'</w:t>
        <w:br/>
      </w:r>
      <w:r>
        <w:rPr>
          <w:rFonts w:ascii="Courier New" w:hAnsi="Courier New"/>
          <w:sz w:val="17"/>
        </w:rPr>
        <w:t xml:space="preserve">  | 'HIGH_SIGNAL_INPUT'</w:t>
        <w:br/>
      </w:r>
      <w:r>
        <w:rPr>
          <w:rFonts w:ascii="Courier New" w:hAnsi="Courier New"/>
          <w:sz w:val="17"/>
        </w:rPr>
        <w:br/>
      </w:r>
      <w:r>
        <w:rPr>
          <w:rFonts w:ascii="Courier New" w:hAnsi="Courier New"/>
          <w:sz w:val="17"/>
        </w:rPr>
        <w:t xml:space="preserve">  // follow-up triggers</w:t>
        <w:br/>
      </w:r>
      <w:r>
        <w:rPr>
          <w:rFonts w:ascii="Courier New" w:hAnsi="Courier New"/>
          <w:sz w:val="17"/>
        </w:rPr>
        <w:t xml:space="preserve">  | 'FOLLOWUP_REQUIRED_LOW_CONFIDENCE'</w:t>
        <w:br/>
      </w:r>
      <w:r>
        <w:rPr>
          <w:rFonts w:ascii="Courier New" w:hAnsi="Courier New"/>
          <w:sz w:val="17"/>
        </w:rPr>
        <w:t xml:space="preserve">  | 'FOLLOWUP_REQUIRED_CONFLICT'</w:t>
        <w:br/>
      </w:r>
      <w:r>
        <w:rPr>
          <w:rFonts w:ascii="Courier New" w:hAnsi="Courier New"/>
          <w:sz w:val="17"/>
        </w:rPr>
        <w:t xml:space="preserve">  | 'FOLLOWUP_REQUIRED_MISSING_SENDER'</w:t>
      </w:r>
    </w:p>
    <w:p>
      <w:r>
        <w:t>Reason-code design rules:</w:t>
      </w:r>
    </w:p>
    <w:p>
      <w:pPr>
        <w:pStyle w:val="ListBullet"/>
        <w:ind w:left="360"/>
      </w:pPr>
      <w:r>
        <w:t>Codes should be atomic and composable.</w:t>
      </w:r>
    </w:p>
    <w:p>
      <w:pPr>
        <w:pStyle w:val="ListBullet"/>
        <w:ind w:left="360"/>
      </w:pPr>
      <w:r>
        <w:t>Codes should describe evidence, not prose conclusions.</w:t>
      </w:r>
    </w:p>
    <w:p>
      <w:pPr>
        <w:pStyle w:val="ListBullet"/>
        <w:ind w:left="360"/>
      </w:pPr>
      <w:r>
        <w:t>A classification may emit several evidence codes plus one primary resolution code.</w:t>
      </w:r>
    </w:p>
    <w:p>
      <w:pPr>
        <w:pStyle w:val="ListBullet"/>
        <w:ind w:left="360"/>
      </w:pPr>
      <w:r>
        <w:t>Do not create ad hoc codes inside random functions. Centralize them.</w:t>
      </w:r>
    </w:p>
    <w:p>
      <w:pPr>
        <w:pStyle w:val="Heading1"/>
      </w:pPr>
      <w:r>
        <w:t>6. Deterministic Classification Engine</w:t>
      </w:r>
    </w:p>
    <w:p>
      <w:r>
        <w:t>The classification engine should be rule-driven and ordered by precedence. This is the safety-critical core.</w:t>
      </w:r>
    </w:p>
    <w:p>
      <w:pPr>
        <w:pStyle w:val="Heading2"/>
      </w:pPr>
      <w:r>
        <w:t>6.1 Classification precedence</w:t>
      </w:r>
    </w:p>
    <w:p>
      <w:pPr>
        <w:pStyle w:val="ListBullet"/>
        <w:ind w:left="360"/>
      </w:pPr>
      <w:r>
        <w:t>Collections outranks denial and billing because collections status materially changes urgency and the initial recommended action.</w:t>
      </w:r>
    </w:p>
    <w:p>
      <w:pPr>
        <w:pStyle w:val="ListBullet"/>
        <w:ind w:left="360"/>
      </w:pPr>
      <w:r>
        <w:t>Denial outranks billing when denial-specific evidence is present because it implies insurer-centric workflow.</w:t>
      </w:r>
    </w:p>
    <w:p>
      <w:pPr>
        <w:pStyle w:val="ListBullet"/>
        <w:ind w:left="360"/>
      </w:pPr>
      <w:r>
        <w:t>Billing becomes the default when provider-bill signals exist without stronger denial or collections evidence.</w:t>
      </w:r>
    </w:p>
    <w:p>
      <w:pPr>
        <w:pStyle w:val="ListBullet"/>
        <w:ind w:left="360"/>
      </w:pPr>
      <w:r>
        <w:t>Unknown is a valid result and should not be treated as engine failure.</w:t>
      </w:r>
    </w:p>
    <w:p>
      <w:pPr>
        <w:pStyle w:val="Heading2"/>
      </w:pPr>
      <w:r>
        <w:t>6.2 Example rule implementation</w:t>
      </w:r>
    </w:p>
    <w:p>
      <w:pPr>
        <w:shd w:fill="F3F5F7"/>
        <w:spacing w:before="80" w:after="160"/>
        <w:ind w:left="216" w:right="216"/>
      </w:pPr>
      <w:r>
        <w:rPr>
          <w:rFonts w:ascii="Courier New" w:hAnsi="Courier New"/>
          <w:sz w:val="17"/>
        </w:rPr>
        <w:t>function classify(input: CaseEngineInput) {</w:t>
        <w:br/>
      </w:r>
      <w:r>
        <w:rPr>
          <w:rFonts w:ascii="Courier New" w:hAnsi="Courier New"/>
          <w:sz w:val="17"/>
        </w:rPr>
        <w:t xml:space="preserve">  const reasons: ReasonCode[] = []</w:t>
        <w:br/>
      </w:r>
      <w:r>
        <w:rPr>
          <w:rFonts w:ascii="Courier New" w:hAnsi="Courier New"/>
          <w:sz w:val="17"/>
        </w:rPr>
        <w:br/>
      </w:r>
      <w:r>
        <w:rPr>
          <w:rFonts w:ascii="Courier New" w:hAnsi="Courier New"/>
          <w:sz w:val="17"/>
        </w:rPr>
        <w:t xml:space="preserve">  if (input.signals.hasCollectionsNotice) reasons.push('HAS_COLLECTIONS_NOTICE')</w:t>
        <w:br/>
      </w:r>
      <w:r>
        <w:rPr>
          <w:rFonts w:ascii="Courier New" w:hAnsi="Courier New"/>
          <w:sz w:val="17"/>
        </w:rPr>
        <w:t xml:space="preserve">  if (input.signals.hasDenialCode) reasons.push('HAS_DENIAL_CODE')</w:t>
        <w:br/>
      </w:r>
      <w:r>
        <w:rPr>
          <w:rFonts w:ascii="Courier New" w:hAnsi="Courier New"/>
          <w:sz w:val="17"/>
        </w:rPr>
        <w:t xml:space="preserve">  if (input.signals.hasBill) reasons.push('HAS_BILL')</w:t>
        <w:br/>
      </w:r>
      <w:r>
        <w:rPr>
          <w:rFonts w:ascii="Courier New" w:hAnsi="Courier New"/>
          <w:sz w:val="17"/>
        </w:rPr>
        <w:t xml:space="preserve">  if (input.signals.hasExplanationOfBenefits) reasons.push('HAS_EOB')</w:t>
        <w:br/>
      </w:r>
      <w:r>
        <w:rPr>
          <w:rFonts w:ascii="Courier New" w:hAnsi="Courier New"/>
          <w:sz w:val="17"/>
        </w:rPr>
        <w:br/>
      </w:r>
      <w:r>
        <w:rPr>
          <w:rFonts w:ascii="Courier New" w:hAnsi="Courier New"/>
          <w:sz w:val="17"/>
        </w:rPr>
        <w:t xml:space="preserve">  switch (input.signals.senderType) {</w:t>
        <w:br/>
      </w:r>
      <w:r>
        <w:rPr>
          <w:rFonts w:ascii="Courier New" w:hAnsi="Courier New"/>
          <w:sz w:val="17"/>
        </w:rPr>
        <w:t xml:space="preserve">    case 'insurer': reasons.push('SENDER_IS_INSURER'); break</w:t>
        <w:br/>
      </w:r>
      <w:r>
        <w:rPr>
          <w:rFonts w:ascii="Courier New" w:hAnsi="Courier New"/>
          <w:sz w:val="17"/>
        </w:rPr>
        <w:t xml:space="preserve">    case 'provider': reasons.push('SENDER_IS_PROVIDER'); break</w:t>
        <w:br/>
      </w:r>
      <w:r>
        <w:rPr>
          <w:rFonts w:ascii="Courier New" w:hAnsi="Courier New"/>
          <w:sz w:val="17"/>
        </w:rPr>
        <w:t xml:space="preserve">    case 'collector': reasons.push('SENDER_IS_COLLECTOR'); break</w:t>
        <w:br/>
      </w:r>
      <w:r>
        <w:rPr>
          <w:rFonts w:ascii="Courier New" w:hAnsi="Courier New"/>
          <w:sz w:val="17"/>
        </w:rPr>
        <w:t xml:space="preserve">    default: reasons.push('SENDER_UNKNOWN')</w:t>
        <w:br/>
      </w:r>
      <w:r>
        <w:rPr>
          <w:rFonts w:ascii="Courier New" w:hAnsi="Courier New"/>
          <w:sz w:val="17"/>
        </w:rPr>
        <w:t xml:space="preserve">  }</w:t>
        <w:br/>
      </w:r>
      <w:r>
        <w:rPr>
          <w:rFonts w:ascii="Courier New" w:hAnsi="Courier New"/>
          <w:sz w:val="17"/>
        </w:rPr>
        <w:br/>
      </w:r>
      <w:r>
        <w:rPr>
          <w:rFonts w:ascii="Courier New" w:hAnsi="Courier New"/>
          <w:sz w:val="17"/>
        </w:rPr>
        <w:t xml:space="preserve">  switch (input.signals.documentType) {</w:t>
        <w:br/>
      </w:r>
      <w:r>
        <w:rPr>
          <w:rFonts w:ascii="Courier New" w:hAnsi="Courier New"/>
          <w:sz w:val="17"/>
        </w:rPr>
        <w:t xml:space="preserve">    case 'bill': reasons.push('DOCUMENT_TYPE_BILL'); break</w:t>
        <w:br/>
      </w:r>
      <w:r>
        <w:rPr>
          <w:rFonts w:ascii="Courier New" w:hAnsi="Courier New"/>
          <w:sz w:val="17"/>
        </w:rPr>
        <w:t xml:space="preserve">    case 'denial_letter': reasons.push('DOCUMENT_TYPE_DENIAL_LETTER'); break</w:t>
        <w:br/>
      </w:r>
      <w:r>
        <w:rPr>
          <w:rFonts w:ascii="Courier New" w:hAnsi="Courier New"/>
          <w:sz w:val="17"/>
        </w:rPr>
        <w:t xml:space="preserve">    case 'collection_notice': reasons.push('DOCUMENT_TYPE_COLLECTION_NOTICE'); break</w:t>
        <w:br/>
      </w:r>
      <w:r>
        <w:rPr>
          <w:rFonts w:ascii="Courier New" w:hAnsi="Courier New"/>
          <w:sz w:val="17"/>
        </w:rPr>
        <w:t xml:space="preserve">    case 'eob': reasons.push('DOCUMENT_TYPE_EOB'); break</w:t>
        <w:br/>
      </w:r>
      <w:r>
        <w:rPr>
          <w:rFonts w:ascii="Courier New" w:hAnsi="Courier New"/>
          <w:sz w:val="17"/>
        </w:rPr>
        <w:t xml:space="preserve">    default: reasons.push('DOCUMENT_TYPE_UNKNOWN')</w:t>
        <w:br/>
      </w:r>
      <w:r>
        <w:rPr>
          <w:rFonts w:ascii="Courier New" w:hAnsi="Courier New"/>
          <w:sz w:val="17"/>
        </w:rPr>
        <w:t xml:space="preserve">  }</w:t>
        <w:br/>
      </w:r>
      <w:r>
        <w:rPr>
          <w:rFonts w:ascii="Courier New" w:hAnsi="Courier New"/>
          <w:sz w:val="17"/>
        </w:rPr>
        <w:br/>
      </w:r>
      <w:r>
        <w:rPr>
          <w:rFonts w:ascii="Courier New" w:hAnsi="Courier New"/>
          <w:sz w:val="17"/>
        </w:rPr>
        <w:t xml:space="preserve">  const hasCollections = !!input.signals.hasCollectionsNotice</w:t>
        <w:br/>
      </w:r>
      <w:r>
        <w:rPr>
          <w:rFonts w:ascii="Courier New" w:hAnsi="Courier New"/>
          <w:sz w:val="17"/>
        </w:rPr>
        <w:t xml:space="preserve">    || input.signals.senderType === 'collector'</w:t>
        <w:br/>
      </w:r>
      <w:r>
        <w:rPr>
          <w:rFonts w:ascii="Courier New" w:hAnsi="Courier New"/>
          <w:sz w:val="17"/>
        </w:rPr>
        <w:t xml:space="preserve">    || input.signals.documentType === 'collection_notice'</w:t>
        <w:br/>
      </w:r>
      <w:r>
        <w:rPr>
          <w:rFonts w:ascii="Courier New" w:hAnsi="Courier New"/>
          <w:sz w:val="17"/>
        </w:rPr>
        <w:br/>
      </w:r>
      <w:r>
        <w:rPr>
          <w:rFonts w:ascii="Courier New" w:hAnsi="Courier New"/>
          <w:sz w:val="17"/>
        </w:rPr>
        <w:t xml:space="preserve">  const hasDenial = !!input.signals.hasDenialCode</w:t>
        <w:br/>
      </w:r>
      <w:r>
        <w:rPr>
          <w:rFonts w:ascii="Courier New" w:hAnsi="Courier New"/>
          <w:sz w:val="17"/>
        </w:rPr>
        <w:t xml:space="preserve">    || input.signals.senderType === 'insurer'</w:t>
        <w:br/>
      </w:r>
      <w:r>
        <w:rPr>
          <w:rFonts w:ascii="Courier New" w:hAnsi="Courier New"/>
          <w:sz w:val="17"/>
        </w:rPr>
        <w:t xml:space="preserve">    || input.signals.documentType === 'denial_letter'</w:t>
        <w:br/>
      </w:r>
      <w:r>
        <w:rPr>
          <w:rFonts w:ascii="Courier New" w:hAnsi="Courier New"/>
          <w:sz w:val="17"/>
        </w:rPr>
        <w:br/>
      </w:r>
      <w:r>
        <w:rPr>
          <w:rFonts w:ascii="Courier New" w:hAnsi="Courier New"/>
          <w:sz w:val="17"/>
        </w:rPr>
        <w:t xml:space="preserve">  const hasBilling = !!input.signals.hasBill</w:t>
        <w:br/>
      </w:r>
      <w:r>
        <w:rPr>
          <w:rFonts w:ascii="Courier New" w:hAnsi="Courier New"/>
          <w:sz w:val="17"/>
        </w:rPr>
        <w:t xml:space="preserve">    || input.signals.senderType === 'provider'</w:t>
        <w:br/>
      </w:r>
      <w:r>
        <w:rPr>
          <w:rFonts w:ascii="Courier New" w:hAnsi="Courier New"/>
          <w:sz w:val="17"/>
        </w:rPr>
        <w:t xml:space="preserve">    || input.signals.documentType === 'bill'</w:t>
        <w:br/>
      </w:r>
      <w:r>
        <w:rPr>
          <w:rFonts w:ascii="Courier New" w:hAnsi="Courier New"/>
          <w:sz w:val="17"/>
        </w:rPr>
        <w:br/>
      </w:r>
      <w:r>
        <w:rPr>
          <w:rFonts w:ascii="Courier New" w:hAnsi="Courier New"/>
          <w:sz w:val="17"/>
        </w:rPr>
        <w:t xml:space="preserve">  if (hasCollections) {</w:t>
        <w:br/>
      </w:r>
      <w:r>
        <w:rPr>
          <w:rFonts w:ascii="Courier New" w:hAnsi="Courier New"/>
          <w:sz w:val="17"/>
        </w:rPr>
        <w:t xml:space="preserve">    reasons.push('COLLECTIONS_PRIMARY_SIGNAL')</w:t>
        <w:br/>
      </w:r>
      <w:r>
        <w:rPr>
          <w:rFonts w:ascii="Courier New" w:hAnsi="Courier New"/>
          <w:sz w:val="17"/>
        </w:rPr>
        <w:t xml:space="preserve">    return { issueSubtype: 'collections', entity: 'collector', reasons }</w:t>
        <w:br/>
      </w:r>
      <w:r>
        <w:rPr>
          <w:rFonts w:ascii="Courier New" w:hAnsi="Courier New"/>
          <w:sz w:val="17"/>
        </w:rPr>
        <w:t xml:space="preserve">  }</w:t>
        <w:br/>
      </w:r>
      <w:r>
        <w:rPr>
          <w:rFonts w:ascii="Courier New" w:hAnsi="Courier New"/>
          <w:sz w:val="17"/>
        </w:rPr>
        <w:br/>
      </w:r>
      <w:r>
        <w:rPr>
          <w:rFonts w:ascii="Courier New" w:hAnsi="Courier New"/>
          <w:sz w:val="17"/>
        </w:rPr>
        <w:t xml:space="preserve">  if (hasDenial) {</w:t>
        <w:br/>
      </w:r>
      <w:r>
        <w:rPr>
          <w:rFonts w:ascii="Courier New" w:hAnsi="Courier New"/>
          <w:sz w:val="17"/>
        </w:rPr>
        <w:t xml:space="preserve">    reasons.push('DENIAL_PRIMARY_SIGNAL')</w:t>
        <w:br/>
      </w:r>
      <w:r>
        <w:rPr>
          <w:rFonts w:ascii="Courier New" w:hAnsi="Courier New"/>
          <w:sz w:val="17"/>
        </w:rPr>
        <w:t xml:space="preserve">    return { issueSubtype: 'coverage_issue', entity: 'insurer', reasons }</w:t>
        <w:br/>
      </w:r>
      <w:r>
        <w:rPr>
          <w:rFonts w:ascii="Courier New" w:hAnsi="Courier New"/>
          <w:sz w:val="17"/>
        </w:rPr>
        <w:t xml:space="preserve">  }</w:t>
        <w:br/>
      </w:r>
      <w:r>
        <w:rPr>
          <w:rFonts w:ascii="Courier New" w:hAnsi="Courier New"/>
          <w:sz w:val="17"/>
        </w:rPr>
        <w:br/>
      </w:r>
      <w:r>
        <w:rPr>
          <w:rFonts w:ascii="Courier New" w:hAnsi="Courier New"/>
          <w:sz w:val="17"/>
        </w:rPr>
        <w:t xml:space="preserve">  if (hasBilling) {</w:t>
        <w:br/>
      </w:r>
      <w:r>
        <w:rPr>
          <w:rFonts w:ascii="Courier New" w:hAnsi="Courier New"/>
          <w:sz w:val="17"/>
        </w:rPr>
        <w:t xml:space="preserve">    reasons.push('BILLING_PRIMARY_SIGNAL')</w:t>
        <w:br/>
      </w:r>
      <w:r>
        <w:rPr>
          <w:rFonts w:ascii="Courier New" w:hAnsi="Courier New"/>
          <w:sz w:val="17"/>
        </w:rPr>
        <w:t xml:space="preserve">    return { issueSubtype: 'billing_error', entity: 'provider', reasons }</w:t>
        <w:br/>
      </w:r>
      <w:r>
        <w:rPr>
          <w:rFonts w:ascii="Courier New" w:hAnsi="Courier New"/>
          <w:sz w:val="17"/>
        </w:rPr>
        <w:t xml:space="preserve">  }</w:t>
        <w:br/>
      </w:r>
      <w:r>
        <w:rPr>
          <w:rFonts w:ascii="Courier New" w:hAnsi="Courier New"/>
          <w:sz w:val="17"/>
        </w:rPr>
        <w:br/>
      </w:r>
      <w:r>
        <w:rPr>
          <w:rFonts w:ascii="Courier New" w:hAnsi="Courier New"/>
          <w:sz w:val="17"/>
        </w:rPr>
        <w:t xml:space="preserve">  reasons.push('UNKNOWN_PRIMARY_SIGNAL', 'LOW_SIGNAL_INPUT')</w:t>
        <w:br/>
      </w:r>
      <w:r>
        <w:rPr>
          <w:rFonts w:ascii="Courier New" w:hAnsi="Courier New"/>
          <w:sz w:val="17"/>
        </w:rPr>
        <w:t xml:space="preserve">  return { issueSubtype: 'unknown', entity: 'unknown', reasons }</w:t>
        <w:br/>
      </w:r>
      <w:r>
        <w:rPr>
          <w:rFonts w:ascii="Courier New" w:hAnsi="Courier New"/>
          <w:sz w:val="17"/>
        </w:rPr>
        <w:t>}</w:t>
      </w:r>
    </w:p>
    <w:p>
      <w:r>
        <w:t>The exact rules can evolve, but the pattern should remain stable: classify on bounded evidence, return explicit reasons, and avoid hidden inference.</w:t>
      </w:r>
    </w:p>
    <w:p>
      <w:pPr>
        <w:pStyle w:val="Heading1"/>
      </w:pPr>
      <w:r>
        <w:t>7. Confidence Model</w:t>
      </w:r>
    </w:p>
    <w:p>
      <w:r>
        <w:t>Confidence must be computed explicitly, not intuited. The purpose is not pseudo-statistical precision; it is behavioral control.</w:t>
      </w:r>
    </w:p>
    <w:p>
      <w:pPr>
        <w:pStyle w:val="Heading2"/>
      </w:pPr>
      <w:r>
        <w:t>7.1 Proposed scoring model</w:t>
      </w:r>
    </w:p>
    <w:p>
      <w:pPr>
        <w:shd w:fill="F3F5F7"/>
        <w:spacing w:before="80" w:after="160"/>
        <w:ind w:left="216" w:right="216"/>
      </w:pPr>
      <w:r>
        <w:rPr>
          <w:rFonts w:ascii="Courier New" w:hAnsi="Courier New"/>
          <w:sz w:val="17"/>
        </w:rPr>
        <w:t>function scoreConfidence(reasons: ReasonCode[]): number {</w:t>
        <w:br/>
      </w:r>
      <w:r>
        <w:rPr>
          <w:rFonts w:ascii="Courier New" w:hAnsi="Courier New"/>
          <w:sz w:val="17"/>
        </w:rPr>
        <w:t xml:space="preserve">  let score = 35</w:t>
        <w:br/>
      </w:r>
      <w:r>
        <w:rPr>
          <w:rFonts w:ascii="Courier New" w:hAnsi="Courier New"/>
          <w:sz w:val="17"/>
        </w:rPr>
        <w:br/>
      </w:r>
      <w:r>
        <w:rPr>
          <w:rFonts w:ascii="Courier New" w:hAnsi="Courier New"/>
          <w:sz w:val="17"/>
        </w:rPr>
        <w:t xml:space="preserve">  if (reasons.includes('HAS_COLLECTIONS_NOTICE')) score += 35</w:t>
        <w:br/>
      </w:r>
      <w:r>
        <w:rPr>
          <w:rFonts w:ascii="Courier New" w:hAnsi="Courier New"/>
          <w:sz w:val="17"/>
        </w:rPr>
        <w:t xml:space="preserve">  if (reasons.includes('HAS_DENIAL_CODE')) score += 30</w:t>
        <w:br/>
      </w:r>
      <w:r>
        <w:rPr>
          <w:rFonts w:ascii="Courier New" w:hAnsi="Courier New"/>
          <w:sz w:val="17"/>
        </w:rPr>
        <w:t xml:space="preserve">  if (reasons.includes('HAS_BILL')) score += 20</w:t>
        <w:br/>
      </w:r>
      <w:r>
        <w:rPr>
          <w:rFonts w:ascii="Courier New" w:hAnsi="Courier New"/>
          <w:sz w:val="17"/>
        </w:rPr>
        <w:br/>
      </w:r>
      <w:r>
        <w:rPr>
          <w:rFonts w:ascii="Courier New" w:hAnsi="Courier New"/>
          <w:sz w:val="17"/>
        </w:rPr>
        <w:t xml:space="preserve">  if (reasons.includes('DOCUMENT_TYPE_COLLECTION_NOTICE')) score += 20</w:t>
        <w:br/>
      </w:r>
      <w:r>
        <w:rPr>
          <w:rFonts w:ascii="Courier New" w:hAnsi="Courier New"/>
          <w:sz w:val="17"/>
        </w:rPr>
        <w:t xml:space="preserve">  if (reasons.includes('DOCUMENT_TYPE_DENIAL_LETTER')) score += 20</w:t>
        <w:br/>
      </w:r>
      <w:r>
        <w:rPr>
          <w:rFonts w:ascii="Courier New" w:hAnsi="Courier New"/>
          <w:sz w:val="17"/>
        </w:rPr>
        <w:t xml:space="preserve">  if (reasons.includes('DOCUMENT_TYPE_BILL')) score += 15</w:t>
        <w:br/>
      </w:r>
      <w:r>
        <w:rPr>
          <w:rFonts w:ascii="Courier New" w:hAnsi="Courier New"/>
          <w:sz w:val="17"/>
        </w:rPr>
        <w:br/>
      </w:r>
      <w:r>
        <w:rPr>
          <w:rFonts w:ascii="Courier New" w:hAnsi="Courier New"/>
          <w:sz w:val="17"/>
        </w:rPr>
        <w:t xml:space="preserve">  if (reasons.includes('SENDER_IS_COLLECTOR')) score += 15</w:t>
        <w:br/>
      </w:r>
      <w:r>
        <w:rPr>
          <w:rFonts w:ascii="Courier New" w:hAnsi="Courier New"/>
          <w:sz w:val="17"/>
        </w:rPr>
        <w:t xml:space="preserve">  if (reasons.includes('SENDER_IS_INSURER')) score += 12</w:t>
        <w:br/>
      </w:r>
      <w:r>
        <w:rPr>
          <w:rFonts w:ascii="Courier New" w:hAnsi="Courier New"/>
          <w:sz w:val="17"/>
        </w:rPr>
        <w:t xml:space="preserve">  if (reasons.includes('SENDER_IS_PROVIDER')) score += 10</w:t>
        <w:br/>
      </w:r>
      <w:r>
        <w:rPr>
          <w:rFonts w:ascii="Courier New" w:hAnsi="Courier New"/>
          <w:sz w:val="17"/>
        </w:rPr>
        <w:br/>
      </w:r>
      <w:r>
        <w:rPr>
          <w:rFonts w:ascii="Courier New" w:hAnsi="Courier New"/>
          <w:sz w:val="17"/>
        </w:rPr>
        <w:t xml:space="preserve">  if (reasons.includes('MULTIPLE_SUPPORTING_SIGNALS')) score += 10</w:t>
        <w:br/>
      </w:r>
      <w:r>
        <w:rPr>
          <w:rFonts w:ascii="Courier New" w:hAnsi="Courier New"/>
          <w:sz w:val="17"/>
        </w:rPr>
        <w:t xml:space="preserve">  if (reasons.includes('CONFLICTING_SIGNALS')) score -= 25</w:t>
        <w:br/>
      </w:r>
      <w:r>
        <w:rPr>
          <w:rFonts w:ascii="Courier New" w:hAnsi="Courier New"/>
          <w:sz w:val="17"/>
        </w:rPr>
        <w:t xml:space="preserve">  if (reasons.includes('MISSING_CRITICAL_SIGNAL')) score -= 20</w:t>
        <w:br/>
      </w:r>
      <w:r>
        <w:rPr>
          <w:rFonts w:ascii="Courier New" w:hAnsi="Courier New"/>
          <w:sz w:val="17"/>
        </w:rPr>
        <w:t xml:space="preserve">  if (reasons.includes('LOW_SIGNAL_INPUT')) score -= 15</w:t>
        <w:br/>
      </w:r>
      <w:r>
        <w:rPr>
          <w:rFonts w:ascii="Courier New" w:hAnsi="Courier New"/>
          <w:sz w:val="17"/>
        </w:rPr>
        <w:br/>
      </w:r>
      <w:r>
        <w:rPr>
          <w:rFonts w:ascii="Courier New" w:hAnsi="Courier New"/>
          <w:sz w:val="17"/>
        </w:rPr>
        <w:t xml:space="preserve">  return Math.max(0, Math.min(100, score))</w:t>
        <w:br/>
      </w:r>
      <w:r>
        <w:rPr>
          <w:rFonts w:ascii="Courier New" w:hAnsi="Courier New"/>
          <w:sz w:val="17"/>
        </w:rPr>
        <w:t>}</w:t>
      </w:r>
    </w:p>
    <w:p>
      <w:pPr>
        <w:pStyle w:val="Heading2"/>
      </w:pPr>
      <w:r>
        <w:t>7.2 Confidence bands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Band</w:t>
            </w:r>
          </w:p>
        </w:tc>
        <w:tc>
          <w:tcPr>
            <w:tcW w:type="dxa" w:w="3312"/>
          </w:tcPr>
          <w:p>
            <w:r>
              <w:t>Range</w:t>
            </w:r>
          </w:p>
        </w:tc>
        <w:tc>
          <w:tcPr>
            <w:tcW w:type="dxa" w:w="3312"/>
          </w:tcPr>
          <w:p>
            <w:r>
              <w:t>Behavior</w:t>
            </w:r>
          </w:p>
        </w:tc>
      </w:tr>
      <w:tr>
        <w:tc>
          <w:tcPr>
            <w:tcW w:type="dxa" w:w="3312"/>
          </w:tcPr>
          <w:p>
            <w:r>
              <w:t>High</w:t>
            </w:r>
          </w:p>
        </w:tc>
        <w:tc>
          <w:tcPr>
            <w:tcW w:type="dxa" w:w="3312"/>
          </w:tcPr>
          <w:p>
            <w:r>
              <w:t>80–100</w:t>
            </w:r>
          </w:p>
        </w:tc>
        <w:tc>
          <w:tcPr>
            <w:tcW w:type="dxa" w:w="3312"/>
          </w:tcPr>
          <w:p>
            <w:r>
              <w:t>Proceed normally with direct action recommendation</w:t>
            </w:r>
          </w:p>
        </w:tc>
      </w:tr>
      <w:tr>
        <w:tc>
          <w:tcPr>
            <w:tcW w:type="dxa" w:w="3312"/>
          </w:tcPr>
          <w:p>
            <w:r>
              <w:t>Medium</w:t>
            </w:r>
          </w:p>
        </w:tc>
        <w:tc>
          <w:tcPr>
            <w:tcW w:type="dxa" w:w="3312"/>
          </w:tcPr>
          <w:p>
            <w:r>
              <w:t>50–79</w:t>
            </w:r>
          </w:p>
        </w:tc>
        <w:tc>
          <w:tcPr>
            <w:tcW w:type="dxa" w:w="3312"/>
          </w:tcPr>
          <w:p>
            <w:r>
              <w:t>Proceed, but language should reflect some uncertainty</w:t>
            </w:r>
          </w:p>
        </w:tc>
      </w:tr>
      <w:tr>
        <w:tc>
          <w:tcPr>
            <w:tcW w:type="dxa" w:w="3312"/>
          </w:tcPr>
          <w:p>
            <w:r>
              <w:t>Low</w:t>
            </w:r>
          </w:p>
        </w:tc>
        <w:tc>
          <w:tcPr>
            <w:tcW w:type="dxa" w:w="3312"/>
          </w:tcPr>
          <w:p>
            <w:r>
              <w:t>0–49</w:t>
            </w:r>
          </w:p>
        </w:tc>
        <w:tc>
          <w:tcPr>
            <w:tcW w:type="dxa" w:w="3312"/>
          </w:tcPr>
          <w:p>
            <w:r>
              <w:t>Do not proceed as definitive; ask one bounded follow-up or return safe fallback</w:t>
            </w:r>
          </w:p>
        </w:tc>
      </w:tr>
    </w:tbl>
    <w:p>
      <w:r>
        <w:t>The confidence band should be stored with the result so UI, telemetry, and follow-up logic can all behave consistently.</w:t>
      </w:r>
    </w:p>
    <w:p>
      <w:pPr>
        <w:pStyle w:val="Heading1"/>
      </w:pPr>
      <w:r>
        <w:t>8. Recovery Layer: One-More-Question System</w:t>
      </w:r>
    </w:p>
    <w:p>
      <w:r>
        <w:t>The follow-up layer is the key hardening feature. It prevents the system from forcing certainty where the inputs do not justify it.</w:t>
      </w:r>
    </w:p>
    <w:p>
      <w:r>
        <w:t>Trigger conditions:</w:t>
      </w:r>
    </w:p>
    <w:p>
      <w:pPr>
        <w:pStyle w:val="ListBullet"/>
        <w:ind w:left="360"/>
      </w:pPr>
      <w:r>
        <w:t>confidence below threshold</w:t>
      </w:r>
    </w:p>
    <w:p>
      <w:pPr>
        <w:pStyle w:val="ListBullet"/>
        <w:ind w:left="360"/>
      </w:pPr>
      <w:r>
        <w:t>conflicting signals present</w:t>
      </w:r>
    </w:p>
    <w:p>
      <w:pPr>
        <w:pStyle w:val="ListBullet"/>
        <w:ind w:left="360"/>
      </w:pPr>
      <w:r>
        <w:t>sender missing when sender is important to routing</w:t>
      </w:r>
    </w:p>
    <w:p>
      <w:pPr>
        <w:pStyle w:val="ListBullet"/>
        <w:ind w:left="360"/>
      </w:pPr>
      <w:r>
        <w:t>document type missing in a low-signal case</w:t>
      </w:r>
    </w:p>
    <w:p>
      <w:r>
        <w:t>Follow-up design rules:</w:t>
      </w:r>
    </w:p>
    <w:p>
      <w:pPr>
        <w:pStyle w:val="ListBullet"/>
        <w:ind w:left="360"/>
      </w:pPr>
      <w:r>
        <w:t>Ask only one question at a time.</w:t>
      </w:r>
    </w:p>
    <w:p>
      <w:pPr>
        <w:pStyle w:val="ListBullet"/>
        <w:ind w:left="360"/>
      </w:pPr>
      <w:r>
        <w:t>Use bounded multiple-choice options.</w:t>
      </w:r>
    </w:p>
    <w:p>
      <w:pPr>
        <w:pStyle w:val="ListBullet"/>
        <w:ind w:left="360"/>
      </w:pPr>
      <w:r>
        <w:t>The question must materially improve classification confidence.</w:t>
      </w:r>
    </w:p>
    <w:p>
      <w:pPr>
        <w:pStyle w:val="ListBullet"/>
        <w:ind w:left="360"/>
      </w:pPr>
      <w:r>
        <w:t>Do not ask broad narrative questions.</w:t>
      </w:r>
    </w:p>
    <w:p>
      <w:pPr>
        <w:pStyle w:val="ListBullet"/>
        <w:ind w:left="360"/>
      </w:pPr>
      <w:r>
        <w:t>Do not ask questions that introduce unnecessary PHI or financial detail.</w:t>
      </w:r>
    </w:p>
    <w:p>
      <w:pPr>
        <w:pStyle w:val="Heading2"/>
      </w:pPr>
      <w:r>
        <w:t>8.1 Example follow-up selector</w:t>
      </w:r>
    </w:p>
    <w:p>
      <w:pPr>
        <w:shd w:fill="F3F5F7"/>
        <w:spacing w:before="80" w:after="160"/>
        <w:ind w:left="216" w:right="216"/>
      </w:pPr>
      <w:r>
        <w:rPr>
          <w:rFonts w:ascii="Courier New" w:hAnsi="Courier New"/>
          <w:sz w:val="17"/>
        </w:rPr>
        <w:t>function generateFollowup(input: CaseEngineInput, reasons: ReasonCode[]): FollowupQuestion | undefined {</w:t>
        <w:br/>
      </w:r>
      <w:r>
        <w:rPr>
          <w:rFonts w:ascii="Courier New" w:hAnsi="Courier New"/>
          <w:sz w:val="17"/>
        </w:rPr>
        <w:t xml:space="preserve">  if (!input.signals.senderType || reasons.includes('SENDER_UNKNOWN')) {</w:t>
        <w:br/>
      </w:r>
      <w:r>
        <w:rPr>
          <w:rFonts w:ascii="Courier New" w:hAnsi="Courier New"/>
          <w:sz w:val="17"/>
        </w:rPr>
        <w:t xml:space="preserve">    return {</w:t>
        <w:br/>
      </w:r>
      <w:r>
        <w:rPr>
          <w:rFonts w:ascii="Courier New" w:hAnsi="Courier New"/>
          <w:sz w:val="17"/>
        </w:rPr>
        <w:t xml:space="preserve">      id: 'sender_type',</w:t>
        <w:br/>
      </w:r>
      <w:r>
        <w:rPr>
          <w:rFonts w:ascii="Courier New" w:hAnsi="Courier New"/>
          <w:sz w:val="17"/>
        </w:rPr>
        <w:t xml:space="preserve">      question: 'Who sent this notice?',</w:t>
        <w:br/>
      </w:r>
      <w:r>
        <w:rPr>
          <w:rFonts w:ascii="Courier New" w:hAnsi="Courier New"/>
          <w:sz w:val="17"/>
        </w:rPr>
        <w:t xml:space="preserve">      options: [</w:t>
        <w:br/>
      </w:r>
      <w:r>
        <w:rPr>
          <w:rFonts w:ascii="Courier New" w:hAnsi="Courier New"/>
          <w:sz w:val="17"/>
        </w:rPr>
        <w:t xml:space="preserve">        { value: 'insurer', label: 'Insurance company' },</w:t>
        <w:br/>
      </w:r>
      <w:r>
        <w:rPr>
          <w:rFonts w:ascii="Courier New" w:hAnsi="Courier New"/>
          <w:sz w:val="17"/>
        </w:rPr>
        <w:t xml:space="preserve">        { value: 'provider', label: 'Doctor, hospital, or provider' },</w:t>
        <w:br/>
      </w:r>
      <w:r>
        <w:rPr>
          <w:rFonts w:ascii="Courier New" w:hAnsi="Courier New"/>
          <w:sz w:val="17"/>
        </w:rPr>
        <w:t xml:space="preserve">        { value: 'collector', label: 'Debt collector or collections agency' },</w:t>
        <w:br/>
      </w:r>
      <w:r>
        <w:rPr>
          <w:rFonts w:ascii="Courier New" w:hAnsi="Courier New"/>
          <w:sz w:val="17"/>
        </w:rPr>
        <w:t xml:space="preserve">      ],</w:t>
        <w:br/>
      </w:r>
      <w:r>
        <w:rPr>
          <w:rFonts w:ascii="Courier New" w:hAnsi="Courier New"/>
          <w:sz w:val="17"/>
        </w:rPr>
        <w:t xml:space="preserve">      reason: 'missing_critical_signal',</w:t>
        <w:br/>
      </w:r>
      <w:r>
        <w:rPr>
          <w:rFonts w:ascii="Courier New" w:hAnsi="Courier New"/>
          <w:sz w:val="17"/>
        </w:rPr>
        <w:t xml:space="preserve">    }</w:t>
        <w:br/>
      </w:r>
      <w:r>
        <w:rPr>
          <w:rFonts w:ascii="Courier New" w:hAnsi="Courier New"/>
          <w:sz w:val="17"/>
        </w:rPr>
        <w:t xml:space="preserve">  }</w:t>
        <w:br/>
      </w:r>
      <w:r>
        <w:rPr>
          <w:rFonts w:ascii="Courier New" w:hAnsi="Courier New"/>
          <w:sz w:val="17"/>
        </w:rPr>
        <w:br/>
      </w:r>
      <w:r>
        <w:rPr>
          <w:rFonts w:ascii="Courier New" w:hAnsi="Courier New"/>
          <w:sz w:val="17"/>
        </w:rPr>
        <w:t xml:space="preserve">  if (!input.signals.documentType || reasons.includes('DOCUMENT_TYPE_UNKNOWN')) {</w:t>
        <w:br/>
      </w:r>
      <w:r>
        <w:rPr>
          <w:rFonts w:ascii="Courier New" w:hAnsi="Courier New"/>
          <w:sz w:val="17"/>
        </w:rPr>
        <w:t xml:space="preserve">    return {</w:t>
        <w:br/>
      </w:r>
      <w:r>
        <w:rPr>
          <w:rFonts w:ascii="Courier New" w:hAnsi="Courier New"/>
          <w:sz w:val="17"/>
        </w:rPr>
        <w:t xml:space="preserve">      id: 'document_type',</w:t>
        <w:br/>
      </w:r>
      <w:r>
        <w:rPr>
          <w:rFonts w:ascii="Courier New" w:hAnsi="Courier New"/>
          <w:sz w:val="17"/>
        </w:rPr>
        <w:t xml:space="preserve">      question: 'Which document do you have?',</w:t>
        <w:br/>
      </w:r>
      <w:r>
        <w:rPr>
          <w:rFonts w:ascii="Courier New" w:hAnsi="Courier New"/>
          <w:sz w:val="17"/>
        </w:rPr>
        <w:t xml:space="preserve">      options: [</w:t>
        <w:br/>
      </w:r>
      <w:r>
        <w:rPr>
          <w:rFonts w:ascii="Courier New" w:hAnsi="Courier New"/>
          <w:sz w:val="17"/>
        </w:rPr>
        <w:t xml:space="preserve">        { value: 'denial_letter', label: 'Denial letter' },</w:t>
        <w:br/>
      </w:r>
      <w:r>
        <w:rPr>
          <w:rFonts w:ascii="Courier New" w:hAnsi="Courier New"/>
          <w:sz w:val="17"/>
        </w:rPr>
        <w:t xml:space="preserve">        { value: 'bill', label: 'Bill or statement' },</w:t>
        <w:br/>
      </w:r>
      <w:r>
        <w:rPr>
          <w:rFonts w:ascii="Courier New" w:hAnsi="Courier New"/>
          <w:sz w:val="17"/>
        </w:rPr>
        <w:t xml:space="preserve">        { value: 'collection_notice', label: 'Collections notice' },</w:t>
        <w:br/>
      </w:r>
      <w:r>
        <w:rPr>
          <w:rFonts w:ascii="Courier New" w:hAnsi="Courier New"/>
          <w:sz w:val="17"/>
        </w:rPr>
        <w:t xml:space="preserve">        { value: 'eob', label: 'Explanation of Benefits' },</w:t>
        <w:br/>
      </w:r>
      <w:r>
        <w:rPr>
          <w:rFonts w:ascii="Courier New" w:hAnsi="Courier New"/>
          <w:sz w:val="17"/>
        </w:rPr>
        <w:t xml:space="preserve">      ],</w:t>
        <w:br/>
      </w:r>
      <w:r>
        <w:rPr>
          <w:rFonts w:ascii="Courier New" w:hAnsi="Courier New"/>
          <w:sz w:val="17"/>
        </w:rPr>
        <w:t xml:space="preserve">      reason: 'low_confidence',</w:t>
        <w:br/>
      </w:r>
      <w:r>
        <w:rPr>
          <w:rFonts w:ascii="Courier New" w:hAnsi="Courier New"/>
          <w:sz w:val="17"/>
        </w:rPr>
        <w:t xml:space="preserve">    }</w:t>
        <w:br/>
      </w:r>
      <w:r>
        <w:rPr>
          <w:rFonts w:ascii="Courier New" w:hAnsi="Courier New"/>
          <w:sz w:val="17"/>
        </w:rPr>
        <w:t xml:space="preserve">  }</w:t>
        <w:br/>
      </w:r>
      <w:r>
        <w:rPr>
          <w:rFonts w:ascii="Courier New" w:hAnsi="Courier New"/>
          <w:sz w:val="17"/>
        </w:rPr>
        <w:br/>
      </w:r>
      <w:r>
        <w:rPr>
          <w:rFonts w:ascii="Courier New" w:hAnsi="Courier New"/>
          <w:sz w:val="17"/>
        </w:rPr>
        <w:t xml:space="preserve">  return undefined</w:t>
        <w:br/>
      </w:r>
      <w:r>
        <w:rPr>
          <w:rFonts w:ascii="Courier New" w:hAnsi="Courier New"/>
          <w:sz w:val="17"/>
        </w:rPr>
        <w:t>}</w:t>
      </w:r>
    </w:p>
    <w:p>
      <w:r>
        <w:t>A seasoned implementation would prefer this bounded recovery path over wider intake complexity at launch.</w:t>
      </w:r>
    </w:p>
    <w:p>
      <w:pPr>
        <w:pStyle w:val="Heading1"/>
      </w:pPr>
      <w:r>
        <w:t>9. Next-Action Router</w:t>
      </w:r>
    </w:p>
    <w:p>
      <w:r>
        <w:t>The engine must not stop at classification. It should map each result into a stable action track.</w:t>
      </w:r>
    </w:p>
    <w:p>
      <w:pPr>
        <w:shd w:fill="F3F5F7"/>
        <w:spacing w:before="80" w:after="160"/>
        <w:ind w:left="216" w:right="216"/>
      </w:pPr>
      <w:r>
        <w:rPr>
          <w:rFonts w:ascii="Courier New" w:hAnsi="Courier New"/>
          <w:sz w:val="17"/>
        </w:rPr>
        <w:t>function mapNextAction(result: { issueSubtype: string }): {</w:t>
        <w:br/>
      </w:r>
      <w:r>
        <w:rPr>
          <w:rFonts w:ascii="Courier New" w:hAnsi="Courier New"/>
          <w:sz w:val="17"/>
        </w:rPr>
        <w:t xml:space="preserve">  nextAction: string</w:t>
        <w:br/>
      </w:r>
      <w:r>
        <w:rPr>
          <w:rFonts w:ascii="Courier New" w:hAnsi="Courier New"/>
          <w:sz w:val="17"/>
        </w:rPr>
        <w:t xml:space="preserve">  actionTrack: 'appeal' | 'dispute' | 'validate_debt' | 'review_documents'</w:t>
        <w:br/>
      </w:r>
      <w:r>
        <w:rPr>
          <w:rFonts w:ascii="Courier New" w:hAnsi="Courier New"/>
          <w:sz w:val="17"/>
        </w:rPr>
        <w:t>} {</w:t>
        <w:br/>
      </w:r>
      <w:r>
        <w:rPr>
          <w:rFonts w:ascii="Courier New" w:hAnsi="Courier New"/>
          <w:sz w:val="17"/>
        </w:rPr>
        <w:t xml:space="preserve">  switch (result.issueSubtype) {</w:t>
        <w:br/>
      </w:r>
      <w:r>
        <w:rPr>
          <w:rFonts w:ascii="Courier New" w:hAnsi="Courier New"/>
          <w:sz w:val="17"/>
        </w:rPr>
        <w:t xml:space="preserve">    case 'coverage_issue':</w:t>
        <w:br/>
      </w:r>
      <w:r>
        <w:rPr>
          <w:rFonts w:ascii="Courier New" w:hAnsi="Courier New"/>
          <w:sz w:val="17"/>
        </w:rPr>
        <w:t xml:space="preserve">      return { nextAction: 'Review the denial and begin an appeal workflow.', actionTrack: 'appeal' }</w:t>
        <w:br/>
      </w:r>
      <w:r>
        <w:rPr>
          <w:rFonts w:ascii="Courier New" w:hAnsi="Courier New"/>
          <w:sz w:val="17"/>
        </w:rPr>
        <w:t xml:space="preserve">    case 'billing_error':</w:t>
        <w:br/>
      </w:r>
      <w:r>
        <w:rPr>
          <w:rFonts w:ascii="Courier New" w:hAnsi="Courier New"/>
          <w:sz w:val="17"/>
        </w:rPr>
        <w:t xml:space="preserve">      return { nextAction: 'Request an itemized review and dispute the provider bill.', actionTrack: 'dispute' }</w:t>
        <w:br/>
      </w:r>
      <w:r>
        <w:rPr>
          <w:rFonts w:ascii="Courier New" w:hAnsi="Courier New"/>
          <w:sz w:val="17"/>
        </w:rPr>
        <w:t xml:space="preserve">    case 'collections':</w:t>
        <w:br/>
      </w:r>
      <w:r>
        <w:rPr>
          <w:rFonts w:ascii="Courier New" w:hAnsi="Courier New"/>
          <w:sz w:val="17"/>
        </w:rPr>
        <w:t xml:space="preserve">      return { nextAction: 'Request written validation of the debt before proceeding.', actionTrack: 'validate_debt' }</w:t>
        <w:br/>
      </w:r>
      <w:r>
        <w:rPr>
          <w:rFonts w:ascii="Courier New" w:hAnsi="Courier New"/>
          <w:sz w:val="17"/>
        </w:rPr>
        <w:t xml:space="preserve">    default:</w:t>
        <w:br/>
      </w:r>
      <w:r>
        <w:rPr>
          <w:rFonts w:ascii="Courier New" w:hAnsi="Courier New"/>
          <w:sz w:val="17"/>
        </w:rPr>
        <w:t xml:space="preserve">      return { nextAction: 'Review the available documents and clarify who sent the notice.', actionTrack: 'review_documents' }</w:t>
        <w:br/>
      </w:r>
      <w:r>
        <w:rPr>
          <w:rFonts w:ascii="Courier New" w:hAnsi="Courier New"/>
          <w:sz w:val="17"/>
        </w:rPr>
        <w:t xml:space="preserve">  }</w:t>
        <w:br/>
      </w:r>
      <w:r>
        <w:rPr>
          <w:rFonts w:ascii="Courier New" w:hAnsi="Courier New"/>
          <w:sz w:val="17"/>
        </w:rPr>
        <w:t>}</w:t>
      </w:r>
    </w:p>
    <w:p>
      <w:r>
        <w:t>The action language should stay operational and calm. It should not promise outcomes or escalate into legal-sounding certainty.</w:t>
      </w:r>
    </w:p>
    <w:p>
      <w:pPr>
        <w:pStyle w:val="Heading1"/>
      </w:pPr>
      <w:r>
        <w:t>10. AI Assist Layer</w:t>
      </w:r>
    </w:p>
    <w:p>
      <w:r>
        <w:t>AI is useful here, but only in a constrained role. A seasoned engineer would isolate it to explanation generation and leave classification under deterministic control.</w:t>
      </w:r>
    </w:p>
    <w:p>
      <w:r>
        <w:t>AI layer rules:</w:t>
      </w:r>
    </w:p>
    <w:p>
      <w:pPr>
        <w:pStyle w:val="ListBullet"/>
        <w:ind w:left="360"/>
      </w:pPr>
      <w:r>
        <w:t>AI cannot modify issueSubtype, entity, actionTrack, or reason codes.</w:t>
      </w:r>
    </w:p>
    <w:p>
      <w:pPr>
        <w:pStyle w:val="ListBullet"/>
        <w:ind w:left="360"/>
      </w:pPr>
      <w:r>
        <w:t>AI receives structured result data only, not raw intake by default.</w:t>
      </w:r>
    </w:p>
    <w:p>
      <w:pPr>
        <w:pStyle w:val="ListBullet"/>
        <w:ind w:left="360"/>
      </w:pPr>
      <w:r>
        <w:t>AI output must be short, plain-language, and bounded.</w:t>
      </w:r>
    </w:p>
    <w:p>
      <w:pPr>
        <w:pStyle w:val="ListBullet"/>
        <w:ind w:left="360"/>
      </w:pPr>
      <w:r>
        <w:t>AI output should include prompt ID and prompt version in the returned metadata.</w:t>
      </w:r>
    </w:p>
    <w:p>
      <w:pPr>
        <w:pStyle w:val="ListBullet"/>
        <w:ind w:left="360"/>
      </w:pPr>
      <w:r>
        <w:t>If AI fails, the engine still returns a valid non-AI result.</w:t>
      </w:r>
    </w:p>
    <w:p>
      <w:pPr>
        <w:pStyle w:val="Heading2"/>
      </w:pPr>
      <w:r>
        <w:t>10.1 Prompt registry pattern</w:t>
      </w:r>
    </w:p>
    <w:p>
      <w:pPr>
        <w:shd w:fill="F3F5F7"/>
        <w:spacing w:before="80" w:after="160"/>
        <w:ind w:left="216" w:right="216"/>
      </w:pPr>
      <w:r>
        <w:rPr>
          <w:rFonts w:ascii="Courier New" w:hAnsi="Courier New"/>
          <w:sz w:val="17"/>
        </w:rPr>
        <w:t>export const CASE_ENGINE_PROMPTS = {</w:t>
        <w:br/>
      </w:r>
      <w:r>
        <w:rPr>
          <w:rFonts w:ascii="Courier New" w:hAnsi="Courier New"/>
          <w:sz w:val="17"/>
        </w:rPr>
        <w:t xml:space="preserve">  EXPLAIN_RESULT_V1: {</w:t>
        <w:br/>
      </w:r>
      <w:r>
        <w:rPr>
          <w:rFonts w:ascii="Courier New" w:hAnsi="Courier New"/>
          <w:sz w:val="17"/>
        </w:rPr>
        <w:t xml:space="preserve">    id: 'explain_result',</w:t>
        <w:br/>
      </w:r>
      <w:r>
        <w:rPr>
          <w:rFonts w:ascii="Courier New" w:hAnsi="Courier New"/>
          <w:sz w:val="17"/>
        </w:rPr>
        <w:t xml:space="preserve">    version: 'v1',</w:t>
        <w:br/>
      </w:r>
      <w:r>
        <w:rPr>
          <w:rFonts w:ascii="Courier New" w:hAnsi="Courier New"/>
          <w:sz w:val="17"/>
        </w:rPr>
        <w:t xml:space="preserve">    purpose: 'Turn a deterministic result into readable user-facing copy.',</w:t>
        <w:br/>
      </w:r>
      <w:r>
        <w:rPr>
          <w:rFonts w:ascii="Courier New" w:hAnsi="Courier New"/>
          <w:sz w:val="17"/>
        </w:rPr>
        <w:t xml:space="preserve">    template: `</w:t>
        <w:br/>
      </w:r>
      <w:r>
        <w:rPr>
          <w:rFonts w:ascii="Courier New" w:hAnsi="Courier New"/>
          <w:sz w:val="17"/>
        </w:rPr>
        <w:t>You are helping format a healthcare advocacy case result.</w:t>
        <w:br/>
      </w:r>
      <w:r>
        <w:rPr>
          <w:rFonts w:ascii="Courier New" w:hAnsi="Courier New"/>
          <w:sz w:val="17"/>
        </w:rPr>
        <w:t>Do not change the classification. Do not introduce new facts.</w:t>
        <w:br/>
      </w:r>
      <w:r>
        <w:rPr>
          <w:rFonts w:ascii="Courier New" w:hAnsi="Courier New"/>
          <w:sz w:val="17"/>
        </w:rPr>
        <w:t>Keep the explanation calm, direct, and actionable.</w:t>
        <w:br/>
      </w:r>
      <w:r>
        <w:rPr>
          <w:rFonts w:ascii="Courier New" w:hAnsi="Courier New"/>
          <w:sz w:val="17"/>
        </w:rPr>
        <w:br/>
      </w:r>
      <w:r>
        <w:rPr>
          <w:rFonts w:ascii="Courier New" w:hAnsi="Courier New"/>
          <w:sz w:val="17"/>
        </w:rPr>
        <w:t>Issue subtype: {{issueSubtype}}</w:t>
        <w:br/>
      </w:r>
      <w:r>
        <w:rPr>
          <w:rFonts w:ascii="Courier New" w:hAnsi="Courier New"/>
          <w:sz w:val="17"/>
        </w:rPr>
        <w:t>Entity: {{entity}}</w:t>
        <w:br/>
      </w:r>
      <w:r>
        <w:rPr>
          <w:rFonts w:ascii="Courier New" w:hAnsi="Courier New"/>
          <w:sz w:val="17"/>
        </w:rPr>
        <w:t>Next action: {{nextAction}}</w:t>
        <w:br/>
      </w:r>
      <w:r>
        <w:rPr>
          <w:rFonts w:ascii="Courier New" w:hAnsi="Courier New"/>
          <w:sz w:val="17"/>
        </w:rPr>
        <w:t>Confidence band: {{confidenceBand}}</w:t>
        <w:br/>
      </w:r>
      <w:r>
        <w:rPr>
          <w:rFonts w:ascii="Courier New" w:hAnsi="Courier New"/>
          <w:sz w:val="17"/>
        </w:rPr>
        <w:br/>
      </w:r>
      <w:r>
        <w:rPr>
          <w:rFonts w:ascii="Courier New" w:hAnsi="Courier New"/>
          <w:sz w:val="17"/>
        </w:rPr>
        <w:t>Write 2 to 4 short sentences in plain English.</w:t>
        <w:br/>
      </w:r>
      <w:r>
        <w:rPr>
          <w:rFonts w:ascii="Courier New" w:hAnsi="Courier New"/>
          <w:sz w:val="17"/>
        </w:rPr>
        <w:t>Avoid legal advice and avoid guarantees.</w:t>
        <w:br/>
      </w:r>
      <w:r>
        <w:rPr>
          <w:rFonts w:ascii="Courier New" w:hAnsi="Courier New"/>
          <w:sz w:val="17"/>
        </w:rPr>
        <w:t>`,</w:t>
        <w:br/>
      </w:r>
      <w:r>
        <w:rPr>
          <w:rFonts w:ascii="Courier New" w:hAnsi="Courier New"/>
          <w:sz w:val="17"/>
        </w:rPr>
        <w:t xml:space="preserve">  },</w:t>
        <w:br/>
      </w:r>
      <w:r>
        <w:rPr>
          <w:rFonts w:ascii="Courier New" w:hAnsi="Courier New"/>
          <w:sz w:val="17"/>
        </w:rPr>
        <w:t>}</w:t>
      </w:r>
    </w:p>
    <w:p>
      <w:pPr>
        <w:pStyle w:val="Heading2"/>
      </w:pPr>
      <w:r>
        <w:t>10.2 Explanation function</w:t>
      </w:r>
    </w:p>
    <w:p>
      <w:pPr>
        <w:shd w:fill="F3F5F7"/>
        <w:spacing w:before="80" w:after="160"/>
        <w:ind w:left="216" w:right="216"/>
      </w:pPr>
      <w:r>
        <w:rPr>
          <w:rFonts w:ascii="Courier New" w:hAnsi="Courier New"/>
          <w:sz w:val="17"/>
        </w:rPr>
        <w:t>async function generateExplanation(result: CaseEngineResult) {</w:t>
        <w:br/>
      </w:r>
      <w:r>
        <w:rPr>
          <w:rFonts w:ascii="Courier New" w:hAnsi="Courier New"/>
          <w:sz w:val="17"/>
        </w:rPr>
        <w:t xml:space="preserve">  // call provider through abstraction</w:t>
        <w:br/>
      </w:r>
      <w:r>
        <w:rPr>
          <w:rFonts w:ascii="Courier New" w:hAnsi="Courier New"/>
          <w:sz w:val="17"/>
        </w:rPr>
        <w:t xml:space="preserve">  // if call fails, return undefined and keep core result intact</w:t>
        <w:br/>
      </w:r>
      <w:r>
        <w:rPr>
          <w:rFonts w:ascii="Courier New" w:hAnsi="Courier New"/>
          <w:sz w:val="17"/>
        </w:rPr>
        <w:t xml:space="preserve">  return {</w:t>
        <w:br/>
      </w:r>
      <w:r>
        <w:rPr>
          <w:rFonts w:ascii="Courier New" w:hAnsi="Courier New"/>
          <w:sz w:val="17"/>
        </w:rPr>
        <w:t xml:space="preserve">    text: 'This looks most like a provider billing issue. Start by reviewing the bill and requesting an itemized explanation before disputing the charge.',</w:t>
        <w:br/>
      </w:r>
      <w:r>
        <w:rPr>
          <w:rFonts w:ascii="Courier New" w:hAnsi="Courier New"/>
          <w:sz w:val="17"/>
        </w:rPr>
        <w:t xml:space="preserve">    promptId: 'explain_result',</w:t>
        <w:br/>
      </w:r>
      <w:r>
        <w:rPr>
          <w:rFonts w:ascii="Courier New" w:hAnsi="Courier New"/>
          <w:sz w:val="17"/>
        </w:rPr>
        <w:t xml:space="preserve">    promptVersion: 'v1',</w:t>
        <w:br/>
      </w:r>
      <w:r>
        <w:rPr>
          <w:rFonts w:ascii="Courier New" w:hAnsi="Courier New"/>
          <w:sz w:val="17"/>
        </w:rPr>
        <w:t xml:space="preserve">    modelTier: 'haiku',</w:t>
        <w:br/>
      </w:r>
      <w:r>
        <w:rPr>
          <w:rFonts w:ascii="Courier New" w:hAnsi="Courier New"/>
          <w:sz w:val="17"/>
        </w:rPr>
        <w:t xml:space="preserve">  }</w:t>
        <w:br/>
      </w:r>
      <w:r>
        <w:rPr>
          <w:rFonts w:ascii="Courier New" w:hAnsi="Courier New"/>
          <w:sz w:val="17"/>
        </w:rPr>
        <w:t>}</w:t>
      </w:r>
    </w:p>
    <w:p>
      <w:pPr>
        <w:pStyle w:val="Heading1"/>
      </w:pPr>
      <w:r>
        <w:t>11. Engine Runner</w:t>
      </w:r>
    </w:p>
    <w:p>
      <w:r>
        <w:t>The engine runner should orchestrate validation, rules, confidence, follow-up, routing, and optional explanation in one controlled entry point.</w:t>
      </w:r>
    </w:p>
    <w:p>
      <w:pPr>
        <w:shd w:fill="F3F5F7"/>
        <w:spacing w:before="80" w:after="160"/>
        <w:ind w:left="216" w:right="216"/>
      </w:pPr>
      <w:r>
        <w:rPr>
          <w:rFonts w:ascii="Courier New" w:hAnsi="Courier New"/>
          <w:sz w:val="17"/>
        </w:rPr>
        <w:t>export async function runCaseEngine(rawInput: unknown): Promise&lt;CaseEngineResult&gt; {</w:t>
        <w:br/>
      </w:r>
      <w:r>
        <w:rPr>
          <w:rFonts w:ascii="Courier New" w:hAnsi="Courier New"/>
          <w:sz w:val="17"/>
        </w:rPr>
        <w:t xml:space="preserve">  const input = CaseEngineInputSchema.parse(rawInput)</w:t>
        <w:br/>
      </w:r>
      <w:r>
        <w:rPr>
          <w:rFonts w:ascii="Courier New" w:hAnsi="Courier New"/>
          <w:sz w:val="17"/>
        </w:rPr>
        <w:br/>
      </w:r>
      <w:r>
        <w:rPr>
          <w:rFonts w:ascii="Courier New" w:hAnsi="Courier New"/>
          <w:sz w:val="17"/>
        </w:rPr>
        <w:t xml:space="preserve">  const classification = classify(input)</w:t>
        <w:br/>
      </w:r>
      <w:r>
        <w:rPr>
          <w:rFonts w:ascii="Courier New" w:hAnsi="Courier New"/>
          <w:sz w:val="17"/>
        </w:rPr>
        <w:t xml:space="preserve">  const confidence = scoreConfidence(classification.reasons)</w:t>
        <w:br/>
      </w:r>
      <w:r>
        <w:rPr>
          <w:rFonts w:ascii="Courier New" w:hAnsi="Courier New"/>
          <w:sz w:val="17"/>
        </w:rPr>
        <w:t xml:space="preserve">  const confidenceBand =</w:t>
        <w:br/>
      </w:r>
      <w:r>
        <w:rPr>
          <w:rFonts w:ascii="Courier New" w:hAnsi="Courier New"/>
          <w:sz w:val="17"/>
        </w:rPr>
        <w:t xml:space="preserve">    confidence &gt;= 80 ? 'high' :</w:t>
        <w:br/>
      </w:r>
      <w:r>
        <w:rPr>
          <w:rFonts w:ascii="Courier New" w:hAnsi="Courier New"/>
          <w:sz w:val="17"/>
        </w:rPr>
        <w:t xml:space="preserve">    confidence &gt;= 50 ? 'medium' :</w:t>
        <w:br/>
      </w:r>
      <w:r>
        <w:rPr>
          <w:rFonts w:ascii="Courier New" w:hAnsi="Courier New"/>
          <w:sz w:val="17"/>
        </w:rPr>
        <w:t xml:space="preserve">    'low'</w:t>
        <w:br/>
      </w:r>
      <w:r>
        <w:rPr>
          <w:rFonts w:ascii="Courier New" w:hAnsi="Courier New"/>
          <w:sz w:val="17"/>
        </w:rPr>
        <w:br/>
      </w:r>
      <w:r>
        <w:rPr>
          <w:rFonts w:ascii="Courier New" w:hAnsi="Courier New"/>
          <w:sz w:val="17"/>
        </w:rPr>
        <w:t xml:space="preserve">  const requiresFollowup =</w:t>
        <w:br/>
      </w:r>
      <w:r>
        <w:rPr>
          <w:rFonts w:ascii="Courier New" w:hAnsi="Courier New"/>
          <w:sz w:val="17"/>
        </w:rPr>
        <w:t xml:space="preserve">    confidenceBand === 'low'</w:t>
        <w:br/>
      </w:r>
      <w:r>
        <w:rPr>
          <w:rFonts w:ascii="Courier New" w:hAnsi="Courier New"/>
          <w:sz w:val="17"/>
        </w:rPr>
        <w:t xml:space="preserve">    || classification.reasons.includes('CONFLICTING_SIGNALS')</w:t>
        <w:br/>
      </w:r>
      <w:r>
        <w:rPr>
          <w:rFonts w:ascii="Courier New" w:hAnsi="Courier New"/>
          <w:sz w:val="17"/>
        </w:rPr>
        <w:t xml:space="preserve">    || classification.reasons.includes('SENDER_UNKNOWN')</w:t>
        <w:br/>
      </w:r>
      <w:r>
        <w:rPr>
          <w:rFonts w:ascii="Courier New" w:hAnsi="Courier New"/>
          <w:sz w:val="17"/>
        </w:rPr>
        <w:br/>
      </w:r>
      <w:r>
        <w:rPr>
          <w:rFonts w:ascii="Courier New" w:hAnsi="Courier New"/>
          <w:sz w:val="17"/>
        </w:rPr>
        <w:t xml:space="preserve">  const followupQuestion = requiresFollowup</w:t>
        <w:br/>
      </w:r>
      <w:r>
        <w:rPr>
          <w:rFonts w:ascii="Courier New" w:hAnsi="Courier New"/>
          <w:sz w:val="17"/>
        </w:rPr>
        <w:t xml:space="preserve">    ? generateFollowup(input, classification.reasons)</w:t>
        <w:br/>
      </w:r>
      <w:r>
        <w:rPr>
          <w:rFonts w:ascii="Courier New" w:hAnsi="Courier New"/>
          <w:sz w:val="17"/>
        </w:rPr>
        <w:t xml:space="preserve">    : undefined</w:t>
        <w:br/>
      </w:r>
      <w:r>
        <w:rPr>
          <w:rFonts w:ascii="Courier New" w:hAnsi="Courier New"/>
          <w:sz w:val="17"/>
        </w:rPr>
        <w:br/>
      </w:r>
      <w:r>
        <w:rPr>
          <w:rFonts w:ascii="Courier New" w:hAnsi="Courier New"/>
          <w:sz w:val="17"/>
        </w:rPr>
        <w:t xml:space="preserve">  const { nextAction, actionTrack } = mapNextAction(classification)</w:t>
        <w:br/>
      </w:r>
      <w:r>
        <w:rPr>
          <w:rFonts w:ascii="Courier New" w:hAnsi="Courier New"/>
          <w:sz w:val="17"/>
        </w:rPr>
        <w:br/>
      </w:r>
      <w:r>
        <w:rPr>
          <w:rFonts w:ascii="Courier New" w:hAnsi="Courier New"/>
          <w:sz w:val="17"/>
        </w:rPr>
        <w:t xml:space="preserve">  let result: CaseEngineResult = {</w:t>
        <w:br/>
      </w:r>
      <w:r>
        <w:rPr>
          <w:rFonts w:ascii="Courier New" w:hAnsi="Courier New"/>
          <w:sz w:val="17"/>
        </w:rPr>
        <w:t xml:space="preserve">    issueSubtype: classification.issueSubtype,</w:t>
        <w:br/>
      </w:r>
      <w:r>
        <w:rPr>
          <w:rFonts w:ascii="Courier New" w:hAnsi="Courier New"/>
          <w:sz w:val="17"/>
        </w:rPr>
        <w:t xml:space="preserve">    entity: classification.entity,</w:t>
        <w:br/>
      </w:r>
      <w:r>
        <w:rPr>
          <w:rFonts w:ascii="Courier New" w:hAnsi="Courier New"/>
          <w:sz w:val="17"/>
        </w:rPr>
        <w:t xml:space="preserve">    confidence,</w:t>
        <w:br/>
      </w:r>
      <w:r>
        <w:rPr>
          <w:rFonts w:ascii="Courier New" w:hAnsi="Courier New"/>
          <w:sz w:val="17"/>
        </w:rPr>
        <w:t xml:space="preserve">    confidenceBand,</w:t>
        <w:br/>
      </w:r>
      <w:r>
        <w:rPr>
          <w:rFonts w:ascii="Courier New" w:hAnsi="Courier New"/>
          <w:sz w:val="17"/>
        </w:rPr>
        <w:t xml:space="preserve">    reasonCodes: classification.reasons,</w:t>
        <w:br/>
      </w:r>
      <w:r>
        <w:rPr>
          <w:rFonts w:ascii="Courier New" w:hAnsi="Courier New"/>
          <w:sz w:val="17"/>
        </w:rPr>
        <w:t xml:space="preserve">    nextAction,</w:t>
        <w:br/>
      </w:r>
      <w:r>
        <w:rPr>
          <w:rFonts w:ascii="Courier New" w:hAnsi="Courier New"/>
          <w:sz w:val="17"/>
        </w:rPr>
        <w:t xml:space="preserve">    actionTrack,</w:t>
        <w:br/>
      </w:r>
      <w:r>
        <w:rPr>
          <w:rFonts w:ascii="Courier New" w:hAnsi="Courier New"/>
          <w:sz w:val="17"/>
        </w:rPr>
        <w:t xml:space="preserve">    requiresFollowup,</w:t>
        <w:br/>
      </w:r>
      <w:r>
        <w:rPr>
          <w:rFonts w:ascii="Courier New" w:hAnsi="Courier New"/>
          <w:sz w:val="17"/>
        </w:rPr>
        <w:t xml:space="preserve">    followupQuestion,</w:t>
        <w:br/>
      </w:r>
      <w:r>
        <w:rPr>
          <w:rFonts w:ascii="Courier New" w:hAnsi="Courier New"/>
          <w:sz w:val="17"/>
        </w:rPr>
        <w:t xml:space="preserve">    disclaimer: 'This guidance is an advocacy-oriented starting point and does not constitute legal or medical advice.',</w:t>
        <w:br/>
      </w:r>
      <w:r>
        <w:rPr>
          <w:rFonts w:ascii="Courier New" w:hAnsi="Courier New"/>
          <w:sz w:val="17"/>
        </w:rPr>
        <w:t xml:space="preserve">  }</w:t>
        <w:br/>
      </w:r>
      <w:r>
        <w:rPr>
          <w:rFonts w:ascii="Courier New" w:hAnsi="Courier New"/>
          <w:sz w:val="17"/>
        </w:rPr>
        <w:br/>
      </w:r>
      <w:r>
        <w:rPr>
          <w:rFonts w:ascii="Courier New" w:hAnsi="Courier New"/>
          <w:sz w:val="17"/>
        </w:rPr>
        <w:t xml:space="preserve">  if (!requiresFollowup) {</w:t>
        <w:br/>
      </w:r>
      <w:r>
        <w:rPr>
          <w:rFonts w:ascii="Courier New" w:hAnsi="Courier New"/>
          <w:sz w:val="17"/>
        </w:rPr>
        <w:t xml:space="preserve">    try {</w:t>
        <w:br/>
      </w:r>
      <w:r>
        <w:rPr>
          <w:rFonts w:ascii="Courier New" w:hAnsi="Courier New"/>
          <w:sz w:val="17"/>
        </w:rPr>
        <w:t xml:space="preserve">      const explanation = await generateExplanation(result)</w:t>
        <w:br/>
      </w:r>
      <w:r>
        <w:rPr>
          <w:rFonts w:ascii="Courier New" w:hAnsi="Courier New"/>
          <w:sz w:val="17"/>
        </w:rPr>
        <w:t xml:space="preserve">      result = { ...result, explanation }</w:t>
        <w:br/>
      </w:r>
      <w:r>
        <w:rPr>
          <w:rFonts w:ascii="Courier New" w:hAnsi="Courier New"/>
          <w:sz w:val="17"/>
        </w:rPr>
        <w:t xml:space="preserve">    } catch {</w:t>
        <w:br/>
      </w:r>
      <w:r>
        <w:rPr>
          <w:rFonts w:ascii="Courier New" w:hAnsi="Courier New"/>
          <w:sz w:val="17"/>
        </w:rPr>
        <w:t xml:space="preserve">      // explanation is optional; core result remains valid</w:t>
        <w:br/>
      </w:r>
      <w:r>
        <w:rPr>
          <w:rFonts w:ascii="Courier New" w:hAnsi="Courier New"/>
          <w:sz w:val="17"/>
        </w:rPr>
        <w:t xml:space="preserve">    }</w:t>
        <w:br/>
      </w:r>
      <w:r>
        <w:rPr>
          <w:rFonts w:ascii="Courier New" w:hAnsi="Courier New"/>
          <w:sz w:val="17"/>
        </w:rPr>
        <w:t xml:space="preserve">  }</w:t>
        <w:br/>
      </w:r>
      <w:r>
        <w:rPr>
          <w:rFonts w:ascii="Courier New" w:hAnsi="Courier New"/>
          <w:sz w:val="17"/>
        </w:rPr>
        <w:br/>
      </w:r>
      <w:r>
        <w:rPr>
          <w:rFonts w:ascii="Courier New" w:hAnsi="Courier New"/>
          <w:sz w:val="17"/>
        </w:rPr>
        <w:t xml:space="preserve">  return result</w:t>
        <w:br/>
      </w:r>
      <w:r>
        <w:rPr>
          <w:rFonts w:ascii="Courier New" w:hAnsi="Courier New"/>
          <w:sz w:val="17"/>
        </w:rPr>
        <w:t>}</w:t>
      </w:r>
    </w:p>
    <w:p>
      <w:pPr>
        <w:pStyle w:val="Heading1"/>
      </w:pPr>
      <w:r>
        <w:t>12. Security and Hardening Controls</w:t>
      </w:r>
    </w:p>
    <w:p>
      <w:r>
        <w:t>The following controls should be installed now, not later.</w:t>
      </w:r>
    </w:p>
    <w:p>
      <w:pPr>
        <w:pStyle w:val="Heading2"/>
      </w:pPr>
      <w:r>
        <w:t>12.1 Rate limiting</w:t>
      </w:r>
    </w:p>
    <w:p>
      <w:r>
        <w:t>Any new engine endpoint should be rate limited using the Upstash stack already present in the repo. Use IP-based limits for unauthenticated routes and user-based limits for authenticated ones. This is especially important for public-facing tools close to launch.</w:t>
      </w:r>
    </w:p>
    <w:p>
      <w:pPr>
        <w:pStyle w:val="Heading2"/>
      </w:pPr>
      <w:r>
        <w:t>12.2 No raw payload logging</w:t>
      </w:r>
    </w:p>
    <w:p>
      <w:r>
        <w:t>Do not log raw free-text notes, uploaded document text, or full prompts in default runtime logs. Prefer reason codes, confidence, prompt version, and normalized signal summaries.</w:t>
      </w:r>
    </w:p>
    <w:p>
      <w:pPr>
        <w:pStyle w:val="Heading2"/>
      </w:pPr>
      <w:r>
        <w:t>12.3 Fixed disclaimer injection</w:t>
      </w:r>
    </w:p>
    <w:p>
      <w:r>
        <w:t>Do not let the explanation prompt decide whether or how to include the disclaimer. The disclaimer should be appended by code as a fixed string.</w:t>
      </w:r>
    </w:p>
    <w:p>
      <w:pPr>
        <w:pStyle w:val="Heading2"/>
      </w:pPr>
      <w:r>
        <w:t>12.4 Feature flag / kill switch</w:t>
      </w:r>
    </w:p>
    <w:p>
      <w:r>
        <w:t>Install a simple config flag that can disable the AI explanation layer without disabling deterministic routing. This provides a safe rollback path if explanation quality regresses.</w:t>
      </w:r>
    </w:p>
    <w:p>
      <w:pPr>
        <w:pStyle w:val="Heading2"/>
      </w:pPr>
      <w:r>
        <w:t>12.5 Prompt version tracking</w:t>
      </w:r>
    </w:p>
    <w:p>
      <w:r>
        <w:t>Store prompt ID and version on every AI-assisted explanation event and, if persisted, alongside the engine result summary.</w:t>
      </w:r>
    </w:p>
    <w:p>
      <w:pPr>
        <w:pStyle w:val="Heading1"/>
      </w:pPr>
      <w:r>
        <w:t>13. Observability and Telemetry</w:t>
      </w:r>
    </w:p>
    <w:p>
      <w:r>
        <w:t>MyAdvocate already uses no-PII event patterns. The engine should follow the same discipline.</w:t>
      </w:r>
    </w:p>
    <w:p>
      <w:pPr>
        <w:shd w:fill="F3F5F7"/>
        <w:spacing w:before="80" w:after="160"/>
        <w:ind w:left="216" w:right="216"/>
      </w:pPr>
      <w:r>
        <w:rPr>
          <w:rFonts w:ascii="Courier New" w:hAnsi="Courier New"/>
          <w:sz w:val="17"/>
        </w:rPr>
        <w:t>type EngineTelemetryEvent = {</w:t>
        <w:br/>
      </w:r>
      <w:r>
        <w:rPr>
          <w:rFonts w:ascii="Courier New" w:hAnsi="Courier New"/>
          <w:sz w:val="17"/>
        </w:rPr>
        <w:t xml:space="preserve">  eventType:</w:t>
        <w:br/>
      </w:r>
      <w:r>
        <w:rPr>
          <w:rFonts w:ascii="Courier New" w:hAnsi="Courier New"/>
          <w:sz w:val="17"/>
        </w:rPr>
        <w:t xml:space="preserve">    | 'engine_classified'</w:t>
        <w:br/>
      </w:r>
      <w:r>
        <w:rPr>
          <w:rFonts w:ascii="Courier New" w:hAnsi="Courier New"/>
          <w:sz w:val="17"/>
        </w:rPr>
        <w:t xml:space="preserve">    | 'engine_followup_requested'</w:t>
        <w:br/>
      </w:r>
      <w:r>
        <w:rPr>
          <w:rFonts w:ascii="Courier New" w:hAnsi="Courier New"/>
          <w:sz w:val="17"/>
        </w:rPr>
        <w:t xml:space="preserve">    | 'engine_unknown_result'</w:t>
        <w:br/>
      </w:r>
      <w:r>
        <w:rPr>
          <w:rFonts w:ascii="Courier New" w:hAnsi="Courier New"/>
          <w:sz w:val="17"/>
        </w:rPr>
        <w:t xml:space="preserve">    | 'engine_explanation_failed'</w:t>
        <w:br/>
      </w:r>
      <w:r>
        <w:rPr>
          <w:rFonts w:ascii="Courier New" w:hAnsi="Courier New"/>
          <w:sz w:val="17"/>
        </w:rPr>
        <w:br/>
      </w:r>
      <w:r>
        <w:rPr>
          <w:rFonts w:ascii="Courier New" w:hAnsi="Courier New"/>
          <w:sz w:val="17"/>
        </w:rPr>
        <w:t xml:space="preserve">  caseId: string</w:t>
        <w:br/>
      </w:r>
      <w:r>
        <w:rPr>
          <w:rFonts w:ascii="Courier New" w:hAnsi="Courier New"/>
          <w:sz w:val="17"/>
        </w:rPr>
        <w:t xml:space="preserve">  issueSubtype?: 'collections' | 'coverage_issue' | 'billing_error' | 'unknown'</w:t>
        <w:br/>
      </w:r>
      <w:r>
        <w:rPr>
          <w:rFonts w:ascii="Courier New" w:hAnsi="Courier New"/>
          <w:sz w:val="17"/>
        </w:rPr>
        <w:t xml:space="preserve">  entity?: 'insurer' | 'provider' | 'collector' | 'mixed' | 'unknown'</w:t>
        <w:br/>
      </w:r>
      <w:r>
        <w:rPr>
          <w:rFonts w:ascii="Courier New" w:hAnsi="Courier New"/>
          <w:sz w:val="17"/>
        </w:rPr>
        <w:t xml:space="preserve">  confidence?: number</w:t>
        <w:br/>
      </w:r>
      <w:r>
        <w:rPr>
          <w:rFonts w:ascii="Courier New" w:hAnsi="Courier New"/>
          <w:sz w:val="17"/>
        </w:rPr>
        <w:t xml:space="preserve">  confidenceBand?: 'high' | 'medium' | 'low'</w:t>
        <w:br/>
      </w:r>
      <w:r>
        <w:rPr>
          <w:rFonts w:ascii="Courier New" w:hAnsi="Courier New"/>
          <w:sz w:val="17"/>
        </w:rPr>
        <w:t xml:space="preserve">  reasonCodes?: ReasonCode[]</w:t>
        <w:br/>
      </w:r>
      <w:r>
        <w:rPr>
          <w:rFonts w:ascii="Courier New" w:hAnsi="Courier New"/>
          <w:sz w:val="17"/>
        </w:rPr>
        <w:t xml:space="preserve">  followupTriggered?: boolean</w:t>
        <w:br/>
      </w:r>
      <w:r>
        <w:rPr>
          <w:rFonts w:ascii="Courier New" w:hAnsi="Courier New"/>
          <w:sz w:val="17"/>
        </w:rPr>
        <w:t xml:space="preserve">  promptId?: string</w:t>
        <w:br/>
      </w:r>
      <w:r>
        <w:rPr>
          <w:rFonts w:ascii="Courier New" w:hAnsi="Courier New"/>
          <w:sz w:val="17"/>
        </w:rPr>
        <w:t xml:space="preserve">  promptVersion?: string</w:t>
        <w:br/>
      </w:r>
      <w:r>
        <w:rPr>
          <w:rFonts w:ascii="Courier New" w:hAnsi="Courier New"/>
          <w:sz w:val="17"/>
        </w:rPr>
        <w:t>}</w:t>
      </w:r>
    </w:p>
    <w:p>
      <w:r>
        <w:t>Telemetry rules:</w:t>
      </w:r>
    </w:p>
    <w:p>
      <w:pPr>
        <w:pStyle w:val="ListBullet"/>
        <w:ind w:left="360"/>
      </w:pPr>
      <w:r>
        <w:t>Non-blocking writes only. User flow must not fail because analytics failed.</w:t>
      </w:r>
    </w:p>
    <w:p>
      <w:pPr>
        <w:pStyle w:val="ListBullet"/>
        <w:ind w:left="360"/>
      </w:pPr>
      <w:r>
        <w:t>No PII, no raw uploaded text, no raw prompt bodies in event payloads.</w:t>
      </w:r>
    </w:p>
    <w:p>
      <w:pPr>
        <w:pStyle w:val="ListBullet"/>
        <w:ind w:left="360"/>
      </w:pPr>
      <w:r>
        <w:t>Use case ID and bounded classification fields only.</w:t>
      </w:r>
    </w:p>
    <w:p>
      <w:pPr>
        <w:pStyle w:val="ListBullet"/>
        <w:ind w:left="360"/>
      </w:pPr>
      <w:r>
        <w:t>Emit a distinct event when the explanation layer fails so debugging can separate classification quality from AI reliability.</w:t>
      </w:r>
    </w:p>
    <w:p>
      <w:pPr>
        <w:pStyle w:val="Heading1"/>
      </w:pPr>
      <w:r>
        <w:t>14. Debugging Model</w:t>
      </w:r>
    </w:p>
    <w:p>
      <w:r>
        <w:t>A seasoned implementation would design debugging before launch, not after the first bad case.</w:t>
      </w:r>
    </w:p>
    <w:p>
      <w:r>
        <w:t>Recommended debug surfaces:</w:t>
      </w:r>
    </w:p>
    <w:p>
      <w:pPr>
        <w:pStyle w:val="ListBullet"/>
        <w:ind w:left="360"/>
      </w:pPr>
      <w:r>
        <w:t>Normalized engine input</w:t>
      </w:r>
    </w:p>
    <w:p>
      <w:pPr>
        <w:pStyle w:val="ListBullet"/>
        <w:ind w:left="360"/>
      </w:pPr>
      <w:r>
        <w:t>Returned issueSubtype and entity</w:t>
      </w:r>
    </w:p>
    <w:p>
      <w:pPr>
        <w:pStyle w:val="ListBullet"/>
        <w:ind w:left="360"/>
      </w:pPr>
      <w:r>
        <w:t>Confidence score and confidence band</w:t>
      </w:r>
    </w:p>
    <w:p>
      <w:pPr>
        <w:pStyle w:val="ListBullet"/>
        <w:ind w:left="360"/>
      </w:pPr>
      <w:r>
        <w:t>Reason codes</w:t>
      </w:r>
    </w:p>
    <w:p>
      <w:pPr>
        <w:pStyle w:val="ListBullet"/>
        <w:ind w:left="360"/>
      </w:pPr>
      <w:r>
        <w:t>Whether follow-up triggered</w:t>
      </w:r>
    </w:p>
    <w:p>
      <w:pPr>
        <w:pStyle w:val="ListBullet"/>
        <w:ind w:left="360"/>
      </w:pPr>
      <w:r>
        <w:t>Prompt version used for explanation</w:t>
      </w:r>
    </w:p>
    <w:p>
      <w:pPr>
        <w:pStyle w:val="ListBullet"/>
        <w:ind w:left="360"/>
      </w:pPr>
      <w:r>
        <w:t>Any explanation-layer failure state</w:t>
      </w:r>
    </w:p>
    <w:p>
      <w:r>
        <w:t>Debug process for any bad case:</w:t>
      </w:r>
    </w:p>
    <w:p>
      <w:pPr>
        <w:pStyle w:val="ListBullet"/>
        <w:ind w:left="360"/>
      </w:pPr>
      <w:r>
        <w:t>Capture the failing case as a fixture.</w:t>
      </w:r>
    </w:p>
    <w:p>
      <w:pPr>
        <w:pStyle w:val="ListBullet"/>
        <w:ind w:left="360"/>
      </w:pPr>
      <w:r>
        <w:t>Inspect normalized input.</w:t>
      </w:r>
    </w:p>
    <w:p>
      <w:pPr>
        <w:pStyle w:val="ListBullet"/>
        <w:ind w:left="360"/>
      </w:pPr>
      <w:r>
        <w:t>Inspect reason codes.</w:t>
      </w:r>
    </w:p>
    <w:p>
      <w:pPr>
        <w:pStyle w:val="ListBullet"/>
        <w:ind w:left="360"/>
      </w:pPr>
      <w:r>
        <w:t>Compare expected classification vs actual classification.</w:t>
      </w:r>
    </w:p>
    <w:p>
      <w:pPr>
        <w:pStyle w:val="ListBullet"/>
        <w:ind w:left="360"/>
      </w:pPr>
      <w:r>
        <w:t>Decide whether the fix belongs in signal normalization, rules, confidence scoring, follow-up, or explanation formatting.</w:t>
      </w:r>
    </w:p>
    <w:p>
      <w:pPr>
        <w:pStyle w:val="ListBullet"/>
        <w:ind w:left="360"/>
      </w:pPr>
      <w:r>
        <w:t>Add a regression test before changing logic.</w:t>
      </w:r>
    </w:p>
    <w:p>
      <w:r>
        <w:t>A small founder-only debug panel is strongly recommended, but even a structured internal JSON view is enough for launch.</w:t>
      </w:r>
    </w:p>
    <w:p>
      <w:pPr>
        <w:pStyle w:val="Heading1"/>
      </w:pPr>
      <w:r>
        <w:t>15. Test Strategy and Fixture Library</w:t>
      </w:r>
    </w:p>
    <w:p>
      <w:r>
        <w:t>The engine should ship with a fixture-driven test library. Every later bug becomes another fixture.</w:t>
      </w:r>
    </w:p>
    <w:p>
      <w:pPr>
        <w:pStyle w:val="Heading2"/>
      </w:pPr>
      <w:r>
        <w:t>15.1 Minimum fixture set</w:t>
      </w:r>
    </w:p>
    <w:p>
      <w:pPr>
        <w:pStyle w:val="ListBullet"/>
        <w:ind w:left="360"/>
      </w:pPr>
      <w:r>
        <w:t>clear_collections_notice</w:t>
      </w:r>
    </w:p>
    <w:p>
      <w:pPr>
        <w:pStyle w:val="ListBullet"/>
        <w:ind w:left="360"/>
      </w:pPr>
      <w:r>
        <w:t>clear_denial_letter</w:t>
      </w:r>
    </w:p>
    <w:p>
      <w:pPr>
        <w:pStyle w:val="ListBullet"/>
        <w:ind w:left="360"/>
      </w:pPr>
      <w:r>
        <w:t>clear_provider_bill</w:t>
      </w:r>
    </w:p>
    <w:p>
      <w:pPr>
        <w:pStyle w:val="ListBullet"/>
        <w:ind w:left="360"/>
      </w:pPr>
      <w:r>
        <w:t>mixed_bill_and_denial</w:t>
      </w:r>
    </w:p>
    <w:p>
      <w:pPr>
        <w:pStyle w:val="ListBullet"/>
        <w:ind w:left="360"/>
      </w:pPr>
      <w:r>
        <w:t>sender_unknown_with_bill</w:t>
      </w:r>
    </w:p>
    <w:p>
      <w:pPr>
        <w:pStyle w:val="ListBullet"/>
        <w:ind w:left="360"/>
      </w:pPr>
      <w:r>
        <w:t>document_unknown_low_signal</w:t>
      </w:r>
    </w:p>
    <w:p>
      <w:pPr>
        <w:pStyle w:val="ListBullet"/>
        <w:ind w:left="360"/>
      </w:pPr>
      <w:r>
        <w:t>collections_sender_without_notice</w:t>
      </w:r>
    </w:p>
    <w:p>
      <w:pPr>
        <w:pStyle w:val="ListBullet"/>
        <w:ind w:left="360"/>
      </w:pPr>
      <w:r>
        <w:t>insurer_sender_without_denial_code</w:t>
      </w:r>
    </w:p>
    <w:p>
      <w:pPr>
        <w:pStyle w:val="ListBullet"/>
        <w:ind w:left="360"/>
      </w:pPr>
      <w:r>
        <w:t>provider_sender_without_bill</w:t>
      </w:r>
    </w:p>
    <w:p>
      <w:pPr>
        <w:pStyle w:val="ListBullet"/>
        <w:ind w:left="360"/>
      </w:pPr>
      <w:r>
        <w:t>empty_signals_unknown</w:t>
      </w:r>
    </w:p>
    <w:p>
      <w:pPr>
        <w:pStyle w:val="ListBullet"/>
        <w:ind w:left="360"/>
      </w:pPr>
      <w:r>
        <w:t>eob_plus_denial_code</w:t>
      </w:r>
    </w:p>
    <w:p>
      <w:pPr>
        <w:pStyle w:val="ListBullet"/>
        <w:ind w:left="360"/>
      </w:pPr>
      <w:r>
        <w:t>conflicting_sender_and_document_type</w:t>
      </w:r>
    </w:p>
    <w:p>
      <w:pPr>
        <w:pStyle w:val="Heading2"/>
      </w:pPr>
      <w:r>
        <w:t>15.2 Example fixture</w:t>
      </w:r>
    </w:p>
    <w:p>
      <w:pPr>
        <w:shd w:fill="F3F5F7"/>
        <w:spacing w:before="80" w:after="160"/>
        <w:ind w:left="216" w:right="216"/>
      </w:pPr>
      <w:r>
        <w:rPr>
          <w:rFonts w:ascii="Courier New" w:hAnsi="Courier New"/>
          <w:sz w:val="17"/>
        </w:rPr>
        <w:t>{</w:t>
        <w:br/>
      </w:r>
      <w:r>
        <w:rPr>
          <w:rFonts w:ascii="Courier New" w:hAnsi="Courier New"/>
          <w:sz w:val="17"/>
        </w:rPr>
        <w:t xml:space="preserve">  "name": "clear_collections_notice",</w:t>
        <w:br/>
      </w:r>
      <w:r>
        <w:rPr>
          <w:rFonts w:ascii="Courier New" w:hAnsi="Courier New"/>
          <w:sz w:val="17"/>
        </w:rPr>
        <w:t xml:space="preserve">  "input": {</w:t>
        <w:br/>
      </w:r>
      <w:r>
        <w:rPr>
          <w:rFonts w:ascii="Courier New" w:hAnsi="Courier New"/>
          <w:sz w:val="17"/>
        </w:rPr>
        <w:t xml:space="preserve">    "caseId": "case_test_001",</w:t>
        <w:br/>
      </w:r>
      <w:r>
        <w:rPr>
          <w:rFonts w:ascii="Courier New" w:hAnsi="Courier New"/>
          <w:sz w:val="17"/>
        </w:rPr>
        <w:t xml:space="preserve">    "issueType": "billing",</w:t>
        <w:br/>
      </w:r>
      <w:r>
        <w:rPr>
          <w:rFonts w:ascii="Courier New" w:hAnsi="Courier New"/>
          <w:sz w:val="17"/>
        </w:rPr>
        <w:t xml:space="preserve">    "state": "CA",</w:t>
        <w:br/>
      </w:r>
      <w:r>
        <w:rPr>
          <w:rFonts w:ascii="Courier New" w:hAnsi="Courier New"/>
          <w:sz w:val="17"/>
        </w:rPr>
        <w:t xml:space="preserve">    "signals": {</w:t>
        <w:br/>
      </w:r>
      <w:r>
        <w:rPr>
          <w:rFonts w:ascii="Courier New" w:hAnsi="Courier New"/>
          <w:sz w:val="17"/>
        </w:rPr>
        <w:t xml:space="preserve">      "hasCollectionsNotice": true,</w:t>
        <w:br/>
      </w:r>
      <w:r>
        <w:rPr>
          <w:rFonts w:ascii="Courier New" w:hAnsi="Courier New"/>
          <w:sz w:val="17"/>
        </w:rPr>
        <w:t xml:space="preserve">      "senderType": "collector",</w:t>
        <w:br/>
      </w:r>
      <w:r>
        <w:rPr>
          <w:rFonts w:ascii="Courier New" w:hAnsi="Courier New"/>
          <w:sz w:val="17"/>
        </w:rPr>
        <w:t xml:space="preserve">      "documentType": "collection_notice"</w:t>
        <w:br/>
      </w:r>
      <w:r>
        <w:rPr>
          <w:rFonts w:ascii="Courier New" w:hAnsi="Courier New"/>
          <w:sz w:val="17"/>
        </w:rPr>
        <w:t xml:space="preserve">    },</w:t>
        <w:br/>
      </w:r>
      <w:r>
        <w:rPr>
          <w:rFonts w:ascii="Courier New" w:hAnsi="Courier New"/>
          <w:sz w:val="17"/>
        </w:rPr>
        <w:t xml:space="preserve">    "source": {</w:t>
        <w:br/>
      </w:r>
      <w:r>
        <w:rPr>
          <w:rFonts w:ascii="Courier New" w:hAnsi="Courier New"/>
          <w:sz w:val="17"/>
        </w:rPr>
        <w:t xml:space="preserve">      "entrySource": "direct",</w:t>
        <w:br/>
      </w:r>
      <w:r>
        <w:rPr>
          <w:rFonts w:ascii="Courier New" w:hAnsi="Courier New"/>
          <w:sz w:val="17"/>
        </w:rPr>
        <w:t xml:space="preserve">      "signalOrigin": "intake_only"</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"expected": {</w:t>
        <w:br/>
      </w:r>
      <w:r>
        <w:rPr>
          <w:rFonts w:ascii="Courier New" w:hAnsi="Courier New"/>
          <w:sz w:val="17"/>
        </w:rPr>
        <w:t xml:space="preserve">    "issueSubtype": "collections",</w:t>
        <w:br/>
      </w:r>
      <w:r>
        <w:rPr>
          <w:rFonts w:ascii="Courier New" w:hAnsi="Courier New"/>
          <w:sz w:val="17"/>
        </w:rPr>
        <w:t xml:space="preserve">    "entity": "collector",</w:t>
        <w:br/>
      </w:r>
      <w:r>
        <w:rPr>
          <w:rFonts w:ascii="Courier New" w:hAnsi="Courier New"/>
          <w:sz w:val="17"/>
        </w:rPr>
        <w:t xml:space="preserve">    "confidenceBand": "high",</w:t>
        <w:br/>
      </w:r>
      <w:r>
        <w:rPr>
          <w:rFonts w:ascii="Courier New" w:hAnsi="Courier New"/>
          <w:sz w:val="17"/>
        </w:rPr>
        <w:t xml:space="preserve">    "requiresFollowup": false</w:t>
        <w:br/>
      </w:r>
      <w:r>
        <w:rPr>
          <w:rFonts w:ascii="Courier New" w:hAnsi="Courier New"/>
          <w:sz w:val="17"/>
        </w:rPr>
        <w:t xml:space="preserve">  }</w:t>
        <w:br/>
      </w:r>
      <w:r>
        <w:rPr>
          <w:rFonts w:ascii="Courier New" w:hAnsi="Courier New"/>
          <w:sz w:val="17"/>
        </w:rPr>
        <w:t>}</w:t>
      </w:r>
    </w:p>
    <w:p>
      <w:r>
        <w:t>Testing rules:</w:t>
      </w:r>
    </w:p>
    <w:p>
      <w:pPr>
        <w:pStyle w:val="ListBullet"/>
        <w:ind w:left="360"/>
      </w:pPr>
      <w:r>
        <w:t>Use Vitest fixtures for deterministic regression coverage.</w:t>
      </w:r>
    </w:p>
    <w:p>
      <w:pPr>
        <w:pStyle w:val="ListBullet"/>
        <w:ind w:left="360"/>
      </w:pPr>
      <w:r>
        <w:t>Assert issueSubtype, entity, confidence band, and follow-up behavior.</w:t>
      </w:r>
    </w:p>
    <w:p>
      <w:pPr>
        <w:pStyle w:val="ListBullet"/>
        <w:ind w:left="360"/>
      </w:pPr>
      <w:r>
        <w:t>Do not snapshot fragile prose explanations as your only assertion. Test structural outcomes first.</w:t>
      </w:r>
    </w:p>
    <w:p>
      <w:pPr>
        <w:pStyle w:val="ListBullet"/>
        <w:ind w:left="360"/>
      </w:pPr>
      <w:r>
        <w:t>Treat each production misclassification as a mandatory new fixture.</w:t>
      </w:r>
    </w:p>
    <w:p>
      <w:pPr>
        <w:pStyle w:val="Heading1"/>
      </w:pPr>
      <w:r>
        <w:t>16. Recommended File Structure</w:t>
      </w:r>
    </w:p>
    <w:p>
      <w:pPr>
        <w:shd w:fill="F3F5F7"/>
        <w:spacing w:before="80" w:after="160"/>
        <w:ind w:left="216" w:right="216"/>
      </w:pPr>
      <w:r>
        <w:rPr>
          <w:rFonts w:ascii="Courier New" w:hAnsi="Courier New"/>
          <w:sz w:val="17"/>
        </w:rPr>
        <w:t>src/lib/case-engine/</w:t>
        <w:br/>
      </w:r>
      <w:r>
        <w:rPr>
          <w:rFonts w:ascii="Courier New" w:hAnsi="Courier New"/>
          <w:sz w:val="17"/>
        </w:rPr>
        <w:t xml:space="preserve">  types.ts</w:t>
        <w:br/>
      </w:r>
      <w:r>
        <w:rPr>
          <w:rFonts w:ascii="Courier New" w:hAnsi="Courier New"/>
          <w:sz w:val="17"/>
        </w:rPr>
        <w:t xml:space="preserve">  schemas.ts</w:t>
        <w:br/>
      </w:r>
      <w:r>
        <w:rPr>
          <w:rFonts w:ascii="Courier New" w:hAnsi="Courier New"/>
          <w:sz w:val="17"/>
        </w:rPr>
        <w:t xml:space="preserve">  reason-codes.ts</w:t>
        <w:br/>
      </w:r>
      <w:r>
        <w:rPr>
          <w:rFonts w:ascii="Courier New" w:hAnsi="Courier New"/>
          <w:sz w:val="17"/>
        </w:rPr>
        <w:t xml:space="preserve">  normalize.ts</w:t>
        <w:br/>
      </w:r>
      <w:r>
        <w:rPr>
          <w:rFonts w:ascii="Courier New" w:hAnsi="Courier New"/>
          <w:sz w:val="17"/>
        </w:rPr>
        <w:t xml:space="preserve">  rules.ts</w:t>
        <w:br/>
      </w:r>
      <w:r>
        <w:rPr>
          <w:rFonts w:ascii="Courier New" w:hAnsi="Courier New"/>
          <w:sz w:val="17"/>
        </w:rPr>
        <w:t xml:space="preserve">  confidence.ts</w:t>
        <w:br/>
      </w:r>
      <w:r>
        <w:rPr>
          <w:rFonts w:ascii="Courier New" w:hAnsi="Courier New"/>
          <w:sz w:val="17"/>
        </w:rPr>
        <w:t xml:space="preserve">  followup.ts</w:t>
        <w:br/>
      </w:r>
      <w:r>
        <w:rPr>
          <w:rFonts w:ascii="Courier New" w:hAnsi="Courier New"/>
          <w:sz w:val="17"/>
        </w:rPr>
        <w:t xml:space="preserve">  router.ts</w:t>
        <w:br/>
      </w:r>
      <w:r>
        <w:rPr>
          <w:rFonts w:ascii="Courier New" w:hAnsi="Courier New"/>
          <w:sz w:val="17"/>
        </w:rPr>
        <w:t xml:space="preserve">  prompts.ts</w:t>
        <w:br/>
      </w:r>
      <w:r>
        <w:rPr>
          <w:rFonts w:ascii="Courier New" w:hAnsi="Courier New"/>
          <w:sz w:val="17"/>
        </w:rPr>
        <w:t xml:space="preserve">  explain.ts</w:t>
        <w:br/>
      </w:r>
      <w:r>
        <w:rPr>
          <w:rFonts w:ascii="Courier New" w:hAnsi="Courier New"/>
          <w:sz w:val="17"/>
        </w:rPr>
        <w:t xml:space="preserve">  run.ts</w:t>
        <w:br/>
      </w:r>
      <w:r>
        <w:rPr>
          <w:rFonts w:ascii="Courier New" w:hAnsi="Courier New"/>
          <w:sz w:val="17"/>
        </w:rPr>
        <w:br/>
      </w:r>
      <w:r>
        <w:rPr>
          <w:rFonts w:ascii="Courier New" w:hAnsi="Courier New"/>
          <w:sz w:val="17"/>
        </w:rPr>
        <w:t>src/lib/case-engine/fixtures/</w:t>
        <w:br/>
      </w:r>
      <w:r>
        <w:rPr>
          <w:rFonts w:ascii="Courier New" w:hAnsi="Courier New"/>
          <w:sz w:val="17"/>
        </w:rPr>
        <w:t xml:space="preserve">  clear_collections_notice.json</w:t>
        <w:br/>
      </w:r>
      <w:r>
        <w:rPr>
          <w:rFonts w:ascii="Courier New" w:hAnsi="Courier New"/>
          <w:sz w:val="17"/>
        </w:rPr>
        <w:t xml:space="preserve">  clear_denial_letter.json</w:t>
        <w:br/>
      </w:r>
      <w:r>
        <w:rPr>
          <w:rFonts w:ascii="Courier New" w:hAnsi="Courier New"/>
          <w:sz w:val="17"/>
        </w:rPr>
        <w:t xml:space="preserve">  ...</w:t>
        <w:br/>
      </w:r>
      <w:r>
        <w:rPr>
          <w:rFonts w:ascii="Courier New" w:hAnsi="Courier New"/>
          <w:sz w:val="17"/>
        </w:rPr>
        <w:br/>
      </w:r>
      <w:r>
        <w:rPr>
          <w:rFonts w:ascii="Courier New" w:hAnsi="Courier New"/>
          <w:sz w:val="17"/>
        </w:rPr>
        <w:t>tests/case-engine/</w:t>
        <w:br/>
      </w:r>
      <w:r>
        <w:rPr>
          <w:rFonts w:ascii="Courier New" w:hAnsi="Courier New"/>
          <w:sz w:val="17"/>
        </w:rPr>
        <w:t xml:space="preserve">  run.test.ts</w:t>
        <w:br/>
      </w:r>
      <w:r>
        <w:rPr>
          <w:rFonts w:ascii="Courier New" w:hAnsi="Courier New"/>
          <w:sz w:val="17"/>
        </w:rPr>
        <w:t xml:space="preserve">  classify.test.ts</w:t>
        <w:br/>
      </w:r>
      <w:r>
        <w:rPr>
          <w:rFonts w:ascii="Courier New" w:hAnsi="Courier New"/>
          <w:sz w:val="17"/>
        </w:rPr>
        <w:t xml:space="preserve">  followup.test.ts</w:t>
      </w:r>
    </w:p>
    <w:p>
      <w:r>
        <w:t>Even if normalize.ts starts small, creating the file now saves time later when document-derived hints are introduced.</w:t>
      </w:r>
    </w:p>
    <w:p>
      <w:pPr>
        <w:pStyle w:val="Heading1"/>
      </w:pPr>
      <w:r>
        <w:t>17. Integration Strategy for the Existing Repo</w:t>
      </w:r>
    </w:p>
    <w:p>
      <w:r>
        <w:t>Given the current repo, the least disruptive launch path is to keep the existing auth and case creation flow while upgrading the intake incrementally and invoking the engine after case creation or on first case page load.</w:t>
      </w:r>
    </w:p>
    <w:p>
      <w:r>
        <w:t>Recommended near-term integration steps:</w:t>
      </w:r>
    </w:p>
    <w:p>
      <w:pPr>
        <w:pStyle w:val="ListBullet"/>
        <w:ind w:left="360"/>
      </w:pPr>
      <w:r>
        <w:t>Expand intake slightly with 2–3 new bounded fields such as sender type and collections/denial presence.</w:t>
      </w:r>
    </w:p>
    <w:p>
      <w:pPr>
        <w:pStyle w:val="ListBullet"/>
        <w:ind w:left="360"/>
      </w:pPr>
      <w:r>
        <w:t>Continue creating the core case record through the existing cases route.</w:t>
      </w:r>
    </w:p>
    <w:p>
      <w:pPr>
        <w:pStyle w:val="ListBullet"/>
        <w:ind w:left="360"/>
      </w:pPr>
      <w:r>
        <w:t>Invoke runCaseEngine with normalized intake-derived signals after case creation.</w:t>
      </w:r>
    </w:p>
    <w:p>
      <w:pPr>
        <w:pStyle w:val="ListBullet"/>
        <w:ind w:left="360"/>
      </w:pPr>
      <w:r>
        <w:t>Persist a compact engine summary if needed, but avoid a giant schema expansion before launch.</w:t>
      </w:r>
    </w:p>
    <w:p>
      <w:pPr>
        <w:pStyle w:val="ListBullet"/>
        <w:ind w:left="360"/>
      </w:pPr>
      <w:r>
        <w:t>Use existing no-PII telemetry patterns for non-blocking engine event writes.</w:t>
      </w:r>
    </w:p>
    <w:p>
      <w:pPr>
        <w:pStyle w:val="Heading1"/>
      </w:pPr>
      <w:r>
        <w:t>18. Sequential OpenHands Build Plan</w:t>
      </w:r>
    </w:p>
    <w:p>
      <w:r>
        <w:t>The correct build order is cumulative and should not be collapsed into a single giant prompt.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Task</w:t>
            </w:r>
          </w:p>
        </w:tc>
        <w:tc>
          <w:tcPr>
            <w:tcW w:type="dxa" w:w="2484"/>
          </w:tcPr>
          <w:p>
            <w:r>
              <w:t>Scope</w:t>
            </w:r>
          </w:p>
        </w:tc>
        <w:tc>
          <w:tcPr>
            <w:tcW w:type="dxa" w:w="2484"/>
          </w:tcPr>
          <w:p>
            <w:r>
              <w:t>Primary output</w:t>
            </w:r>
          </w:p>
        </w:tc>
        <w:tc>
          <w:tcPr>
            <w:tcW w:type="dxa" w:w="2484"/>
          </w:tcPr>
          <w:p>
            <w:r>
              <w:t>Why now</w:t>
            </w:r>
          </w:p>
        </w:tc>
      </w:tr>
      <w:tr>
        <w:tc>
          <w:tcPr>
            <w:tcW w:type="dxa" w:w="2484"/>
          </w:tcPr>
          <w:p>
            <w:r>
              <w:t>1</w:t>
            </w:r>
          </w:p>
        </w:tc>
        <w:tc>
          <w:tcPr>
            <w:tcW w:type="dxa" w:w="2484"/>
          </w:tcPr>
          <w:p>
            <w:r>
              <w:t>types + schemas</w:t>
            </w:r>
          </w:p>
        </w:tc>
        <w:tc>
          <w:tcPr>
            <w:tcW w:type="dxa" w:w="2484"/>
          </w:tcPr>
          <w:p>
            <w:r>
              <w:t>contracts and runtime validation</w:t>
            </w:r>
          </w:p>
        </w:tc>
        <w:tc>
          <w:tcPr>
            <w:tcW w:type="dxa" w:w="2484"/>
          </w:tcPr>
          <w:p>
            <w:r>
              <w:t>foundation before logic</w:t>
            </w:r>
          </w:p>
        </w:tc>
      </w:tr>
      <w:tr>
        <w:tc>
          <w:tcPr>
            <w:tcW w:type="dxa" w:w="2484"/>
          </w:tcPr>
          <w:p>
            <w:r>
              <w:t>2</w:t>
            </w:r>
          </w:p>
        </w:tc>
        <w:tc>
          <w:tcPr>
            <w:tcW w:type="dxa" w:w="2484"/>
          </w:tcPr>
          <w:p>
            <w:r>
              <w:t>reason codes + rules</w:t>
            </w:r>
          </w:p>
        </w:tc>
        <w:tc>
          <w:tcPr>
            <w:tcW w:type="dxa" w:w="2484"/>
          </w:tcPr>
          <w:p>
            <w:r>
              <w:t>deterministic classification</w:t>
            </w:r>
          </w:p>
        </w:tc>
        <w:tc>
          <w:tcPr>
            <w:tcW w:type="dxa" w:w="2484"/>
          </w:tcPr>
          <w:p>
            <w:r>
              <w:t>safe routing core</w:t>
            </w:r>
          </w:p>
        </w:tc>
      </w:tr>
      <w:tr>
        <w:tc>
          <w:tcPr>
            <w:tcW w:type="dxa" w:w="2484"/>
          </w:tcPr>
          <w:p>
            <w:r>
              <w:t>3</w:t>
            </w:r>
          </w:p>
        </w:tc>
        <w:tc>
          <w:tcPr>
            <w:tcW w:type="dxa" w:w="2484"/>
          </w:tcPr>
          <w:p>
            <w:r>
              <w:t>confidence + follow-up</w:t>
            </w:r>
          </w:p>
        </w:tc>
        <w:tc>
          <w:tcPr>
            <w:tcW w:type="dxa" w:w="2484"/>
          </w:tcPr>
          <w:p>
            <w:r>
              <w:t>uncertainty handling</w:t>
            </w:r>
          </w:p>
        </w:tc>
        <w:tc>
          <w:tcPr>
            <w:tcW w:type="dxa" w:w="2484"/>
          </w:tcPr>
          <w:p>
            <w:r>
              <w:t>prevents bluffing</w:t>
            </w:r>
          </w:p>
        </w:tc>
      </w:tr>
      <w:tr>
        <w:tc>
          <w:tcPr>
            <w:tcW w:type="dxa" w:w="2484"/>
          </w:tcPr>
          <w:p>
            <w:r>
              <w:t>4</w:t>
            </w:r>
          </w:p>
        </w:tc>
        <w:tc>
          <w:tcPr>
            <w:tcW w:type="dxa" w:w="2484"/>
          </w:tcPr>
          <w:p>
            <w:r>
              <w:t>router + run</w:t>
            </w:r>
          </w:p>
        </w:tc>
        <w:tc>
          <w:tcPr>
            <w:tcW w:type="dxa" w:w="2484"/>
          </w:tcPr>
          <w:p>
            <w:r>
              <w:t>orchestration entry point</w:t>
            </w:r>
          </w:p>
        </w:tc>
        <w:tc>
          <w:tcPr>
            <w:tcW w:type="dxa" w:w="2484"/>
          </w:tcPr>
          <w:p>
            <w:r>
              <w:t>usable engine</w:t>
            </w:r>
          </w:p>
        </w:tc>
      </w:tr>
      <w:tr>
        <w:tc>
          <w:tcPr>
            <w:tcW w:type="dxa" w:w="2484"/>
          </w:tcPr>
          <w:p>
            <w:r>
              <w:t>5</w:t>
            </w:r>
          </w:p>
        </w:tc>
        <w:tc>
          <w:tcPr>
            <w:tcW w:type="dxa" w:w="2484"/>
          </w:tcPr>
          <w:p>
            <w:r>
              <w:t>fixtures + tests</w:t>
            </w:r>
          </w:p>
        </w:tc>
        <w:tc>
          <w:tcPr>
            <w:tcW w:type="dxa" w:w="2484"/>
          </w:tcPr>
          <w:p>
            <w:r>
              <w:t>regression safety</w:t>
            </w:r>
          </w:p>
        </w:tc>
        <w:tc>
          <w:tcPr>
            <w:tcW w:type="dxa" w:w="2484"/>
          </w:tcPr>
          <w:p>
            <w:r>
              <w:t>launch reliability</w:t>
            </w:r>
          </w:p>
        </w:tc>
      </w:tr>
      <w:tr>
        <w:tc>
          <w:tcPr>
            <w:tcW w:type="dxa" w:w="2484"/>
          </w:tcPr>
          <w:p>
            <w:r>
              <w:t>6</w:t>
            </w:r>
          </w:p>
        </w:tc>
        <w:tc>
          <w:tcPr>
            <w:tcW w:type="dxa" w:w="2484"/>
          </w:tcPr>
          <w:p>
            <w:r>
              <w:t>prompt registry + explain</w:t>
            </w:r>
          </w:p>
        </w:tc>
        <w:tc>
          <w:tcPr>
            <w:tcW w:type="dxa" w:w="2484"/>
          </w:tcPr>
          <w:p>
            <w:r>
              <w:t>AI polish layer</w:t>
            </w:r>
          </w:p>
        </w:tc>
        <w:tc>
          <w:tcPr>
            <w:tcW w:type="dxa" w:w="2484"/>
          </w:tcPr>
          <w:p>
            <w:r>
              <w:t>UX improvement without risk</w:t>
            </w:r>
          </w:p>
        </w:tc>
      </w:tr>
      <w:tr>
        <w:tc>
          <w:tcPr>
            <w:tcW w:type="dxa" w:w="2484"/>
          </w:tcPr>
          <w:p>
            <w:r>
              <w:t>7</w:t>
            </w:r>
          </w:p>
        </w:tc>
        <w:tc>
          <w:tcPr>
            <w:tcW w:type="dxa" w:w="2484"/>
          </w:tcPr>
          <w:p>
            <w:r>
              <w:t>telemetry + debug output</w:t>
            </w:r>
          </w:p>
        </w:tc>
        <w:tc>
          <w:tcPr>
            <w:tcW w:type="dxa" w:w="2484"/>
          </w:tcPr>
          <w:p>
            <w:r>
              <w:t>observability</w:t>
            </w:r>
          </w:p>
        </w:tc>
        <w:tc>
          <w:tcPr>
            <w:tcW w:type="dxa" w:w="2484"/>
          </w:tcPr>
          <w:p>
            <w:r>
              <w:t>fast iteration close to launch</w:t>
            </w:r>
          </w:p>
        </w:tc>
      </w:tr>
      <w:tr>
        <w:tc>
          <w:tcPr>
            <w:tcW w:type="dxa" w:w="2484"/>
          </w:tcPr>
          <w:p>
            <w:r>
              <w:t>8</w:t>
            </w:r>
          </w:p>
        </w:tc>
        <w:tc>
          <w:tcPr>
            <w:tcW w:type="dxa" w:w="2484"/>
          </w:tcPr>
          <w:p>
            <w:r>
              <w:t>flow integration</w:t>
            </w:r>
          </w:p>
        </w:tc>
        <w:tc>
          <w:tcPr>
            <w:tcW w:type="dxa" w:w="2484"/>
          </w:tcPr>
          <w:p>
            <w:r>
              <w:t>case-engine in live path</w:t>
            </w:r>
          </w:p>
        </w:tc>
        <w:tc>
          <w:tcPr>
            <w:tcW w:type="dxa" w:w="2484"/>
          </w:tcPr>
          <w:p>
            <w:r>
              <w:t>product readiness</w:t>
            </w:r>
          </w:p>
        </w:tc>
      </w:tr>
    </w:tbl>
    <w:p>
      <w:pPr>
        <w:pStyle w:val="Heading1"/>
      </w:pPr>
      <w:r>
        <w:t>19. Failure Modes and Handling Rules</w:t>
      </w:r>
    </w:p>
    <w:p>
      <w:r>
        <w:t>The engine should define failure behavior explicitly.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Failure mode</w:t>
            </w:r>
          </w:p>
        </w:tc>
        <w:tc>
          <w:tcPr>
            <w:tcW w:type="dxa" w:w="3312"/>
          </w:tcPr>
          <w:p>
            <w:r>
              <w:t>Likely cause</w:t>
            </w:r>
          </w:p>
        </w:tc>
        <w:tc>
          <w:tcPr>
            <w:tcW w:type="dxa" w:w="3312"/>
          </w:tcPr>
          <w:p>
            <w:r>
              <w:t>Required handling</w:t>
            </w:r>
          </w:p>
        </w:tc>
      </w:tr>
      <w:tr>
        <w:tc>
          <w:tcPr>
            <w:tcW w:type="dxa" w:w="3312"/>
          </w:tcPr>
          <w:p>
            <w:r>
              <w:t>Invalid input schema</w:t>
            </w:r>
          </w:p>
        </w:tc>
        <w:tc>
          <w:tcPr>
            <w:tcW w:type="dxa" w:w="3312"/>
          </w:tcPr>
          <w:p>
            <w:r>
              <w:t>bad request or mapping bug</w:t>
            </w:r>
          </w:p>
        </w:tc>
        <w:tc>
          <w:tcPr>
            <w:tcW w:type="dxa" w:w="3312"/>
          </w:tcPr>
          <w:p>
            <w:r>
              <w:t>return handled validation error; do not run engine</w:t>
            </w:r>
          </w:p>
        </w:tc>
      </w:tr>
      <w:tr>
        <w:tc>
          <w:tcPr>
            <w:tcW w:type="dxa" w:w="3312"/>
          </w:tcPr>
          <w:p>
            <w:r>
              <w:t>Unknown classification</w:t>
            </w:r>
          </w:p>
        </w:tc>
        <w:tc>
          <w:tcPr>
            <w:tcW w:type="dxa" w:w="3312"/>
          </w:tcPr>
          <w:p>
            <w:r>
              <w:t>insufficient signals</w:t>
            </w:r>
          </w:p>
        </w:tc>
        <w:tc>
          <w:tcPr>
            <w:tcW w:type="dxa" w:w="3312"/>
          </w:tcPr>
          <w:p>
            <w:r>
              <w:t>return unknown + ask follow-up or safe review action</w:t>
            </w:r>
          </w:p>
        </w:tc>
      </w:tr>
      <w:tr>
        <w:tc>
          <w:tcPr>
            <w:tcW w:type="dxa" w:w="3312"/>
          </w:tcPr>
          <w:p>
            <w:r>
              <w:t>Conflicting signals</w:t>
            </w:r>
          </w:p>
        </w:tc>
        <w:tc>
          <w:tcPr>
            <w:tcW w:type="dxa" w:w="3312"/>
          </w:tcPr>
          <w:p>
            <w:r>
              <w:t>sender/document mismatch</w:t>
            </w:r>
          </w:p>
        </w:tc>
        <w:tc>
          <w:tcPr>
            <w:tcW w:type="dxa" w:w="3312"/>
          </w:tcPr>
          <w:p>
            <w:r>
              <w:t>reduce confidence, emit conflict reason, ask follow-up</w:t>
            </w:r>
          </w:p>
        </w:tc>
      </w:tr>
      <w:tr>
        <w:tc>
          <w:tcPr>
            <w:tcW w:type="dxa" w:w="3312"/>
          </w:tcPr>
          <w:p>
            <w:r>
              <w:t>AI explanation failure</w:t>
            </w:r>
          </w:p>
        </w:tc>
        <w:tc>
          <w:tcPr>
            <w:tcW w:type="dxa" w:w="3312"/>
          </w:tcPr>
          <w:p>
            <w:r>
              <w:t>provider timeout or model error</w:t>
            </w:r>
          </w:p>
        </w:tc>
        <w:tc>
          <w:tcPr>
            <w:tcW w:type="dxa" w:w="3312"/>
          </w:tcPr>
          <w:p>
            <w:r>
              <w:t>return deterministic result without explanation</w:t>
            </w:r>
          </w:p>
        </w:tc>
      </w:tr>
      <w:tr>
        <w:tc>
          <w:tcPr>
            <w:tcW w:type="dxa" w:w="3312"/>
          </w:tcPr>
          <w:p>
            <w:r>
              <w:t>Telemetry write failure</w:t>
            </w:r>
          </w:p>
        </w:tc>
        <w:tc>
          <w:tcPr>
            <w:tcW w:type="dxa" w:w="3312"/>
          </w:tcPr>
          <w:p>
            <w:r>
              <w:t>DB/network issue</w:t>
            </w:r>
          </w:p>
        </w:tc>
        <w:tc>
          <w:tcPr>
            <w:tcW w:type="dxa" w:w="3312"/>
          </w:tcPr>
          <w:p>
            <w:r>
              <w:t>swallow non-blocking and continue user flow</w:t>
            </w:r>
          </w:p>
        </w:tc>
      </w:tr>
      <w:tr>
        <w:tc>
          <w:tcPr>
            <w:tcW w:type="dxa" w:w="3312"/>
          </w:tcPr>
          <w:p>
            <w:r>
              <w:t>Prompt regression</w:t>
            </w:r>
          </w:p>
        </w:tc>
        <w:tc>
          <w:tcPr>
            <w:tcW w:type="dxa" w:w="3312"/>
          </w:tcPr>
          <w:p>
            <w:r>
              <w:t>prompt changed, tone degraded</w:t>
            </w:r>
          </w:p>
        </w:tc>
        <w:tc>
          <w:tcPr>
            <w:tcW w:type="dxa" w:w="3312"/>
          </w:tcPr>
          <w:p>
            <w:r>
              <w:t>trace via prompt version and revert/patch</w:t>
            </w:r>
          </w:p>
        </w:tc>
      </w:tr>
    </w:tbl>
    <w:p>
      <w:pPr>
        <w:pStyle w:val="Heading1"/>
      </w:pPr>
      <w:r>
        <w:t>20. How This Supports Later Expansion</w:t>
      </w:r>
    </w:p>
    <w:p>
      <w:r>
        <w:t>Option B is valuable because it creates a true engine spine. Later modules should extend the engine through new signals, additional reason codes, and refined routing rules, not by creating parallel products.</w:t>
      </w:r>
    </w:p>
    <w:p>
      <w:pPr>
        <w:pStyle w:val="ListBullet"/>
        <w:ind w:left="360"/>
      </w:pPr>
      <w:r>
        <w:t>Veteran logic becomes an extension of signal normalization and routing, not a separate mode.</w:t>
      </w:r>
    </w:p>
    <w:p>
      <w:pPr>
        <w:pStyle w:val="ListBullet"/>
        <w:ind w:left="360"/>
      </w:pPr>
      <w:r>
        <w:t>Fraud / waste / abuse becomes a new classification track or sub-router built atop the same contracts and telemetry model.</w:t>
      </w:r>
    </w:p>
    <w:p>
      <w:pPr>
        <w:pStyle w:val="ListBullet"/>
        <w:ind w:left="360"/>
      </w:pPr>
      <w:r>
        <w:t>Document parsing later feeds normalized hints into normalize.ts rather than bypassing the deterministic core.</w:t>
      </w:r>
    </w:p>
    <w:p>
      <w:pPr>
        <w:pStyle w:val="ListBullet"/>
        <w:ind w:left="360"/>
      </w:pPr>
      <w:r>
        <w:t>State-aware complaint routing can plug into the router without changing core classification semantics.</w:t>
      </w:r>
    </w:p>
    <w:p>
      <w:pPr>
        <w:pStyle w:val="Heading1"/>
      </w:pPr>
      <w:r>
        <w:t>21. Final Recommendation</w:t>
      </w:r>
    </w:p>
    <w:p>
      <w:r>
        <w:t>For pre-launch, build the Case Engine as a compact but engineered system: strict schemas, deterministic rules, explicit confidence, one-more-question recovery, prompt versioning, non-PII telemetry, and a fixture-based regression loop. Do not broaden public UX more than necessary; strengthen the internal spine. That is the best balance of safety, scalability, and launch velocity.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86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C2C2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C2C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6386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