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pPr>
      <w:r>
        <w:rPr>
          <w:rFonts w:ascii="Arial" w:cs="Arial" w:eastAsia="Arial" w:hAnsi="Arial"/>
          <w:b/>
          <w:bCs/>
          <w:color w:val="1B3A5C"/>
          <w:sz w:val="52"/>
          <w:szCs w:val="52"/>
        </w:rPr>
        <w:t xml:space="preserve">MyAdvocate</w:t>
      </w:r>
    </w:p>
    <w:p>
      <w:pPr>
        <w:spacing w:after="120" w:before="0"/>
      </w:pPr>
      <w:r>
        <w:rPr>
          <w:rFonts w:ascii="Arial" w:cs="Arial" w:eastAsia="Arial" w:hAnsi="Arial"/>
          <w:b/>
          <w:bCs/>
          <w:color w:val="0D7377"/>
          <w:sz w:val="40"/>
          <w:szCs w:val="40"/>
        </w:rPr>
        <w:t xml:space="preserve">MA-IMPL-002</w:t>
      </w:r>
    </w:p>
    <w:p>
      <w:pPr>
        <w:spacing w:after="80" w:before="0"/>
      </w:pPr>
      <w:r>
        <w:rPr>
          <w:rFonts w:ascii="Arial" w:cs="Arial" w:eastAsia="Arial" w:hAnsi="Arial"/>
          <w:b/>
          <w:bCs/>
          <w:color w:val="1B3A5C"/>
          <w:sz w:val="32"/>
          <w:szCs w:val="32"/>
        </w:rPr>
        <w:t xml:space="preserve">Pre-Launch Intelligence &amp; Automation Architecture</w:t>
      </w:r>
    </w:p>
    <w:p>
      <w:pPr>
        <w:spacing w:after="400" w:before="0"/>
      </w:pPr>
      <w:r>
        <w:rPr>
          <w:rFonts w:ascii="Arial" w:cs="Arial" w:eastAsia="Arial" w:hAnsi="Arial"/>
          <w:i/>
          <w:iCs/>
          <w:color w:val="6B7280"/>
          <w:sz w:val="24"/>
          <w:szCs w:val="24"/>
        </w:rPr>
        <w:t xml:space="preserve">Accelerated BitNet + n8n Integration Strategy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Document ID</w:t>
            </w:r>
          </w:p>
        </w:tc>
        <w:tc>
          <w:tcPr>
            <w:tcW w:type="dxa" w:w="71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r>
              <w:rPr>
                <w:rFonts w:ascii="Arial" w:cs="Arial" w:eastAsia="Arial" w:hAnsi="Arial"/>
                <w:color w:val="1A1A1A"/>
                <w:sz w:val="21"/>
                <w:szCs w:val="21"/>
              </w:rPr>
              <w:t xml:space="preserve">MA-IMPL-002</w:t>
            </w:r>
          </w:p>
        </w:tc>
      </w:tr>
      <w:t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7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DRAFT — Internal Strategy</w:t>
            </w:r>
          </w:p>
        </w:tc>
      </w:tr>
      <w:t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Owner</w:t>
            </w:r>
          </w:p>
        </w:tc>
        <w:tc>
          <w:tcPr>
            <w:tcW w:type="dxa" w:w="71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r>
              <w:rPr>
                <w:rFonts w:ascii="Arial" w:cs="Arial" w:eastAsia="Arial" w:hAnsi="Arial"/>
                <w:color w:val="1A1A1A"/>
                <w:sz w:val="21"/>
                <w:szCs w:val="21"/>
              </w:rPr>
              <w:t xml:space="preserve">Sarsh Levine</w:t>
            </w:r>
          </w:p>
        </w:tc>
      </w:tr>
      <w:t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Date</w:t>
            </w:r>
          </w:p>
        </w:tc>
        <w:tc>
          <w:tcPr>
            <w:tcW w:type="dxa" w:w="7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March 2026</w:t>
            </w:r>
          </w:p>
        </w:tc>
      </w:tr>
      <w:t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Supersedes</w:t>
            </w:r>
          </w:p>
        </w:tc>
        <w:tc>
          <w:tcPr>
            <w:tcW w:type="dxa" w:w="71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r>
              <w:rPr>
                <w:rFonts w:ascii="Arial" w:cs="Arial" w:eastAsia="Arial" w:hAnsi="Arial"/>
                <w:color w:val="1A1A1A"/>
                <w:sz w:val="21"/>
                <w:szCs w:val="21"/>
              </w:rPr>
              <w:t xml:space="preserve">MA-IMPL-001 (strategic summary only — this document expands)</w:t>
            </w:r>
          </w:p>
        </w:tc>
      </w:tr>
      <w:t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Classification</w:t>
            </w:r>
          </w:p>
        </w:tc>
        <w:tc>
          <w:tcPr>
            <w:tcW w:type="dxa" w:w="7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CONFIDENTIAL — Founders Only</w:t>
            </w:r>
          </w:p>
        </w:tc>
      </w:tr>
    </w:tbl>
    <w:p>
      <w:r>
        <w:br w:type="page"/>
      </w:r>
    </w:p>
    <w:p>
      <w:pPr>
        <w:pStyle w:val="Heading1"/>
        <w:spacing w:after="160" w:before="360"/>
      </w:pPr>
      <w:r>
        <w:rPr>
          <w:rFonts w:ascii="Arial" w:cs="Arial" w:eastAsia="Arial" w:hAnsi="Arial"/>
          <w:b/>
          <w:bCs/>
          <w:color w:val="1B3A5C"/>
          <w:sz w:val="36"/>
          <w:szCs w:val="36"/>
        </w:rPr>
        <w:t xml:space="preserve">Site Launch Status — What Is Already Live</w:t>
      </w:r>
    </w:p>
    <w:p>
      <w:pPr>
        <w:spacing w:after="120" w:before="80"/>
      </w:pPr>
      <w:r>
        <w:rPr>
          <w:rFonts w:ascii="Arial" w:cs="Arial" w:eastAsia="Arial" w:hAnsi="Arial"/>
          <w:color w:val="1A1A1A"/>
          <w:sz w:val="22"/>
          <w:szCs w:val="22"/>
        </w:rPr>
        <w:t xml:space="preserve">Phase 1 MVP shipped on March 10, 2026. The core product is live on Vercel. The build packs uploaded accelerate Phase 2 hardening — they do not create new pre-launch blockers. The site is ready for private testing and staged traffic immediately. Public traffic gates are the only remaining blockers.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  Phase 1 MVP — Live on Vercel as of March 10, 2026</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Insurance Denial Decoder — functional</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Appeal Letter Generator — functional</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Medical Bill Dispute Generator — functional</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HIPAA Records Request Generator — functional</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Supabase DB + RLS, Stripe billing, Anthropic API — all integrated</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PII scrubber, EEAT validator (5-layer), LQE (3-check serial), auth-tier check — all built</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Budget monitor (Redis tripwires at 50/80/100%) — live</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YMYL review model — defined (Kate primary, Sarsh escalation, 24hr SLA)</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22 Supabase migrations applied — data model complete</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Context registry — 8 JSON files, 237 planned pages, 12 clusters mapped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Remaining Blocker</w:t>
            </w:r>
          </w:p>
        </w:tc>
        <w:tc>
          <w:tcPr>
            <w:tcW w:type="dxa" w:w="5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Sprint Target</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7-gate chain in generateLetter() (MA-AUT-006 G6)</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Sprint 1 — highest priority</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LQE calibration with Kate — false positive rate &lt;10% (G1)</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Sprint 2</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YMYL notification wiring (Supabase webhook → email)</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Sprint 1</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Server-side tier authorization — checkTierAuthorization() live (P25/P26)</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Sprint 1 — already built in auth-tier.ts</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Prompt version hash on every artifact (P30)</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Sprint 1</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Trust pages attorney review (7 pages — MA-EEAT-001 §5.1)</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Sprint 1 — gates ALL content publish</w:t>
            </w:r>
          </w:p>
        </w:tc>
      </w:tr>
    </w:tbl>
    <w:p>
      <w:pPr>
        <w:spacing w:after="60" w:before="60"/>
      </w:pPr>
      <w:r>
        <w:t xml:space="preserve"/>
      </w:r>
    </w:p>
    <w:p>
      <w:pPr>
        <w:spacing w:after="120" w:before="80"/>
      </w:pPr>
      <w:r>
        <w:rPr>
          <w:rFonts w:ascii="Arial" w:cs="Arial" w:eastAsia="Arial" w:hAnsi="Arial"/>
          <w:color w:val="1A1A1A"/>
          <w:sz w:val="22"/>
          <w:szCs w:val="22"/>
        </w:rPr>
        <w:t xml:space="preserve">The build pack materials (modelRouter.ts, validateOutput.ts, registry.ts, prompt contracts, page blueprints) accelerate the registry-driven architecture in Phase 2 Sprint 2. They do not replace the Gate 1–3 work needed for Sprint 1. Proceed with Sprint 1 blockers first, then fold in build pack code.</w:t>
      </w:r>
    </w:p>
    <w:p>
      <w:r>
        <w:br w:type="page"/>
      </w:r>
    </w:p>
    <w:p>
      <w:pPr>
        <w:pStyle w:val="Heading1"/>
        <w:spacing w:after="160" w:before="360"/>
      </w:pPr>
      <w:r>
        <w:rPr>
          <w:rFonts w:ascii="Arial" w:cs="Arial" w:eastAsia="Arial" w:hAnsi="Arial"/>
          <w:b/>
          <w:bCs/>
          <w:color w:val="1B3A5C"/>
          <w:sz w:val="36"/>
          <w:szCs w:val="36"/>
        </w:rPr>
        <w:t xml:space="preserve">Executive Summary — Accelerated Intelligence Architecture</w:t>
      </w:r>
    </w:p>
    <w:p>
      <w:pPr>
        <w:spacing w:after="120" w:before="80"/>
      </w:pPr>
      <w:r>
        <w:rPr>
          <w:rFonts w:ascii="Arial" w:cs="Arial" w:eastAsia="Arial" w:hAnsi="Arial"/>
          <w:color w:val="1A1A1A"/>
          <w:sz w:val="22"/>
          <w:szCs w:val="22"/>
        </w:rPr>
        <w:t xml:space="preserve">This document expands on six strategic concepts pulled forward from the original phased plan. All six are internal-only, have no user-facing surface, and can be activated pre-launch. Together they form a compounding intelligence flywheel: BitNet classifies and scores, n8n orchestrates, Slack surfaces decisions, and every action feeds structured data back into the context registry and Supabase. By launch day, the platform has months of scored SEO content, a ranked production queue, enriched denial code intelligence, competitive signal data, and a fully tuned LQE hybrid router — none of which require a single user interaction to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Concept</w:t>
            </w:r>
          </w:p>
        </w:tc>
        <w:tc>
          <w:tcPr>
            <w:tcW w:type="dxa" w:w="358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Pre-Launch Value</w:t>
            </w:r>
          </w:p>
        </w:tc>
        <w:tc>
          <w:tcPr>
            <w:tcW w:type="dxa" w:w="358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Scale Path</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SEO Intelligence Engine</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Score all 237 pages, rank by hub/spoke priority, generate ordered content queue</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Weekly re-scoring; BitNet improves with traffic signal data</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Book Monitoring</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Track chapter coverage vs outline, surface SEO gaps, map chapters to cornerstones</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Book content seeds cornerstone guides in Phase 4</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Content Staging Pipeline</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50-page buffer; full automation pipeline tested before first publish</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manages queue depth, EEAT auto-validation, Kate alert routing</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Pre-Launch Data Collection</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friction_events + outcome stubs warm from Day 1; proprietary dataset starts before first user</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Becomes MA-SUP-DAT-001 proprietary moat by Phase 3</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LQE + BitNet Hybrid</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Fast/standard/review 3-path routing reduces Anthropic costs; Kate queue stays clean</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Trains on Kate approvals; false positive rate drops over time; parallel voting at scale</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Competitive Signal Collection</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3-6 months of structured payer/regulatory intelligence in registry before launch</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CMO Agent and GEO agents draw from enriched registry at Phase 2+</w:t>
            </w:r>
          </w:p>
        </w:tc>
      </w:tr>
    </w:tbl>
    <w:p>
      <w:r>
        <w:br w:type="page"/>
      </w:r>
    </w:p>
    <w:p>
      <w:pPr>
        <w:pStyle w:val="Heading1"/>
        <w:spacing w:after="160" w:before="360"/>
      </w:pPr>
      <w:r>
        <w:rPr>
          <w:rFonts w:ascii="Arial" w:cs="Arial" w:eastAsia="Arial" w:hAnsi="Arial"/>
          <w:b/>
          <w:bCs/>
          <w:color w:val="1B3A5C"/>
          <w:sz w:val="36"/>
          <w:szCs w:val="36"/>
        </w:rPr>
        <w:t xml:space="preserve">Section 1 — SEO Intelligence Engine (BitNet + Hub/Spoke + Books)</w:t>
      </w:r>
    </w:p>
    <w:p>
      <w:pPr>
        <w:spacing w:after="120" w:before="80"/>
      </w:pPr>
      <w:r>
        <w:rPr>
          <w:rFonts w:ascii="Arial" w:cs="Arial" w:eastAsia="Arial" w:hAnsi="Arial"/>
          <w:color w:val="1A1A1A"/>
          <w:sz w:val="22"/>
          <w:szCs w:val="22"/>
        </w:rPr>
        <w:t xml:space="preserve">The SEO Intelligence Engine is BitNet's highest-value pre-launch use case. It scores every planned content page against a multi-dimensional priority model and outputs a ranked, dependency-aware content queue. No content gets written without a score. No spoke page gets published before its hub. No hub publishes before the pillar.</w:t>
      </w:r>
    </w:p>
    <w:p>
      <w:pPr>
        <w:pStyle w:val="Heading2"/>
        <w:spacing w:after="120" w:before="280"/>
      </w:pPr>
      <w:r>
        <w:rPr>
          <w:rFonts w:ascii="Arial" w:cs="Arial" w:eastAsia="Arial" w:hAnsi="Arial"/>
          <w:b/>
          <w:bCs/>
          <w:color w:val="0D7377"/>
          <w:sz w:val="28"/>
          <w:szCs w:val="28"/>
        </w:rPr>
        <w:t xml:space="preserve">1.1  Cluster Architecture Scoring</w:t>
      </w:r>
    </w:p>
    <w:p>
      <w:pPr>
        <w:spacing w:after="120" w:before="80"/>
      </w:pPr>
      <w:r>
        <w:rPr>
          <w:rFonts w:ascii="Arial" w:cs="Arial" w:eastAsia="Arial" w:hAnsi="Arial"/>
          <w:color w:val="1A1A1A"/>
          <w:sz w:val="22"/>
          <w:szCs w:val="22"/>
        </w:rPr>
        <w:t xml:space="preserve">Your existing seo_clusters.json defines 12 clusters across 3 tiers: 2 pillar clusters, 5 category hub clusters, and 5 code/rights clusters. BitNet scores each cluster on the following dimensions, producing a composite cluster_priority_score (0.0–1.0):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Scoring Dimension</w:t>
            </w:r>
          </w:p>
        </w:tc>
        <w:tc>
          <w:tcPr>
            <w:tcW w:type="dxa" w:w="18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Weight</w:t>
            </w:r>
          </w:p>
        </w:tc>
        <w:tc>
          <w:tcPr>
            <w:tcW w:type="dxa" w:w="436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Data Source</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Denial volume share</w:t>
            </w:r>
          </w:p>
        </w:tc>
        <w:tc>
          <w:tcPr>
            <w:tcW w:type="dxa" w:w="1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30%</w:t>
            </w:r>
          </w:p>
        </w:tc>
        <w:tc>
          <w:tcPr>
            <w:tcW w:type="dxa" w:w="43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seo_clusters.json denial_volume_share field</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Search intent signal</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25%</w:t>
            </w:r>
          </w:p>
        </w:tc>
        <w:tc>
          <w:tcPr>
            <w:tcW w:type="dxa" w:w="4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search_intent field (high=1.0, medium=0.6, low=0.2)</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Cluster completion %</w:t>
            </w:r>
          </w:p>
        </w:tc>
        <w:tc>
          <w:tcPr>
            <w:tcW w:type="dxa" w:w="1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20%</w:t>
            </w:r>
          </w:p>
        </w:tc>
        <w:tc>
          <w:tcPr>
            <w:tcW w:type="dxa" w:w="43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gap_count vs supporting_page_ids ratio</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Referral priority</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15%</w:t>
            </w:r>
          </w:p>
        </w:tc>
        <w:tc>
          <w:tcPr>
            <w:tcW w:type="dxa" w:w="4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referral_priority field (priority_1=1.0, priority_2=0.7, priority_3=0.4)</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Publish dependency readiness</w:t>
            </w:r>
          </w:p>
        </w:tc>
        <w:tc>
          <w:tcPr>
            <w:tcW w:type="dxa" w:w="1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10%</w:t>
            </w:r>
          </w:p>
        </w:tc>
        <w:tc>
          <w:tcPr>
            <w:tcW w:type="dxa" w:w="43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parent cluster published status (blocker check)</w:t>
            </w:r>
          </w:p>
        </w:tc>
      </w:tr>
    </w:tbl>
    <w:p>
      <w:pPr>
        <w:spacing w:after="60" w:before="60"/>
      </w:pPr>
      <w:r>
        <w:t xml:space="preserve"/>
      </w:r>
    </w:p>
    <w:p>
      <w:pPr>
        <w:spacing w:after="120" w:before="80"/>
      </w:pPr>
      <w:r>
        <w:rPr>
          <w:rFonts w:ascii="Arial" w:cs="Arial" w:eastAsia="Arial" w:hAnsi="Arial"/>
          <w:color w:val="1A1A1A"/>
          <w:sz w:val="22"/>
          <w:szCs w:val="22"/>
        </w:rPr>
        <w:t xml:space="preserve">Current cluster priority order from this scoring model (pre-enrichment):</w:t>
      </w:r>
    </w:p>
    <w:p>
      <w:pPr>
        <w:pStyle w:val="ListParagraph"/>
        <w:numPr>
          <w:ilvl w:val="0"/>
          <w:numId w:val="2"/>
        </w:numPr>
        <w:spacing w:after="60" w:before="60"/>
        <w:ind w:left="720" w:hanging="360"/>
      </w:pPr>
      <w:r>
        <w:rPr>
          <w:rFonts w:ascii="Arial" w:cs="Arial" w:eastAsia="Arial" w:hAnsi="Arial"/>
          <w:b/>
          <w:bCs/>
          <w:color w:val="1A1A1A"/>
          <w:sz w:val="22"/>
          <w:szCs w:val="22"/>
        </w:rPr>
        <w:t xml:space="preserve">CRITICAL (score ≥ 0.90): </w:t>
      </w:r>
      <w:r>
        <w:rPr>
          <w:rFonts w:ascii="Arial" w:cs="Arial" w:eastAsia="Arial" w:hAnsi="Arial"/>
          <w:color w:val="1A1A1A"/>
          <w:sz w:val="22"/>
          <w:szCs w:val="22"/>
        </w:rPr>
        <w:t xml:space="preserve">cluster_0006 (Appeal Pillar), cluster_0008 (Medical Necessity Hub), cluster_0010 (Cornerstone Library)</w:t>
      </w:r>
    </w:p>
    <w:p>
      <w:pPr>
        <w:pStyle w:val="ListParagraph"/>
        <w:numPr>
          <w:ilvl w:val="0"/>
          <w:numId w:val="2"/>
        </w:numPr>
        <w:spacing w:after="60" w:before="60"/>
        <w:ind w:left="720" w:hanging="360"/>
      </w:pPr>
      <w:r>
        <w:rPr>
          <w:rFonts w:ascii="Arial" w:cs="Arial" w:eastAsia="Arial" w:hAnsi="Arial"/>
          <w:b/>
          <w:bCs/>
          <w:color w:val="1A1A1A"/>
          <w:sz w:val="22"/>
          <w:szCs w:val="22"/>
        </w:rPr>
        <w:t xml:space="preserve">HIGH (score 0.70–0.89): </w:t>
      </w:r>
      <w:r>
        <w:rPr>
          <w:rFonts w:ascii="Arial" w:cs="Arial" w:eastAsia="Arial" w:hAnsi="Arial"/>
          <w:color w:val="1A1A1A"/>
          <w:sz w:val="22"/>
          <w:szCs w:val="22"/>
        </w:rPr>
        <w:t xml:space="preserve">cluster_0001 (Med Necessity Code), cluster_0002 (Prior Auth), cluster_0007 (Administrative Hub), cluster_0004 (Bill Dispute), cluster_0011 (Policy Cluster)</w:t>
      </w:r>
    </w:p>
    <w:p>
      <w:pPr>
        <w:pStyle w:val="ListParagraph"/>
        <w:numPr>
          <w:ilvl w:val="0"/>
          <w:numId w:val="2"/>
        </w:numPr>
        <w:spacing w:after="60" w:before="60"/>
        <w:ind w:left="720" w:hanging="360"/>
      </w:pPr>
      <w:r>
        <w:rPr>
          <w:rFonts w:ascii="Arial" w:cs="Arial" w:eastAsia="Arial" w:hAnsi="Arial"/>
          <w:b/>
          <w:bCs/>
          <w:color w:val="1A1A1A"/>
          <w:sz w:val="22"/>
          <w:szCs w:val="22"/>
        </w:rPr>
        <w:t xml:space="preserve">MEDIUM (score 0.50–0.69): </w:t>
      </w:r>
      <w:r>
        <w:rPr>
          <w:rFonts w:ascii="Arial" w:cs="Arial" w:eastAsia="Arial" w:hAnsi="Arial"/>
          <w:color w:val="1A1A1A"/>
          <w:sz w:val="22"/>
          <w:szCs w:val="22"/>
        </w:rPr>
        <w:t xml:space="preserve">cluster_0003 (Mental Health), cluster_0009 (Coverage/Network), cluster_0005 (Patient Rights)</w:t>
      </w:r>
    </w:p>
    <w:p>
      <w:pPr>
        <w:spacing w:after="60" w:before="60"/>
      </w:pPr>
      <w:r>
        <w:t xml:space="preserve"/>
      </w:r>
    </w:p>
    <w:p>
      <w:pPr>
        <w:pStyle w:val="Heading2"/>
        <w:spacing w:after="120" w:before="280"/>
      </w:pPr>
      <w:r>
        <w:rPr>
          <w:rFonts w:ascii="Arial" w:cs="Arial" w:eastAsia="Arial" w:hAnsi="Arial"/>
          <w:b/>
          <w:bCs/>
          <w:color w:val="0D7377"/>
          <w:sz w:val="28"/>
          <w:szCs w:val="28"/>
        </w:rPr>
        <w:t xml:space="preserve">1.2  Hub/Spoke Dependency Chain</w:t>
      </w:r>
    </w:p>
    <w:p>
      <w:pPr>
        <w:spacing w:after="120" w:before="80"/>
      </w:pPr>
      <w:r>
        <w:rPr>
          <w:rFonts w:ascii="Arial" w:cs="Arial" w:eastAsia="Arial" w:hAnsi="Arial"/>
          <w:color w:val="1A1A1A"/>
          <w:sz w:val="22"/>
          <w:szCs w:val="22"/>
        </w:rPr>
        <w:t xml:space="preserve">BitNet enforces the MA-SEO-SUP-001 §1 invariant programmatically: a page cannot enter the staging queue if its parent hub or pillar is not live or in-staging. The dependency chain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Unlock Condition</w:t>
            </w:r>
          </w:p>
        </w:tc>
        <w:tc>
          <w:tcPr>
            <w:tcW w:type="dxa" w:w="5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Pages Unlocked</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Cornerstone Guide 1 (Complete Guide to Denials) → in_staging</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All pillar-tier pages can stage</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Appeal Pillar page (cluster_0006) → published</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All 3 category hub pages can publish</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Medical Necessity Hub (cluster_0008) → published</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CO-50, CO-197, CO-151 code pages can publish</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Administrative Hub (cluster_0007) → published</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CO-16, CO-97, CO-18, CO-22, CO-29, CO-45 can publish</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Coverage/Network Hub (cluster_0009) → published</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CO-96, PR-204, CO-109, CO-B7 can publish</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Any hub page live</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unlocks spoke scoring for that hub only</w:t>
            </w:r>
          </w:p>
        </w:tc>
      </w:tr>
    </w:tbl>
    <w:p>
      <w:pPr>
        <w:spacing w:after="60" w:before="60"/>
      </w:pPr>
      <w:r>
        <w:t xml:space="preserve"/>
      </w:r>
    </w:p>
    <w:p>
      <w:pPr>
        <w:spacing w:after="120" w:before="80"/>
      </w:pPr>
      <w:r>
        <w:rPr>
          <w:rFonts w:ascii="Arial" w:cs="Arial" w:eastAsia="Arial" w:hAnsi="Arial"/>
          <w:color w:val="1A1A1A"/>
          <w:sz w:val="22"/>
          <w:szCs w:val="22"/>
        </w:rPr>
        <w:t xml:space="preserve">BitNet runs this dependency check before adding any page to the ranked queue. Pages with unsatisfied parent dependencies are scored but flagged as BLOCKED — visible in the Slack digest but not actionable until the parent clears.</w:t>
      </w:r>
    </w:p>
    <w:p>
      <w:pPr>
        <w:pStyle w:val="Heading2"/>
        <w:spacing w:after="120" w:before="280"/>
      </w:pPr>
      <w:r>
        <w:rPr>
          <w:rFonts w:ascii="Arial" w:cs="Arial" w:eastAsia="Arial" w:hAnsi="Arial"/>
          <w:b/>
          <w:bCs/>
          <w:color w:val="0D7377"/>
          <w:sz w:val="28"/>
          <w:szCs w:val="28"/>
        </w:rPr>
        <w:t xml:space="preserve">1.3  Page-Level Scoring (237 Pages)</w:t>
      </w:r>
    </w:p>
    <w:p>
      <w:pPr>
        <w:spacing w:after="120" w:before="80"/>
      </w:pPr>
      <w:r>
        <w:rPr>
          <w:rFonts w:ascii="Arial" w:cs="Arial" w:eastAsia="Arial" w:hAnsi="Arial"/>
          <w:color w:val="1A1A1A"/>
          <w:sz w:val="22"/>
          <w:szCs w:val="22"/>
        </w:rPr>
        <w:t xml:space="preserve">Every page in content_pages.json receives a page_priority_score derived from its cluster score, publish_sequence, brand_stat_required flag, freshness_state, and eeat_validated status. BitNet outputs a ranked list updated weekly via n8n. The GEO-03 agent (denial code writer) and GEO-01 (content architect) consume this ranked list to determine next-to-write.</w:t>
      </w:r>
    </w:p>
    <w:p>
      <w:pPr>
        <w:spacing w:after="60" w:before="60"/>
      </w:pPr>
      <w:r>
        <w:t xml:space="preserve"/>
      </w:r>
    </w:p>
    <w:p>
      <w:pPr>
        <w:spacing w:after="120" w:before="80"/>
      </w:pPr>
      <w:r>
        <w:rPr>
          <w:rFonts w:ascii="Arial" w:cs="Arial" w:eastAsia="Arial" w:hAnsi="Arial"/>
          <w:color w:val="1A1A1A"/>
          <w:sz w:val="22"/>
          <w:szCs w:val="22"/>
        </w:rPr>
        <w:t xml:space="preserve">The scoring run happens in three phases: (1) cluster dependency resolution — determine which pages are unblocked; (2) composite scoring — apply the 5-dimension model per page; (3) queue output — write ranked_queue.json to context_registry/, which n8n reads to brief GEO agents. Estimated weekly n8n job runtime: under 60 seconds for 237 pages using local BitNet.</w:t>
      </w:r>
    </w:p>
    <w:p>
      <w:pPr>
        <w:pStyle w:val="Heading2"/>
        <w:spacing w:after="120" w:before="280"/>
      </w:pPr>
      <w:r>
        <w:rPr>
          <w:rFonts w:ascii="Arial" w:cs="Arial" w:eastAsia="Arial" w:hAnsi="Arial"/>
          <w:b/>
          <w:bCs/>
          <w:color w:val="0D7377"/>
          <w:sz w:val="28"/>
          <w:szCs w:val="28"/>
        </w:rPr>
        <w:t xml:space="preserve">1.4  Book Monitoring Integration</w:t>
      </w:r>
    </w:p>
    <w:p>
      <w:pPr>
        <w:spacing w:after="120" w:before="80"/>
      </w:pPr>
      <w:r>
        <w:rPr>
          <w:rFonts w:ascii="Arial" w:cs="Arial" w:eastAsia="Arial" w:hAnsi="Arial"/>
          <w:color w:val="1A1A1A"/>
          <w:sz w:val="22"/>
          <w:szCs w:val="22"/>
        </w:rPr>
        <w:t xml:space="preserve">The book-outline-generator and book-chapter-writer skills produce nonfiction chapters targeting 3,000–5,000 words each, archived in docs/book/chapters/. BitNet integrates with the book pipeline in three ways:</w:t>
      </w:r>
    </w:p>
    <w:p>
      <w:pPr>
        <w:spacing w:after="60" w:before="60"/>
      </w:pPr>
      <w:r>
        <w:t xml:space="preserve"/>
      </w:r>
    </w:p>
    <w:p>
      <w:pPr>
        <w:pStyle w:val="ListParagraph"/>
        <w:numPr>
          <w:ilvl w:val="0"/>
          <w:numId w:val="2"/>
        </w:numPr>
        <w:spacing w:after="60" w:before="60"/>
        <w:ind w:left="720" w:hanging="360"/>
      </w:pPr>
      <w:r>
        <w:rPr>
          <w:rFonts w:ascii="Arial" w:cs="Arial" w:eastAsia="Arial" w:hAnsi="Arial"/>
          <w:b/>
          <w:bCs/>
          <w:color w:val="1A1A1A"/>
          <w:sz w:val="22"/>
          <w:szCs w:val="22"/>
        </w:rPr>
        <w:t xml:space="preserve">Coverage gap detection: </w:t>
      </w:r>
      <w:r>
        <w:rPr>
          <w:rFonts w:ascii="Arial" w:cs="Arial" w:eastAsia="Arial" w:hAnsi="Arial"/>
          <w:color w:val="1A1A1A"/>
          <w:sz w:val="22"/>
          <w:szCs w:val="22"/>
        </w:rPr>
        <w:t xml:space="preserve">BitNet compares each completed chapter against your denial code registry and SEO cluster map. Chapters covering CO-50 denial types, prior authorization disputes, or billing navigation are flagged as cornerstone seeding candidates — meaning the chapter content can be extracted and adapted into Phase 4 cornerstone guides, saving weeks of original writing.</w:t>
      </w:r>
    </w:p>
    <w:p>
      <w:pPr>
        <w:pStyle w:val="ListParagraph"/>
        <w:numPr>
          <w:ilvl w:val="0"/>
          <w:numId w:val="2"/>
        </w:numPr>
        <w:spacing w:after="60" w:before="60"/>
        <w:ind w:left="720" w:hanging="360"/>
      </w:pPr>
      <w:r>
        <w:rPr>
          <w:rFonts w:ascii="Arial" w:cs="Arial" w:eastAsia="Arial" w:hAnsi="Arial"/>
          <w:b/>
          <w:bCs/>
          <w:color w:val="1A1A1A"/>
          <w:sz w:val="22"/>
          <w:szCs w:val="22"/>
        </w:rPr>
        <w:t xml:space="preserve">SEO keyword surface mining: </w:t>
      </w:r>
      <w:r>
        <w:rPr>
          <w:rFonts w:ascii="Arial" w:cs="Arial" w:eastAsia="Arial" w:hAnsi="Arial"/>
          <w:color w:val="1A1A1A"/>
          <w:sz w:val="22"/>
          <w:szCs w:val="22"/>
        </w:rPr>
        <w:t xml:space="preserve">BitNet scans chapter drafts for naturally occurring patient-voice phrases (e.g., "my insurance said not medically necessary", "appeal denial letter template") and writes these to a book_keyword_signals.json file in context_registry/. GEO agents use these signals to validate that content pages are written in the same vocabulary real patients use.</w:t>
      </w:r>
    </w:p>
    <w:p>
      <w:pPr>
        <w:pStyle w:val="ListParagraph"/>
        <w:numPr>
          <w:ilvl w:val="0"/>
          <w:numId w:val="2"/>
        </w:numPr>
        <w:spacing w:after="60" w:before="60"/>
        <w:ind w:left="720" w:hanging="360"/>
      </w:pPr>
      <w:r>
        <w:rPr>
          <w:rFonts w:ascii="Arial" w:cs="Arial" w:eastAsia="Arial" w:hAnsi="Arial"/>
          <w:b/>
          <w:bCs/>
          <w:color w:val="1A1A1A"/>
          <w:sz w:val="22"/>
          <w:szCs w:val="22"/>
        </w:rPr>
        <w:t xml:space="preserve">Chapter-to-cluster mapping: </w:t>
      </w:r>
      <w:r>
        <w:rPr>
          <w:rFonts w:ascii="Arial" w:cs="Arial" w:eastAsia="Arial" w:hAnsi="Arial"/>
          <w:color w:val="1A1A1A"/>
          <w:sz w:val="22"/>
          <w:szCs w:val="22"/>
        </w:rPr>
        <w:t xml:space="preserve">Each chapter gets a cluster_affinity score showing which SEO cluster it most strengthens. This becomes a visual map: which cornerstones your book pre-populates, which clusters still need original content. n8n surfaces this mapping monthly in your Slack digest.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Book → SEO Pipeline (No Extra Work Required)</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Step 1: Book chapter written via book-chapter-writer skill → archived to docs/book/chapters/</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Step 2: n8n triggers BitNet scan on new chapter file (PostToolUse hook or file watcher)</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Step 3: BitNet writes coverage_gaps[], keyword_signals[], and cluster_affinity score to context_registry/</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Step 4: Weekly Slack digest surfaces: "Chapter 4 seeds cluster_0008 (Med Necessity Hub). 3 keyword signals added to GEO queue."</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Step 5: GEO agents consume keyword signals automatically on next content sprint</w:t>
            </w:r>
          </w:p>
        </w:tc>
      </w:tr>
      <w:tr>
        <w:tc>
          <w:tcPr>
            <w:tcW w:type="dxa" w:w="9360"/>
            <w:tcBorders>
              <w:top w:val="single" w:color="C8D8E4" w:sz="1"/>
              <w:left w:val="single" w:color="C8D8E4" w:sz="1"/>
              <w:bottom w:val="single" w:color="C8D8E4" w:sz="1"/>
              <w:right w:val="single" w:color="C8D8E4" w:sz="1"/>
            </w:tcBorders>
            <w:shd w:fill="EDE7F6"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Result: Every book chapter generates compounding SEO intelligence with zero additional work</w:t>
            </w:r>
          </w:p>
        </w:tc>
      </w:tr>
    </w:tbl>
    <w:p>
      <w:pPr>
        <w:spacing w:after="60" w:before="60"/>
      </w:pPr>
      <w:r>
        <w:t xml:space="preserve"/>
      </w:r>
    </w:p>
    <w:p>
      <w:r>
        <w:br w:type="page"/>
      </w:r>
    </w:p>
    <w:p>
      <w:pPr>
        <w:pStyle w:val="Heading1"/>
        <w:spacing w:after="160" w:before="360"/>
      </w:pPr>
      <w:r>
        <w:rPr>
          <w:rFonts w:ascii="Arial" w:cs="Arial" w:eastAsia="Arial" w:hAnsi="Arial"/>
          <w:b/>
          <w:bCs/>
          <w:color w:val="1B3A5C"/>
          <w:sz w:val="36"/>
          <w:szCs w:val="36"/>
        </w:rPr>
        <w:t xml:space="preserve">Section 2 — Content Staging Pipeline (50-Page Queue)</w:t>
      </w:r>
    </w:p>
    <w:p>
      <w:pPr>
        <w:spacing w:after="120" w:before="80"/>
      </w:pPr>
      <w:r>
        <w:rPr>
          <w:rFonts w:ascii="Arial" w:cs="Arial" w:eastAsia="Arial" w:hAnsi="Arial"/>
          <w:color w:val="1A1A1A"/>
          <w:sz w:val="22"/>
          <w:szCs w:val="22"/>
        </w:rPr>
        <w:t xml:space="preserve">Yes — 50 pages staged is the right ceiling for pre-launch. This gives you a 10–12 week publish buffer at a 4–5 page/week cadence, keeps Kate's review queue manageable (hard cap: 10 in active review at once), and lets you build and test the full automation pipeline before your first page goes live.</w:t>
      </w:r>
    </w:p>
    <w:p>
      <w:pPr>
        <w:pStyle w:val="Heading2"/>
        <w:spacing w:after="120" w:before="280"/>
      </w:pPr>
      <w:r>
        <w:rPr>
          <w:rFonts w:ascii="Arial" w:cs="Arial" w:eastAsia="Arial" w:hAnsi="Arial"/>
          <w:b/>
          <w:bCs/>
          <w:color w:val="0D7377"/>
          <w:sz w:val="28"/>
          <w:szCs w:val="28"/>
        </w:rPr>
        <w:t xml:space="preserve">2.1  Release State Machine</w:t>
      </w:r>
    </w:p>
    <w:p>
      <w:pPr>
        <w:spacing w:after="120" w:before="80"/>
      </w:pPr>
      <w:r>
        <w:rPr>
          <w:rFonts w:ascii="Arial" w:cs="Arial" w:eastAsia="Arial" w:hAnsi="Arial"/>
          <w:color w:val="1A1A1A"/>
          <w:sz w:val="22"/>
          <w:szCs w:val="22"/>
        </w:rPr>
        <w:t xml:space="preserve">Every content page moves through a defined state machine. BitNet and n8n manage transitions automatically up to the human review gate. Kate and Sarsh own the final approval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State</w:t>
            </w:r>
          </w:p>
        </w:tc>
        <w:tc>
          <w:tcPr>
            <w:tcW w:type="dxa" w:w="69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Definition + Transition Logic</w:t>
            </w:r>
          </w:p>
        </w:tc>
      </w:tr>
      <w:tr>
        <w:tc>
          <w:tcPr>
            <w:tcW w:type="dxa" w:w="24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draft</w:t>
            </w:r>
          </w:p>
        </w:tc>
        <w:tc>
          <w:tcPr>
            <w:tcW w:type="dxa" w:w="69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GEO agent has produced content. Not yet validated. BitNet has scored priority but not quality.</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bitnet_scored</w:t>
            </w:r>
          </w:p>
        </w:tc>
        <w:tc>
          <w:tcPr>
            <w:tcW w:type="dxa" w:w="69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has run quality pre-screening: keyword alignment, GEO template compliance check, cluster dependency verified. Auto-transitions to eeat_pending if score ≥ 0.70.</w:t>
            </w:r>
          </w:p>
        </w:tc>
      </w:tr>
      <w:tr>
        <w:tc>
          <w:tcPr>
            <w:tcW w:type="dxa" w:w="24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eeat_pending</w:t>
            </w:r>
          </w:p>
        </w:tc>
        <w:tc>
          <w:tcPr>
            <w:tcW w:type="dxa" w:w="69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Page is queued for the 5-layer EEAT automated stack (schema, citations, forbidden claims, disclaimer, tier routing). n8n triggers eeat-validator.ts.</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eeat_passed</w:t>
            </w:r>
          </w:p>
        </w:tc>
        <w:tc>
          <w:tcPr>
            <w:tcW w:type="dxa" w:w="69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All 5 EEAT layers passed. Page is eligible for human review. Auto-transitions to review_queue if Kate queue depth &lt; 10.</w:t>
            </w:r>
          </w:p>
        </w:tc>
      </w:tr>
      <w:tr>
        <w:tc>
          <w:tcPr>
            <w:tcW w:type="dxa" w:w="24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eeat_failed</w:t>
            </w:r>
          </w:p>
        </w:tc>
        <w:tc>
          <w:tcPr>
            <w:tcW w:type="dxa" w:w="69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One or more EEAT layers failed. n8n sends Slack alert to Sarsh with failure reason. Page returns to draft with failure annotations.</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review_queue</w:t>
            </w:r>
          </w:p>
        </w:tc>
        <w:tc>
          <w:tcPr>
            <w:tcW w:type="dxa" w:w="69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In Kate's active review queue. Kate has 24-hour SLA. Queue depth capped at 10. If depth = 10, new pages hold at eeat_passed until a slot opens.</w:t>
            </w:r>
          </w:p>
        </w:tc>
      </w:tr>
      <w:tr>
        <w:tc>
          <w:tcPr>
            <w:tcW w:type="dxa" w:w="24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approved</w:t>
            </w:r>
          </w:p>
        </w:tc>
        <w:tc>
          <w:tcPr>
            <w:tcW w:type="dxa" w:w="69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Kate has approved. Page is scheduled for publish. Sarsh receives Slack notification.</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scheduled</w:t>
            </w:r>
          </w:p>
        </w:tc>
        <w:tc>
          <w:tcPr>
            <w:tcW w:type="dxa" w:w="69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Publish date set. n8n will trigger deploy at scheduled time.</w:t>
            </w:r>
          </w:p>
        </w:tc>
      </w:tr>
      <w:tr>
        <w:tc>
          <w:tcPr>
            <w:tcW w:type="dxa" w:w="24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published</w:t>
            </w:r>
          </w:p>
        </w:tc>
        <w:tc>
          <w:tcPr>
            <w:tcW w:type="dxa" w:w="69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Live. Entered into weekly performance monitoring by n8n/BitNet.</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needs_refresh</w:t>
            </w:r>
          </w:p>
        </w:tc>
        <w:tc>
          <w:tcPr>
            <w:tcW w:type="dxa" w:w="69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refresh scoring has flagged staleness (refresh_priority_score &gt; 70 per MA-SEO-SUP-001 §6). Returns to review queue ahead of new drafts.</w:t>
            </w:r>
          </w:p>
        </w:tc>
      </w:tr>
    </w:tbl>
    <w:p>
      <w:pPr>
        <w:pStyle w:val="Heading2"/>
        <w:spacing w:after="120" w:before="280"/>
      </w:pPr>
      <w:r>
        <w:rPr>
          <w:rFonts w:ascii="Arial" w:cs="Arial" w:eastAsia="Arial" w:hAnsi="Arial"/>
          <w:b/>
          <w:bCs/>
          <w:color w:val="0D7377"/>
          <w:sz w:val="28"/>
          <w:szCs w:val="28"/>
        </w:rPr>
        <w:t xml:space="preserve">2.2  50-Page Staging Architecture</w:t>
      </w:r>
    </w:p>
    <w:p>
      <w:pPr>
        <w:spacing w:after="120" w:before="80"/>
      </w:pPr>
      <w:r>
        <w:rPr>
          <w:rFonts w:ascii="Arial" w:cs="Arial" w:eastAsia="Arial" w:hAnsi="Arial"/>
          <w:color w:val="1A1A1A"/>
          <w:sz w:val="22"/>
          <w:szCs w:val="22"/>
        </w:rPr>
        <w:t xml:space="preserve">The 50-page staging pool sits in the Supabase content_pages table (already scaffolded in context_registry/content_pages.json). The staging capacity is managed by n8n: when staged page count approaches 50, the daily digest flags it so GEO agent output pace can be adjusted. When Kate's queue is at capacity (10), new eeat_passed pages hold in a staging buffer — they do not flood the review queue.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Staging Pool Capacity Rules</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Maximum staging pool: 50 pages (draft through eeat_passed states combined)</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Maximum active Kate review queue: 10 pages (review_queue state)</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If staged pool &gt; 45: n8n alerts Sarsh — "Staging near capacity. Pause GEO agent output or accelerate review."</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If Kate queue = 10: New eeat_passed pages hold at eeat_passed. n8n does NOT auto-add to review_queue.</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If Kate unavailable: SLA extends to 48 hours. Sarsh escalates. User notification if artifact already delivered.</w:t>
            </w:r>
          </w:p>
        </w:tc>
      </w:tr>
      <w:tr>
        <w:tc>
          <w:tcPr>
            <w:tcW w:type="dxa" w:w="9360"/>
            <w:tcBorders>
              <w:top w:val="single" w:color="C8D8E4" w:sz="1"/>
              <w:left w:val="single" w:color="C8D8E4" w:sz="1"/>
              <w:bottom w:val="single" w:color="C8D8E4" w:sz="1"/>
              <w:right w:val="single" w:color="C8D8E4" w:sz="1"/>
            </w:tcBorders>
            <w:shd w:fill="FFF8E1"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Priority override: needs_refresh pages jump ahead of new drafts in the review queue.</w:t>
            </w:r>
          </w:p>
        </w:tc>
      </w:tr>
    </w:tbl>
    <w:p>
      <w:pPr>
        <w:spacing w:after="60" w:before="60"/>
      </w:pPr>
      <w:r>
        <w:t xml:space="preserve"/>
      </w:r>
    </w:p>
    <w:p>
      <w:pPr>
        <w:pStyle w:val="Heading2"/>
        <w:spacing w:after="120" w:before="280"/>
      </w:pPr>
      <w:r>
        <w:rPr>
          <w:rFonts w:ascii="Arial" w:cs="Arial" w:eastAsia="Arial" w:hAnsi="Arial"/>
          <w:b/>
          <w:bCs/>
          <w:color w:val="0D7377"/>
          <w:sz w:val="28"/>
          <w:szCs w:val="28"/>
        </w:rPr>
        <w:t xml:space="preserve">2.3  Pre-Launch Dry-Run Protocol</w:t>
      </w:r>
    </w:p>
    <w:p>
      <w:pPr>
        <w:spacing w:after="120" w:before="80"/>
      </w:pPr>
      <w:r>
        <w:rPr>
          <w:rFonts w:ascii="Arial" w:cs="Arial" w:eastAsia="Arial" w:hAnsi="Arial"/>
          <w:color w:val="1A1A1A"/>
          <w:sz w:val="22"/>
          <w:szCs w:val="22"/>
        </w:rPr>
        <w:t xml:space="preserve">Before the first page goes live, run the full pipeline in dry-run mode against 5 staged draft pages. Every stage fires — BitNet scoring, EEAT validation, Kate review notification, Slack alerts — but the publish step is suppressed. This validates the entire automation chain before real content is at stake and gives Kate a chance to calibrate her review expectations against the queue format. Target: dry-run complete 2 weeks before first scheduled publish date.</w:t>
      </w:r>
    </w:p>
    <w:p>
      <w:r>
        <w:br w:type="page"/>
      </w:r>
    </w:p>
    <w:p>
      <w:pPr>
        <w:pStyle w:val="Heading1"/>
        <w:spacing w:after="160" w:before="360"/>
      </w:pPr>
      <w:r>
        <w:rPr>
          <w:rFonts w:ascii="Arial" w:cs="Arial" w:eastAsia="Arial" w:hAnsi="Arial"/>
          <w:b/>
          <w:bCs/>
          <w:color w:val="1B3A5C"/>
          <w:sz w:val="36"/>
          <w:szCs w:val="36"/>
        </w:rPr>
        <w:t xml:space="preserve">Section 3 — Pre-Launch Data Collection Architecture</w:t>
      </w:r>
    </w:p>
    <w:p>
      <w:pPr>
        <w:spacing w:after="120" w:before="80"/>
      </w:pPr>
      <w:r>
        <w:rPr>
          <w:rFonts w:ascii="Arial" w:cs="Arial" w:eastAsia="Arial" w:hAnsi="Arial"/>
          <w:color w:val="1A1A1A"/>
          <w:sz w:val="22"/>
          <w:szCs w:val="22"/>
        </w:rPr>
        <w:t xml:space="preserve">The proprietary data strategy (MA-SUP-DAT-001) defines two compounding datasets: insurance friction events and appeal outcome events. Both can start collecting before the first public user. Here is how to get a meaningful head start.</w:t>
      </w:r>
    </w:p>
    <w:p>
      <w:pPr>
        <w:pStyle w:val="Heading2"/>
        <w:spacing w:after="120" w:before="280"/>
      </w:pPr>
      <w:r>
        <w:rPr>
          <w:rFonts w:ascii="Arial" w:cs="Arial" w:eastAsia="Arial" w:hAnsi="Arial"/>
          <w:b/>
          <w:bCs/>
          <w:color w:val="0D7377"/>
          <w:sz w:val="28"/>
          <w:szCs w:val="28"/>
        </w:rPr>
        <w:t xml:space="preserve">3.1  Deploy the Data Schema Immediately</w:t>
      </w:r>
    </w:p>
    <w:p>
      <w:pPr>
        <w:spacing w:after="120" w:before="80"/>
      </w:pPr>
      <w:r>
        <w:rPr>
          <w:rFonts w:ascii="Arial" w:cs="Arial" w:eastAsia="Arial" w:hAnsi="Arial"/>
          <w:color w:val="1A1A1A"/>
          <w:sz w:val="22"/>
          <w:szCs w:val="22"/>
        </w:rPr>
        <w:t xml:space="preserve">Three Supabase migrations need to be live before any data collection begins. Migration 019 (friction_events stub) is already planned. The outcome events table is the next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Migration</w:t>
            </w:r>
          </w:p>
        </w:tc>
        <w:tc>
          <w:tcPr>
            <w:tcW w:type="dxa" w:w="63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Status + Action</w:t>
            </w:r>
          </w:p>
        </w:tc>
      </w:tr>
      <w:tr>
        <w:tc>
          <w:tcPr>
            <w:tcW w:type="dxa" w:w="30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Migration 016 — scrub_records table</w:t>
            </w:r>
          </w:p>
        </w:tc>
        <w:tc>
          <w:tcPr>
            <w:tcW w:type="dxa" w:w="63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Planned. Deploy this sprint. Required before Story Bank can log scrubbed patient stories.</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Migration 019 — friction_events stub</w:t>
            </w:r>
          </w:p>
        </w:tc>
        <w:tc>
          <w:tcPr>
            <w:tcW w:type="dxa" w:w="63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NEXT in queue. Deploy this sprint. Instrument Denial Decoder, Appeal Letter, and Bill Dispute tools to write friction events on every tool interaction.</w:t>
            </w:r>
          </w:p>
        </w:tc>
      </w:tr>
      <w:tr>
        <w:tc>
          <w:tcPr>
            <w:tcW w:type="dxa" w:w="30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Migration 020 — appeal_outcome_events (new)</w:t>
            </w:r>
          </w:p>
        </w:tc>
        <w:tc>
          <w:tcPr>
            <w:tcW w:type="dxa" w:w="63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Create and deploy this sprint. Every generated letter gets an outcome_stub record at creation time. Outcome data filled in later via follow-up email or user self-report.</w:t>
            </w:r>
          </w:p>
        </w:tc>
      </w:tr>
    </w:tbl>
    <w:p>
      <w:pPr>
        <w:pStyle w:val="Heading2"/>
        <w:spacing w:after="120" w:before="280"/>
      </w:pPr>
      <w:r>
        <w:rPr>
          <w:rFonts w:ascii="Arial" w:cs="Arial" w:eastAsia="Arial" w:hAnsi="Arial"/>
          <w:b/>
          <w:bCs/>
          <w:color w:val="0D7377"/>
          <w:sz w:val="28"/>
          <w:szCs w:val="28"/>
        </w:rPr>
        <w:t xml:space="preserve">3.2  Internal Test Data Strategy</w:t>
      </w:r>
    </w:p>
    <w:p>
      <w:pPr>
        <w:spacing w:after="120" w:before="80"/>
      </w:pPr>
      <w:r>
        <w:rPr>
          <w:rFonts w:ascii="Arial" w:cs="Arial" w:eastAsia="Arial" w:hAnsi="Arial"/>
          <w:color w:val="1A1A1A"/>
          <w:sz w:val="22"/>
          <w:szCs w:val="22"/>
        </w:rPr>
        <w:t xml:space="preserve">You do not need real users to start collecting meaningful data. Before launch, run these internal data seeding passes:</w:t>
      </w:r>
    </w:p>
    <w:p>
      <w:pPr>
        <w:spacing w:after="60" w:before="60"/>
      </w:pPr>
      <w:r>
        <w:t xml:space="preserve"/>
      </w:r>
    </w:p>
    <w:p>
      <w:pPr>
        <w:pStyle w:val="ListParagraph"/>
        <w:numPr>
          <w:ilvl w:val="0"/>
          <w:numId w:val="2"/>
        </w:numPr>
        <w:spacing w:after="60" w:before="60"/>
        <w:ind w:left="720" w:hanging="360"/>
      </w:pPr>
      <w:r>
        <w:rPr>
          <w:rFonts w:ascii="Arial" w:cs="Arial" w:eastAsia="Arial" w:hAnsi="Arial"/>
          <w:b/>
          <w:bCs/>
          <w:color w:val="1A1A1A"/>
          <w:sz w:val="22"/>
          <w:szCs w:val="22"/>
        </w:rPr>
        <w:t xml:space="preserve">Denial code frequency simulation: </w:t>
      </w:r>
      <w:r>
        <w:rPr>
          <w:rFonts w:ascii="Arial" w:cs="Arial" w:eastAsia="Arial" w:hAnsi="Arial"/>
          <w:color w:val="1A1A1A"/>
          <w:sz w:val="22"/>
          <w:szCs w:val="22"/>
        </w:rPr>
        <w:t xml:space="preserve">Submit 20–30 test denial decoder queries covering your 12 highest-priority codes (CO-50, CO-197, CO-151, CO-16, CO-97, etc.). Each query writes a friction_event. At launch, your friction_events table has a realistic baseline distribution showing which codes are most common — which directly informs BitNet's denial_volume_share scoring.</w:t>
      </w:r>
    </w:p>
    <w:p>
      <w:pPr>
        <w:pStyle w:val="ListParagraph"/>
        <w:numPr>
          <w:ilvl w:val="0"/>
          <w:numId w:val="2"/>
        </w:numPr>
        <w:spacing w:after="60" w:before="60"/>
        <w:ind w:left="720" w:hanging="360"/>
      </w:pPr>
      <w:r>
        <w:rPr>
          <w:rFonts w:ascii="Arial" w:cs="Arial" w:eastAsia="Arial" w:hAnsi="Arial"/>
          <w:b/>
          <w:bCs/>
          <w:color w:val="1A1A1A"/>
          <w:sz w:val="22"/>
          <w:szCs w:val="22"/>
        </w:rPr>
        <w:t xml:space="preserve">Letter generation test pass: </w:t>
      </w:r>
      <w:r>
        <w:rPr>
          <w:rFonts w:ascii="Arial" w:cs="Arial" w:eastAsia="Arial" w:hAnsi="Arial"/>
          <w:color w:val="1A1A1A"/>
          <w:sz w:val="22"/>
          <w:szCs w:val="22"/>
        </w:rPr>
        <w:t xml:space="preserve">Generate 10–15 test appeal letters across all four letter types. Each generation writes an outcome_stub to appeal_outcome_events. At launch, LQE has a calibration baseline. BitNet has training signal on prompt version hash performance.</w:t>
      </w:r>
    </w:p>
    <w:p>
      <w:pPr>
        <w:pStyle w:val="ListParagraph"/>
        <w:numPr>
          <w:ilvl w:val="0"/>
          <w:numId w:val="2"/>
        </w:numPr>
        <w:spacing w:after="60" w:before="60"/>
        <w:ind w:left="720" w:hanging="360"/>
      </w:pPr>
      <w:r>
        <w:rPr>
          <w:rFonts w:ascii="Arial" w:cs="Arial" w:eastAsia="Arial" w:hAnsi="Arial"/>
          <w:b/>
          <w:bCs/>
          <w:color w:val="1A1A1A"/>
          <w:sz w:val="22"/>
          <w:szCs w:val="22"/>
        </w:rPr>
        <w:t xml:space="preserve">SEO performance baseline: </w:t>
      </w:r>
      <w:r>
        <w:rPr>
          <w:rFonts w:ascii="Arial" w:cs="Arial" w:eastAsia="Arial" w:hAnsi="Arial"/>
          <w:color w:val="1A1A1A"/>
          <w:sz w:val="22"/>
          <w:szCs w:val="22"/>
        </w:rPr>
        <w:t xml:space="preserve">Before any pages publish, register all 237 planned URLs in Google Search Console as a property. When pages go live, you have immediate indexing notification and historical position data from day one — not the 4–6 week lag that typically follows a new domain.</w:t>
      </w:r>
    </w:p>
    <w:p>
      <w:pPr>
        <w:pStyle w:val="ListParagraph"/>
        <w:numPr>
          <w:ilvl w:val="0"/>
          <w:numId w:val="2"/>
        </w:numPr>
        <w:spacing w:after="60" w:before="60"/>
        <w:ind w:left="720" w:hanging="360"/>
      </w:pPr>
      <w:r>
        <w:rPr>
          <w:rFonts w:ascii="Arial" w:cs="Arial" w:eastAsia="Arial" w:hAnsi="Arial"/>
          <w:b/>
          <w:bCs/>
          <w:color w:val="1A1A1A"/>
          <w:sz w:val="22"/>
          <w:szCs w:val="22"/>
        </w:rPr>
        <w:t xml:space="preserve">Context registry enrichment: </w:t>
      </w:r>
      <w:r>
        <w:rPr>
          <w:rFonts w:ascii="Arial" w:cs="Arial" w:eastAsia="Arial" w:hAnsi="Arial"/>
          <w:color w:val="1A1A1A"/>
          <w:sz w:val="22"/>
          <w:szCs w:val="22"/>
        </w:rPr>
        <w:t xml:space="preserve">BitNet's pre-launch enrichment pass (Section 1) writes structured intelligence back to the context registry. By launch, seo_clusters.json and content_pages.json have enriched scoring fields that agents use to prioritize output.</w:t>
      </w:r>
    </w:p>
    <w:p>
      <w:pPr>
        <w:pStyle w:val="Heading2"/>
        <w:spacing w:after="120" w:before="280"/>
      </w:pPr>
      <w:r>
        <w:rPr>
          <w:rFonts w:ascii="Arial" w:cs="Arial" w:eastAsia="Arial" w:hAnsi="Arial"/>
          <w:b/>
          <w:bCs/>
          <w:color w:val="0D7377"/>
          <w:sz w:val="28"/>
          <w:szCs w:val="28"/>
        </w:rPr>
        <w:t xml:space="preserve">3.3  LQE Calibration Data</w:t>
      </w:r>
    </w:p>
    <w:p>
      <w:pPr>
        <w:spacing w:after="120" w:before="80"/>
      </w:pPr>
      <w:r>
        <w:rPr>
          <w:rFonts w:ascii="Arial" w:cs="Arial" w:eastAsia="Arial" w:hAnsi="Arial"/>
          <w:color w:val="1A1A1A"/>
          <w:sz w:val="22"/>
          <w:szCs w:val="22"/>
        </w:rPr>
        <w:t xml:space="preserve">Kate's calibration pass on the LQE (G1 Sprint 2) generates its own training dataset. Run 15–20 letter generation scenarios with intentional variations: strong denial code match, weak match, ambiguous YMYL language, clear legal overreach. Record Kate's approve/reject decisions. BitNet's pre-screener threshold (Section 4) is calibrated against this dataset. Target: ≥15 calibration samples before LQE goes live.</w:t>
      </w:r>
    </w:p>
    <w:p>
      <w:pPr>
        <w:pStyle w:val="Heading2"/>
        <w:spacing w:after="120" w:before="280"/>
      </w:pPr>
      <w:r>
        <w:rPr>
          <w:rFonts w:ascii="Arial" w:cs="Arial" w:eastAsia="Arial" w:hAnsi="Arial"/>
          <w:b/>
          <w:bCs/>
          <w:color w:val="0D7377"/>
          <w:sz w:val="28"/>
          <w:szCs w:val="28"/>
        </w:rPr>
        <w:t xml:space="preserve">3.4  Outcome Follow-Up Architecture (Day 1 Ready)</w:t>
      </w:r>
    </w:p>
    <w:p>
      <w:pPr>
        <w:spacing w:after="120" w:before="80"/>
      </w:pPr>
      <w:r>
        <w:rPr>
          <w:rFonts w:ascii="Arial" w:cs="Arial" w:eastAsia="Arial" w:hAnsi="Arial"/>
          <w:color w:val="1A1A1A"/>
          <w:sz w:val="22"/>
          <w:szCs w:val="22"/>
        </w:rPr>
        <w:t xml:space="preserve">Every generated letter creates an outcome_stub with these fields: letter_id, user_id (nullable for test data), generated_at, letter_type, denial_code, lqe_pass, prompt_version_hash, appeal_outcome (null at creation), outcome_reported_at (null). At 30 days post-generation, n8n triggers an automated follow-up email: "Did you hear back from your insurance company? Tell us what happened." Outcome data flows back into appeal_outcome_events. This is the proprietary dataset that becomes the competitive moat in Phase 3.</w:t>
      </w:r>
    </w:p>
    <w:p>
      <w:r>
        <w:br w:type="page"/>
      </w:r>
    </w:p>
    <w:p>
      <w:pPr>
        <w:pStyle w:val="Heading1"/>
        <w:spacing w:after="160" w:before="360"/>
      </w:pPr>
      <w:r>
        <w:rPr>
          <w:rFonts w:ascii="Arial" w:cs="Arial" w:eastAsia="Arial" w:hAnsi="Arial"/>
          <w:b/>
          <w:bCs/>
          <w:color w:val="1B3A5C"/>
          <w:sz w:val="36"/>
          <w:szCs w:val="36"/>
        </w:rPr>
        <w:t xml:space="preserve">Section 4 — LQE + BitNet Hybrid Path (Scalable Architecture)</w:t>
      </w:r>
    </w:p>
    <w:p>
      <w:pPr>
        <w:spacing w:after="120" w:before="80"/>
      </w:pPr>
      <w:r>
        <w:rPr>
          <w:rFonts w:ascii="Arial" w:cs="Arial" w:eastAsia="Arial" w:hAnsi="Arial"/>
          <w:color w:val="1A1A1A"/>
          <w:sz w:val="22"/>
          <w:szCs w:val="22"/>
        </w:rPr>
        <w:t xml:space="preserve">The current LQE runs 3 serial regex-based checks on every letter. This is correct and must remain the compliance backbone. BitNet adds a pre-screener layer that routes obviously clean letters away from the full LQE chain — saving API latency, reducing Kate queue load, and creating a training signal that improves over time. The architecture is designed to scale to 2,000+ letters/month without architectural changes.</w:t>
      </w:r>
    </w:p>
    <w:p>
      <w:pPr>
        <w:pStyle w:val="Heading2"/>
        <w:spacing w:after="120" w:before="280"/>
      </w:pPr>
      <w:r>
        <w:rPr>
          <w:rFonts w:ascii="Arial" w:cs="Arial" w:eastAsia="Arial" w:hAnsi="Arial"/>
          <w:b/>
          <w:bCs/>
          <w:color w:val="0D7377"/>
          <w:sz w:val="28"/>
          <w:szCs w:val="28"/>
        </w:rPr>
        <w:t xml:space="preserve">4.1  Three-Path Routing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Path</w:t>
            </w:r>
          </w:p>
        </w:tc>
        <w:tc>
          <w:tcPr>
            <w:tcW w:type="dxa" w:w="30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Trigger Condition</w:t>
            </w:r>
          </w:p>
        </w:tc>
        <w:tc>
          <w:tcPr>
            <w:tcW w:type="dxa" w:w="456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Processing Steps</w:t>
            </w:r>
          </w:p>
        </w:tc>
      </w:tr>
      <w:tr>
        <w:tc>
          <w:tcPr>
            <w:tcW w:type="dxa" w:w="1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FAST PATH</w:t>
            </w:r>
          </w:p>
        </w:tc>
        <w:tc>
          <w:tcPr>
            <w:tcW w:type="dxa" w:w="30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BitNet confidence ≥ 0.95 (clear pass)</w:t>
            </w:r>
          </w:p>
        </w:tc>
        <w:tc>
          <w:tcPr>
            <w:tcW w:type="dxa" w:w="4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BitNet pre-screen → skip LQE regex → direct to generation → output contract validation → disclaimer append → artifact state write</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STANDARD PATH</w:t>
            </w:r>
          </w:p>
        </w:tc>
        <w:tc>
          <w:tcPr>
            <w:tcW w:type="dxa" w:w="3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BitNet confidence 0.60–0.94 (borderline)</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BitNet pre-screen → full 3-check LQE (denial code accuracy, YMYL safety, legal framing) → if pass: generation → if fail: Kate queue</w:t>
            </w:r>
          </w:p>
        </w:tc>
      </w:tr>
      <w:tr>
        <w:tc>
          <w:tcPr>
            <w:tcW w:type="dxa" w:w="18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REVIEW PATH</w:t>
            </w:r>
          </w:p>
        </w:tc>
        <w:tc>
          <w:tcPr>
            <w:tcW w:type="dxa" w:w="30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BitNet confidence &lt; 0.60 OR any LQE check fails</w:t>
            </w:r>
          </w:p>
        </w:tc>
        <w:tc>
          <w:tcPr>
            <w:tcW w:type="dxa" w:w="456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BitNet flags → Kate review queue → failure_reason logged → Slack alert → Kate reviews within 24hr SLA</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SCALE PATH (signal-gated)</w:t>
            </w:r>
          </w:p>
        </w:tc>
        <w:tc>
          <w:tcPr>
            <w:tcW w:type="dxa" w:w="3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&gt;200 letters/month OR Kate load &gt;20% after LQE live</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Add 3-node parallel YMYL voting layer between LQE and generation. Trigger: MA-AUT-006 G4 signal.</w:t>
            </w:r>
          </w:p>
        </w:tc>
      </w:tr>
    </w:tbl>
    <w:p>
      <w:pPr>
        <w:spacing w:after="60" w:before="60"/>
      </w:pPr>
      <w:r>
        <w:t xml:space="preserve"/>
      </w:r>
    </w:p>
    <w:p>
      <w:pPr>
        <w:spacing w:after="120" w:before="80"/>
      </w:pPr>
      <w:r>
        <w:rPr>
          <w:rFonts w:ascii="Arial" w:cs="Arial" w:eastAsia="Arial" w:hAnsi="Arial"/>
          <w:color w:val="1A1A1A"/>
          <w:sz w:val="22"/>
          <w:szCs w:val="22"/>
        </w:rPr>
        <w:t xml:space="preserve">FAST PATH is only available after BitNet has been calibrated against ≥ 50 Kate-reviewed letters. Until calibration is complete, all letters route through STANDARD PATH. This is a safety invariant, not optional.</w:t>
      </w:r>
    </w:p>
    <w:p>
      <w:pPr>
        <w:pStyle w:val="Heading2"/>
        <w:spacing w:after="120" w:before="280"/>
      </w:pPr>
      <w:r>
        <w:rPr>
          <w:rFonts w:ascii="Arial" w:cs="Arial" w:eastAsia="Arial" w:hAnsi="Arial"/>
          <w:b/>
          <w:bCs/>
          <w:color w:val="0D7377"/>
          <w:sz w:val="28"/>
          <w:szCs w:val="28"/>
        </w:rPr>
        <w:t xml:space="preserve">4.2  BitNet Pre-Screener Design</w:t>
      </w:r>
    </w:p>
    <w:p>
      <w:pPr>
        <w:spacing w:after="120" w:before="80"/>
      </w:pPr>
      <w:r>
        <w:rPr>
          <w:rFonts w:ascii="Arial" w:cs="Arial" w:eastAsia="Arial" w:hAnsi="Arial"/>
          <w:color w:val="1A1A1A"/>
          <w:sz w:val="22"/>
          <w:szCs w:val="22"/>
        </w:rPr>
        <w:t xml:space="preserve">The pre-screener is a lightweight classification model running locally. It takes the assembled letter context (denial_code, letter_type, user_input_fields, assembled_prompt) as input and outputs a confidence score (0.0–1.0) indicating the probability the letter will pass all three LQE checks. It never generates letter content — it only routes.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Pre-Screener Input</w:t>
            </w:r>
          </w:p>
        </w:tc>
        <w:tc>
          <w:tcPr>
            <w:tcW w:type="dxa" w:w="63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What BitNet Evaluates</w:t>
            </w:r>
          </w:p>
        </w:tc>
      </w:tr>
      <w:tr>
        <w:tc>
          <w:tcPr>
            <w:tcW w:type="dxa" w:w="30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denial_code field</w:t>
            </w:r>
          </w:p>
        </w:tc>
        <w:tc>
          <w:tcPr>
            <w:tcW w:type="dxa" w:w="63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Is this code in the denial_codes registry? Is it matched to the correct appeal strategy? Denial code accuracy is LQE Check 1.</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letter_type + assembled_prompt</w:t>
            </w:r>
          </w:p>
        </w:tc>
        <w:tc>
          <w:tcPr>
            <w:tcW w:type="dxa" w:w="63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Are YMYL_PATTERNS from lqe.ts likely to trigger? Fast regex approximation before the full check runs.</w:t>
            </w:r>
          </w:p>
        </w:tc>
      </w:tr>
      <w:tr>
        <w:tc>
          <w:tcPr>
            <w:tcW w:type="dxa" w:w="30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legal_framing_signals</w:t>
            </w:r>
          </w:p>
        </w:tc>
        <w:tc>
          <w:tcPr>
            <w:tcW w:type="dxa" w:w="63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Are LEGAL_PATTERNS from lqe.ts likely to trigger? Particularly: guaranteed outcomes, specific legal advice language, attorney solicitation.</w:t>
            </w:r>
          </w:p>
        </w:tc>
      </w:tr>
      <w:tr>
        <w:tc>
          <w:tcPr>
            <w:tcW w:type="dxa" w:w="30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prompt_version_hash</w:t>
            </w:r>
          </w:p>
        </w:tc>
        <w:tc>
          <w:tcPr>
            <w:tcW w:type="dxa" w:w="63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Has this exact prompt version passed LQE before? If hash match found in approval history → fast path eligible.</w:t>
            </w:r>
          </w:p>
        </w:tc>
      </w:tr>
    </w:tbl>
    <w:p>
      <w:pPr>
        <w:pStyle w:val="Heading2"/>
        <w:spacing w:after="120" w:before="280"/>
      </w:pPr>
      <w:r>
        <w:rPr>
          <w:rFonts w:ascii="Arial" w:cs="Arial" w:eastAsia="Arial" w:hAnsi="Arial"/>
          <w:b/>
          <w:bCs/>
          <w:color w:val="0D7377"/>
          <w:sz w:val="28"/>
          <w:szCs w:val="28"/>
        </w:rPr>
        <w:t xml:space="preserve">4.3  Training Loop (Compounding Accuracy)</w:t>
      </w:r>
    </w:p>
    <w:p>
      <w:pPr>
        <w:spacing w:after="120" w:before="80"/>
      </w:pPr>
      <w:r>
        <w:rPr>
          <w:rFonts w:ascii="Arial" w:cs="Arial" w:eastAsia="Arial" w:hAnsi="Arial"/>
          <w:color w:val="1A1A1A"/>
          <w:sz w:val="22"/>
          <w:szCs w:val="22"/>
        </w:rPr>
        <w:t xml:space="preserve">Every Kate review decision — approve or reject — is written back to a bitnet_calibration table in Supabase. BitNet re-trains weekly on the accumulated calibration data. The expected false positive rate trajectory: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Calibration Stage</w:t>
            </w:r>
          </w:p>
        </w:tc>
        <w:tc>
          <w:tcPr>
            <w:tcW w:type="dxa" w:w="6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Expected False Positive Rate</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0–50 letters reviewed (pre-calibration)</w:t>
            </w:r>
          </w:p>
        </w:tc>
        <w:tc>
          <w:tcPr>
            <w:tcW w:type="dxa" w:w="6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Standard path only. BitNet pre-screener inactive.</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50–150 letters reviewed</w:t>
            </w:r>
          </w:p>
        </w:tc>
        <w:tc>
          <w:tcPr>
            <w:tcW w:type="dxa" w:w="6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Fast path active. False positive rate: 15–20%. Kate still reviews all fast-path outputs at first.</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150–500 letters reviewed</w:t>
            </w:r>
          </w:p>
        </w:tc>
        <w:tc>
          <w:tcPr>
            <w:tcW w:type="dxa" w:w="6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Fast path active. False positive rate: 8–12%. Target &lt;10% met (MA-AUT-006 G1 spec).</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500+ letters reviewed</w:t>
            </w:r>
          </w:p>
        </w:tc>
        <w:tc>
          <w:tcPr>
            <w:tcW w:type="dxa" w:w="6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Fast path handles 60–70% of volume. Kate queue shrinks to escalations and edge cases.</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&gt;200 letters/month (signal gate)</w:t>
            </w:r>
          </w:p>
        </w:tc>
        <w:tc>
          <w:tcPr>
            <w:tcW w:type="dxa" w:w="6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Activate parallel YMYL voting (3 nodes). Kate reviews only when voting is not unanimous.</w:t>
            </w:r>
          </w:p>
        </w:tc>
      </w:tr>
    </w:tbl>
    <w:p>
      <w:pPr>
        <w:spacing w:after="60" w:before="60"/>
      </w:pPr>
      <w:r>
        <w:t xml:space="preserve"/>
      </w:r>
    </w:p>
    <w:p>
      <w:pPr>
        <w:spacing w:after="120" w:before="80"/>
      </w:pPr>
      <w:r>
        <w:rPr>
          <w:rFonts w:ascii="Arial" w:cs="Arial" w:eastAsia="Arial" w:hAnsi="Arial"/>
          <w:color w:val="1A1A1A"/>
          <w:sz w:val="22"/>
          <w:szCs w:val="22"/>
        </w:rPr>
        <w:t xml:space="preserve">The training loop is the compounding moat. The longer the platform runs, the better BitNet routes, the lower Kate's review burden, and the lower the Anthropic API cost per letter. At 500 calibration samples, estimated Anthropic API cost reduction: 35–40% through avoided full LQE processing overhead.</w:t>
      </w:r>
    </w:p>
    <w:p>
      <w:pPr>
        <w:pStyle w:val="Heading2"/>
        <w:spacing w:after="120" w:before="280"/>
      </w:pPr>
      <w:r>
        <w:rPr>
          <w:rFonts w:ascii="Arial" w:cs="Arial" w:eastAsia="Arial" w:hAnsi="Arial"/>
          <w:b/>
          <w:bCs/>
          <w:color w:val="0D7377"/>
          <w:sz w:val="28"/>
          <w:szCs w:val="28"/>
        </w:rPr>
        <w:t xml:space="preserve">4.4  Implementation Sequence</w:t>
      </w:r>
    </w:p>
    <w:p>
      <w:pPr>
        <w:pStyle w:val="ListParagraph"/>
        <w:numPr>
          <w:ilvl w:val="0"/>
          <w:numId w:val="2"/>
        </w:numPr>
        <w:spacing w:after="60" w:before="60"/>
        <w:ind w:left="720" w:hanging="360"/>
      </w:pPr>
      <w:r>
        <w:rPr>
          <w:rFonts w:ascii="Arial" w:cs="Arial" w:eastAsia="Arial" w:hAnsi="Arial"/>
          <w:color w:val="1A1A1A"/>
          <w:sz w:val="22"/>
          <w:szCs w:val="22"/>
        </w:rPr>
        <w:t xml:space="preserve">Sprint 1: Deploy bitnet_calibration table stub. Log every Kate review decision with letter_id, lqe_result, kate_decision, failure_reason, prompt_version_hash.</w:t>
      </w:r>
    </w:p>
    <w:p>
      <w:pPr>
        <w:pStyle w:val="ListParagraph"/>
        <w:numPr>
          <w:ilvl w:val="0"/>
          <w:numId w:val="2"/>
        </w:numPr>
        <w:spacing w:after="60" w:before="60"/>
        <w:ind w:left="720" w:hanging="360"/>
      </w:pPr>
      <w:r>
        <w:rPr>
          <w:rFonts w:ascii="Arial" w:cs="Arial" w:eastAsia="Arial" w:hAnsi="Arial"/>
          <w:color w:val="1A1A1A"/>
          <w:sz w:val="22"/>
          <w:szCs w:val="22"/>
        </w:rPr>
        <w:t xml:space="preserve">Sprint 1: Instrument generateLetter() to write to calibration table on every letter outcome.</w:t>
      </w:r>
    </w:p>
    <w:p>
      <w:pPr>
        <w:pStyle w:val="ListParagraph"/>
        <w:numPr>
          <w:ilvl w:val="0"/>
          <w:numId w:val="2"/>
        </w:numPr>
        <w:spacing w:after="60" w:before="60"/>
        <w:ind w:left="720" w:hanging="360"/>
      </w:pPr>
      <w:r>
        <w:rPr>
          <w:rFonts w:ascii="Arial" w:cs="Arial" w:eastAsia="Arial" w:hAnsi="Arial"/>
          <w:color w:val="1A1A1A"/>
          <w:sz w:val="22"/>
          <w:szCs w:val="22"/>
        </w:rPr>
        <w:t xml:space="preserve">Sprint 2: Build BitNet pre-screener model. Wire into generateLetter() before LQE call. Default: standard path. Fast path gated behind calibration_samples ≥ 50 flag.</w:t>
      </w:r>
    </w:p>
    <w:p>
      <w:pPr>
        <w:pStyle w:val="ListParagraph"/>
        <w:numPr>
          <w:ilvl w:val="0"/>
          <w:numId w:val="2"/>
        </w:numPr>
        <w:spacing w:after="60" w:before="60"/>
        <w:ind w:left="720" w:hanging="360"/>
      </w:pPr>
      <w:r>
        <w:rPr>
          <w:rFonts w:ascii="Arial" w:cs="Arial" w:eastAsia="Arial" w:hAnsi="Arial"/>
          <w:color w:val="1A1A1A"/>
          <w:sz w:val="22"/>
          <w:szCs w:val="22"/>
        </w:rPr>
        <w:t xml:space="preserve">Sprint 2: Calibrate with Kate. Run 15–20 intentional test scenarios. Record decisions. Set fast path threshold.</w:t>
      </w:r>
    </w:p>
    <w:p>
      <w:pPr>
        <w:pStyle w:val="ListParagraph"/>
        <w:numPr>
          <w:ilvl w:val="0"/>
          <w:numId w:val="2"/>
        </w:numPr>
        <w:spacing w:after="60" w:before="60"/>
        <w:ind w:left="720" w:hanging="360"/>
      </w:pPr>
      <w:r>
        <w:rPr>
          <w:rFonts w:ascii="Arial" w:cs="Arial" w:eastAsia="Arial" w:hAnsi="Arial"/>
          <w:color w:val="1A1A1A"/>
          <w:sz w:val="22"/>
          <w:szCs w:val="22"/>
        </w:rPr>
        <w:t xml:space="preserve">Sprint 3: Enable fast path. Monitor false positive rate weekly via n8n digest. Adjust threshold if rate exceeds 10%.</w:t>
      </w:r>
    </w:p>
    <w:p>
      <w:r>
        <w:br w:type="page"/>
      </w:r>
    </w:p>
    <w:p>
      <w:pPr>
        <w:pStyle w:val="Heading1"/>
        <w:spacing w:after="160" w:before="360"/>
      </w:pPr>
      <w:r>
        <w:rPr>
          <w:rFonts w:ascii="Arial" w:cs="Arial" w:eastAsia="Arial" w:hAnsi="Arial"/>
          <w:b/>
          <w:bCs/>
          <w:color w:val="1B3A5C"/>
          <w:sz w:val="36"/>
          <w:szCs w:val="36"/>
        </w:rPr>
        <w:t xml:space="preserve">Section 5 — Competitive Signal Collection</w:t>
      </w:r>
    </w:p>
    <w:p>
      <w:pPr>
        <w:spacing w:after="120" w:before="80"/>
      </w:pPr>
      <w:r>
        <w:rPr>
          <w:rFonts w:ascii="Arial" w:cs="Arial" w:eastAsia="Arial" w:hAnsi="Arial"/>
          <w:color w:val="1A1A1A"/>
          <w:sz w:val="22"/>
          <w:szCs w:val="22"/>
        </w:rPr>
        <w:t xml:space="preserve">Three to six months of structured competitive intelligence in the context registry before launch means your denial code pages, cornerstone guides, and appeal letters launch already enriched — not built on static data that was current in 2023. This is a compounding first-mover advantage that gets harder for competitors to replicate as time passes.</w:t>
      </w:r>
    </w:p>
    <w:p>
      <w:pPr>
        <w:pStyle w:val="Heading2"/>
        <w:spacing w:after="120" w:before="280"/>
      </w:pPr>
      <w:r>
        <w:rPr>
          <w:rFonts w:ascii="Arial" w:cs="Arial" w:eastAsia="Arial" w:hAnsi="Arial"/>
          <w:b/>
          <w:bCs/>
          <w:color w:val="0D7377"/>
          <w:sz w:val="28"/>
          <w:szCs w:val="28"/>
        </w:rPr>
        <w:t xml:space="preserve">5.1  Signal Source Inventory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Source</w:t>
            </w:r>
          </w:p>
        </w:tc>
        <w:tc>
          <w:tcPr>
            <w:tcW w:type="dxa" w:w="358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Data Available</w:t>
            </w:r>
          </w:p>
        </w:tc>
        <w:tc>
          <w:tcPr>
            <w:tcW w:type="dxa" w:w="3580"/>
            <w:tcBorders>
              <w:top w:val="single" w:color="C8D8E4" w:sz="1"/>
              <w:left w:val="single" w:color="C8D8E4" w:sz="1"/>
              <w:bottom w:val="single" w:color="C8D8E4" w:sz="1"/>
              <w:right w:val="single" w:color="C8D8E4" w:sz="1"/>
            </w:tcBorders>
            <w:shd w:fill="1B3A5C" w:val="clear"/>
            <w:tcMar>
              <w:top w:type="dxa" w:w="100"/>
              <w:left w:type="dxa" w:w="120"/>
              <w:bottom w:type="dxa" w:w="100"/>
              <w:right w:type="dxa" w:w="120"/>
            </w:tcMar>
          </w:tcPr>
          <w:p>
            <w:r>
              <w:rPr>
                <w:rFonts w:ascii="Arial" w:cs="Arial" w:eastAsia="Arial" w:hAnsi="Arial"/>
                <w:b/>
                <w:bCs/>
                <w:color w:val="FFFFFF"/>
                <w:sz w:val="21"/>
                <w:szCs w:val="21"/>
              </w:rPr>
              <w:t xml:space="preserve">Collection Method</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CMS Denial Rate Reports</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Denial rates by payer, plan type, state — Medicare/Medicaid claim-level data</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monthly fetch from cms.gov data portal; BitNet classifies by denial category</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NAIC State Filings</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State-level insurance complaint data; payer-specific denial trends; appeal outcomes by state</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quarterly fetch from naic.org; enriches state_rights_registry</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OSHPD / State Health Data</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California hospital billing, claim denial, and dispute outcome data (most detailed public dataset)</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monthly; CA-first, expand to NY/TX/FL in Phase 2</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Payer Bulletin Feeds</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Coverage policy changes, new prior auth requirements, billing code updates published by insurers</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weekly RSS/web fetch for top 10 payers by market share; BitNet classifies impact level</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Academic / Advocacy Org Reports</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KFF, AHIP, OIG, Commonwealth Fund — appeal success rates, denial trends, policy analysis</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quarterly; primary source for brand stat validation and citation freshness</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Reddit r/HealthInsurance</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Patient-voice denial stories, confusion signals, emerging denial code questions</w:t>
            </w:r>
          </w:p>
        </w:tc>
        <w:tc>
          <w:tcPr>
            <w:tcW w:type="dxa" w:w="35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Manual curation only (MA-SOC-002 Reddit ToS rule). Monthly review session logged to story_bank.</w:t>
            </w:r>
          </w:p>
        </w:tc>
      </w:tr>
      <w:tr>
        <w:tc>
          <w:tcPr>
            <w:tcW w:type="dxa" w:w="220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Google Trends + Search Console</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Search volume trends for denial code terms; emerging query patterns; seasonal spikes</w:t>
            </w:r>
          </w:p>
        </w:tc>
        <w:tc>
          <w:tcPr>
            <w:tcW w:type="dxa" w:w="3580"/>
            <w:tcBorders>
              <w:top w:val="single" w:color="C8D8E4" w:sz="1"/>
              <w:left w:val="single" w:color="C8D8E4" w:sz="1"/>
              <w:bottom w:val="single" w:color="C8D8E4" w:sz="1"/>
              <w:right w:val="single" w:color="C8D8E4" w:sz="1"/>
            </w:tcBorders>
            <w:shd w:fill="F7F9FB" w:val="clear"/>
            <w:tcMar>
              <w:top w:type="dxa" w:w="80"/>
              <w:left w:type="dxa" w:w="120"/>
              <w:bottom w:type="dxa" w:w="80"/>
              <w:right w:type="dxa" w:w="120"/>
            </w:tcMar>
          </w:tcPr>
          <w:p>
            <w:pPr>
              <w:spacing w:after="40" w:before="40"/>
            </w:pPr>
            <w:r>
              <w:rPr>
                <w:rFonts w:ascii="Arial" w:cs="Arial" w:eastAsia="Arial" w:hAnsi="Arial"/>
                <w:color w:val="1A1A1A"/>
                <w:sz w:val="21"/>
                <w:szCs w:val="21"/>
              </w:rPr>
              <w:t xml:space="preserve">n8n weekly via Search Console API; BitNet flags new high-volume terms for GEO-01 queue</w:t>
            </w:r>
          </w:p>
        </w:tc>
      </w:tr>
    </w:tbl>
    <w:p>
      <w:pPr>
        <w:pStyle w:val="Heading2"/>
        <w:spacing w:after="120" w:before="280"/>
      </w:pPr>
      <w:r>
        <w:rPr>
          <w:rFonts w:ascii="Arial" w:cs="Arial" w:eastAsia="Arial" w:hAnsi="Arial"/>
          <w:b/>
          <w:bCs/>
          <w:color w:val="0D7377"/>
          <w:sz w:val="28"/>
          <w:szCs w:val="28"/>
        </w:rPr>
        <w:t xml:space="preserve">5.2  Intelligence Pipeline Architecture</w:t>
      </w:r>
    </w:p>
    <w:p>
      <w:pPr>
        <w:spacing w:after="120" w:before="80"/>
      </w:pPr>
      <w:r>
        <w:rPr>
          <w:rFonts w:ascii="Arial" w:cs="Arial" w:eastAsia="Arial" w:hAnsi="Arial"/>
          <w:color w:val="1A1A1A"/>
          <w:sz w:val="22"/>
          <w:szCs w:val="22"/>
        </w:rPr>
        <w:t xml:space="preserve">Raw signal data flows through a 4-stage pipeline before it reaches agents or the context registry:</w:t>
      </w:r>
    </w:p>
    <w:p>
      <w:pPr>
        <w:spacing w:after="60" w:before="60"/>
      </w:pPr>
      <w:r>
        <w:t xml:space="preserve"/>
      </w:r>
    </w:p>
    <w:p>
      <w:pPr>
        <w:pStyle w:val="ListParagraph"/>
        <w:numPr>
          <w:ilvl w:val="0"/>
          <w:numId w:val="2"/>
        </w:numPr>
        <w:spacing w:after="60" w:before="60"/>
        <w:ind w:left="720" w:hanging="360"/>
      </w:pPr>
      <w:r>
        <w:rPr>
          <w:rFonts w:ascii="Arial" w:cs="Arial" w:eastAsia="Arial" w:hAnsi="Arial"/>
          <w:b/>
          <w:bCs/>
          <w:color w:val="1A1A1A"/>
          <w:sz w:val="22"/>
          <w:szCs w:val="22"/>
        </w:rPr>
        <w:t xml:space="preserve">Stage 1 — Collection: </w:t>
      </w:r>
      <w:r>
        <w:rPr>
          <w:rFonts w:ascii="Arial" w:cs="Arial" w:eastAsia="Arial" w:hAnsi="Arial"/>
          <w:color w:val="1A1A1A"/>
          <w:sz w:val="22"/>
          <w:szCs w:val="22"/>
        </w:rPr>
        <w:t xml:space="preserve">n8n weekly/monthly jobs fetch from each source. Raw data stored in Supabase competitive_signals table (new migration needed — see Section 6).</w:t>
      </w:r>
    </w:p>
    <w:p>
      <w:pPr>
        <w:pStyle w:val="ListParagraph"/>
        <w:numPr>
          <w:ilvl w:val="0"/>
          <w:numId w:val="2"/>
        </w:numPr>
        <w:spacing w:after="60" w:before="60"/>
        <w:ind w:left="720" w:hanging="360"/>
      </w:pPr>
      <w:r>
        <w:rPr>
          <w:rFonts w:ascii="Arial" w:cs="Arial" w:eastAsia="Arial" w:hAnsi="Arial"/>
          <w:b/>
          <w:bCs/>
          <w:color w:val="1A1A1A"/>
          <w:sz w:val="22"/>
          <w:szCs w:val="22"/>
        </w:rPr>
        <w:t xml:space="preserve">Stage 2 — Classification: </w:t>
      </w:r>
      <w:r>
        <w:rPr>
          <w:rFonts w:ascii="Arial" w:cs="Arial" w:eastAsia="Arial" w:hAnsi="Arial"/>
          <w:color w:val="1A1A1A"/>
          <w:sz w:val="22"/>
          <w:szCs w:val="22"/>
        </w:rPr>
        <w:t xml:space="preserve">BitNet classifies each signal by: denial_category (medical_necessity / administrative / coverage / prior_auth), payer_impact (specific insurer or industry-wide), urgency (routine / policy_change / breaking), cluster_relevance (which of the 12 SEO clusters this signal affects most).</w:t>
      </w:r>
    </w:p>
    <w:p>
      <w:pPr>
        <w:pStyle w:val="ListParagraph"/>
        <w:numPr>
          <w:ilvl w:val="0"/>
          <w:numId w:val="2"/>
        </w:numPr>
        <w:spacing w:after="60" w:before="60"/>
        <w:ind w:left="720" w:hanging="360"/>
      </w:pPr>
      <w:r>
        <w:rPr>
          <w:rFonts w:ascii="Arial" w:cs="Arial" w:eastAsia="Arial" w:hAnsi="Arial"/>
          <w:b/>
          <w:bCs/>
          <w:color w:val="1A1A1A"/>
          <w:sz w:val="22"/>
          <w:szCs w:val="22"/>
        </w:rPr>
        <w:t xml:space="preserve">Stage 3 — Context Registry Update: </w:t>
      </w:r>
      <w:r>
        <w:rPr>
          <w:rFonts w:ascii="Arial" w:cs="Arial" w:eastAsia="Arial" w:hAnsi="Arial"/>
          <w:color w:val="1A1A1A"/>
          <w:sz w:val="22"/>
          <w:szCs w:val="22"/>
        </w:rPr>
        <w:t xml:space="preserve">High-urgency signals (policy_change, breaking) trigger an immediate context registry update. Routine signals batch-update weekly. The seo_clusters.json denial_volume_share fields are refreshed quarterly from CMS data. The denial_codes.json appeal_success_rate fields are refreshed when new OIG/KFF reports publish.</w:t>
      </w:r>
    </w:p>
    <w:p>
      <w:pPr>
        <w:pStyle w:val="ListParagraph"/>
        <w:numPr>
          <w:ilvl w:val="0"/>
          <w:numId w:val="2"/>
        </w:numPr>
        <w:spacing w:after="60" w:before="60"/>
        <w:ind w:left="720" w:hanging="360"/>
      </w:pPr>
      <w:r>
        <w:rPr>
          <w:rFonts w:ascii="Arial" w:cs="Arial" w:eastAsia="Arial" w:hAnsi="Arial"/>
          <w:b/>
          <w:bCs/>
          <w:color w:val="1A1A1A"/>
          <w:sz w:val="22"/>
          <w:szCs w:val="22"/>
        </w:rPr>
        <w:t xml:space="preserve">Stage 4 — Agent Briefing: </w:t>
      </w:r>
      <w:r>
        <w:rPr>
          <w:rFonts w:ascii="Arial" w:cs="Arial" w:eastAsia="Arial" w:hAnsi="Arial"/>
          <w:color w:val="1A1A1A"/>
          <w:sz w:val="22"/>
          <w:szCs w:val="22"/>
        </w:rPr>
        <w:t xml:space="preserve">n8n weekly digest surfaces top 3–5 signals to Slack: new payer policy changes, CMS data updates, trending denial code queries. GEO agents receive signals as structured context on their next content sprint. Surge-timing tags applied to policy cluster pages when breaking signals warrant it.</w:t>
      </w:r>
    </w:p>
    <w:p>
      <w:pPr>
        <w:pStyle w:val="Heading2"/>
        <w:spacing w:after="120" w:before="280"/>
      </w:pPr>
      <w:r>
        <w:rPr>
          <w:rFonts w:ascii="Arial" w:cs="Arial" w:eastAsia="Arial" w:hAnsi="Arial"/>
          <w:b/>
          <w:bCs/>
          <w:color w:val="0D7377"/>
          <w:sz w:val="28"/>
          <w:szCs w:val="28"/>
        </w:rPr>
        <w:t xml:space="preserve">5.3  Payer Intelligence Registry</w:t>
      </w:r>
    </w:p>
    <w:p>
      <w:pPr>
        <w:spacing w:after="120" w:before="80"/>
      </w:pPr>
      <w:r>
        <w:rPr>
          <w:rFonts w:ascii="Arial" w:cs="Arial" w:eastAsia="Arial" w:hAnsi="Arial"/>
          <w:color w:val="1A1A1A"/>
          <w:sz w:val="22"/>
          <w:szCs w:val="22"/>
        </w:rPr>
        <w:t xml:space="preserve">A new context_registry/payer_intelligence.json file captures structured payer-level data: denial_rate_by_category, known_prior_auth_triggers, appeal_win_rate_by_letter_type, recent_policy_changes[], and last_updated timestamp. BitNet populates this from CMS and NAIC data. This registry becomes the data layer that makes MyAdvocate appeal letters payer-aware — a capability no existing tool has. Payer-specific tuning is a Phase 2 feature in generateLetter(), but the registry needs to start collecting now so it has data when the feature ships.</w:t>
      </w:r>
    </w:p>
    <w:p>
      <w:r>
        <w:br w:type="page"/>
      </w:r>
    </w:p>
    <w:p>
      <w:pPr>
        <w:pStyle w:val="Heading1"/>
        <w:spacing w:after="160" w:before="360"/>
      </w:pPr>
      <w:r>
        <w:rPr>
          <w:rFonts w:ascii="Arial" w:cs="Arial" w:eastAsia="Arial" w:hAnsi="Arial"/>
          <w:b/>
          <w:bCs/>
          <w:color w:val="1B3A5C"/>
          <w:sz w:val="36"/>
          <w:szCs w:val="36"/>
        </w:rPr>
        <w:t xml:space="preserve">Section 6 — Integration Sequence (Pre-Launch Calendar)</w:t>
      </w:r>
    </w:p>
    <w:p>
      <w:pPr>
        <w:spacing w:after="120" w:before="80"/>
      </w:pPr>
      <w:r>
        <w:rPr>
          <w:rFonts w:ascii="Arial" w:cs="Arial" w:eastAsia="Arial" w:hAnsi="Arial"/>
          <w:color w:val="1A1A1A"/>
          <w:sz w:val="22"/>
          <w:szCs w:val="22"/>
        </w:rPr>
        <w:t xml:space="preserve">All six workstreams are internal-only and can proceed in parallel after the Sprint 1 launch blockers clear. The sequence below prioritizes by dependency: infrastructure first, intelligence layer second, automation layer third, signal layer last.</w:t>
      </w:r>
    </w:p>
    <w:p>
      <w:pPr>
        <w:pStyle w:val="Heading2"/>
        <w:spacing w:after="120" w:before="280"/>
      </w:pPr>
      <w:r>
        <w:rPr>
          <w:rFonts w:ascii="Arial" w:cs="Arial" w:eastAsia="Arial" w:hAnsi="Arial"/>
          <w:b/>
          <w:bCs/>
          <w:color w:val="0D7377"/>
          <w:sz w:val="28"/>
          <w:szCs w:val="28"/>
        </w:rPr>
        <w:t xml:space="preserve">Week 1–2: Infrastructure Layer (Sprint 1 Blockers + Data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Task</w:t>
            </w:r>
          </w:p>
        </w:tc>
        <w:tc>
          <w:tcPr>
            <w:tcW w:type="dxa" w:w="5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Owner / Notes</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Deploy migration 016 (scrub_records)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required before Story Bank logs any scrubbed story</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Deploy migration 019 (friction_events stub)</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instrument Denial Decoder, Appeal, Bill Dispute tools immediately</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Deploy migration 020 (appeal_outcome_events)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every letter generation writes outcome stub at creation</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Deploy migration 021 (bitnet_calibration)</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Kate review decisions log here; pre-screener trains on this data</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Deploy migration 022 (competitive_signals stub)</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raw signal data lands here before BitNet classification</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skeleton: CTO Sentinel + budget webhooks</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replace console.log tripwires with n8n webhook alerts Day 1</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Supabase webhook → email YMYL notification (Kate + Sarsh)</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Sprint 1 launch gate per MA-SEC-002 P27</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7-gate chain spec + Gates 1–3 in generateLetter()</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Sprint 1 launch gate per MA-AUT-006 G6</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Trust pages → attorney review engagement</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Sarsh — Sprint 1; gates all content publish per MA-EEAT-001 §5.1</w:t>
            </w:r>
          </w:p>
        </w:tc>
      </w:tr>
    </w:tbl>
    <w:p>
      <w:pPr>
        <w:pStyle w:val="Heading2"/>
        <w:spacing w:after="120" w:before="280"/>
      </w:pPr>
      <w:r>
        <w:rPr>
          <w:rFonts w:ascii="Arial" w:cs="Arial" w:eastAsia="Arial" w:hAnsi="Arial"/>
          <w:b/>
          <w:bCs/>
          <w:color w:val="0D7377"/>
          <w:sz w:val="28"/>
          <w:szCs w:val="28"/>
        </w:rPr>
        <w:t xml:space="preserve">Week 3–4: Intelligence Layer (BitNet First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Task</w:t>
            </w:r>
          </w:p>
        </w:tc>
        <w:tc>
          <w:tcPr>
            <w:tcW w:type="dxa" w:w="5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Owner / Notes</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service setup — local model, REST interface</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document stopping conditions per MA-AUT-006 G3 invariant</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cluster scoring pass — all 12 clusters</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 outputs cluster_priority_score to seo_clusters.json</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page scoring pass — all 237 pages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 outputs page_priority_score to content_pages.json</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ranked_queue.json generation — first pass</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 Dev — GEO agents read this file for content sprint prioritization</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Book chapter scan (any existing drafts)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 coverage_gaps, keyword_signals, cluster_affinity to context_registry/</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LQE calibration test scenarios with Kate (15–20 letters)</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Kate + Sarsh — sets fast path threshold for Sprint 2</w:t>
            </w:r>
          </w:p>
        </w:tc>
      </w:tr>
    </w:tbl>
    <w:p>
      <w:pPr>
        <w:pStyle w:val="Heading2"/>
        <w:spacing w:after="120" w:before="280"/>
      </w:pPr>
      <w:r>
        <w:rPr>
          <w:rFonts w:ascii="Arial" w:cs="Arial" w:eastAsia="Arial" w:hAnsi="Arial"/>
          <w:b/>
          <w:bCs/>
          <w:color w:val="0D7377"/>
          <w:sz w:val="28"/>
          <w:szCs w:val="28"/>
        </w:rPr>
        <w:t xml:space="preserve">Week 5–6: Automation Layer (n8n + Slack)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Task</w:t>
            </w:r>
          </w:p>
        </w:tc>
        <w:tc>
          <w:tcPr>
            <w:tcW w:type="dxa" w:w="5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Owner / Notes</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content staging pipeline — dry run (5 pages)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fires all stages but suppresses publish step</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weekly cluster scoring job (Sunday 2am)</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re-runs BitNet scoring, updates ranked_queue.json</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outcome follow-up email (30-day trigger)</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fires for every appeal_outcome_events record with null outcome</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Slack ops command center — founder_inbox tables + approval routing</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L1/L2/L3 approval model from Slack Agent Starter Kit</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daily digest — surfaces top signals, queue depth, budget status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replaces manual status checks</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payer bulletin feed collection (weekly)</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first competitive signal source online</w:t>
            </w:r>
          </w:p>
        </w:tc>
      </w:tr>
    </w:tbl>
    <w:p>
      <w:pPr>
        <w:pStyle w:val="Heading2"/>
        <w:spacing w:after="120" w:before="280"/>
      </w:pPr>
      <w:r>
        <w:rPr>
          <w:rFonts w:ascii="Arial" w:cs="Arial" w:eastAsia="Arial" w:hAnsi="Arial"/>
          <w:b/>
          <w:bCs/>
          <w:color w:val="0D7377"/>
          <w:sz w:val="28"/>
          <w:szCs w:val="28"/>
        </w:rPr>
        <w:t xml:space="preserve">Week 7–8: Signal Layer (Competitive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Task</w:t>
            </w:r>
          </w:p>
        </w:tc>
        <w:tc>
          <w:tcPr>
            <w:tcW w:type="dxa" w:w="5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Owner / Notes</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CMS data fetch + BitNet classification (first pass)</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n8n + BitNet — updates denial_volume_share fields in seo_clusters.json</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payer_intelligence.json registry initialized</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 top 10 payers seeded from CMS + NAIC data</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Google Search Console API connection</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Dev + Sarsh — property verified; weekly keyword trend job active</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context_registry enrichment pass (full)</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 all registries refreshed with competitive signal data</w:t>
            </w:r>
          </w:p>
        </w:tc>
      </w:tr>
      <w:tr>
        <w:tc>
          <w:tcPr>
            <w:tcW w:type="dxa" w:w="4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First internal Reddit curation session</w:t>
            </w:r>
          </w:p>
        </w:tc>
        <w:tc>
          <w:tcPr>
            <w:tcW w:type="dxa" w:w="5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Sarsh — 5–10 patient stories manually reviewed; eligible ones logged to story_bank</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Week 8 review: ranked_queue.json vs GEO agent output alignment</w:t>
            </w:r>
          </w:p>
        </w:tc>
        <w:tc>
          <w:tcPr>
            <w:tcW w:type="dxa" w:w="5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Sarsh — confirm first 10 pages in queue match Sprint 2 content plan</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4" w:sz="1"/>
              <w:left w:val="single" w:color="C8D8E4" w:sz="1"/>
              <w:bottom w:val="single" w:color="C8D8E4" w:sz="1"/>
              <w:right w:val="single" w:color="C8D8E4" w:sz="1"/>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Pre-Launch Gate Check (Before Public Traffic)</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Sprint 1 blockers cleared: 7-gate chain, YMYL notifications, trust pages attorney-reviewed</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Staging pipeline dry-run passed: all 5 test pages cleared all stages</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BitNet scoring active: ranked_queue.json populated, GEO agents briefed</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Data schema live: friction_events, outcome_stubs, calibration table all collecting</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Competitive signal jobs running: at least CMS data and payer bulletin feeds active</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Kate calibration: ≥15 test letters reviewed, fast path threshold set</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n8n daily digest live: Sarsh receiving daily briefings</w:t>
            </w:r>
          </w:p>
        </w:tc>
      </w:tr>
      <w:tr>
        <w:tc>
          <w:tcPr>
            <w:tcW w:type="dxa" w:w="9360"/>
            <w:tcBorders>
              <w:top w:val="single" w:color="C8D8E4" w:sz="1"/>
              <w:left w:val="single" w:color="C8D8E4" w:sz="1"/>
              <w:bottom w:val="single" w:color="C8D8E4" w:sz="1"/>
              <w:right w:val="single" w:color="C8D8E4" w:sz="1"/>
            </w:tcBorders>
            <w:shd w:fill="E8F5E9"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Slack ops: founder_inbox operational, L1/L2/L3 approval routing active</w:t>
            </w:r>
          </w:p>
        </w:tc>
      </w:tr>
    </w:tbl>
    <w:p>
      <w:pPr>
        <w:spacing w:after="60" w:before="60"/>
      </w:pPr>
      <w:r>
        <w:t xml:space="preserve"/>
      </w:r>
    </w:p>
    <w:p>
      <w:r>
        <w:br w:type="page"/>
      </w:r>
    </w:p>
    <w:p>
      <w:pPr>
        <w:pStyle w:val="Heading1"/>
        <w:spacing w:after="160" w:before="360"/>
      </w:pPr>
      <w:r>
        <w:rPr>
          <w:rFonts w:ascii="Arial" w:cs="Arial" w:eastAsia="Arial" w:hAnsi="Arial"/>
          <w:b/>
          <w:bCs/>
          <w:color w:val="1B3A5C"/>
          <w:sz w:val="36"/>
          <w:szCs w:val="36"/>
        </w:rPr>
        <w:t xml:space="preserve">Section 7 — Additional Recommendations</w:t>
      </w:r>
    </w:p>
    <w:p>
      <w:pPr>
        <w:spacing w:after="120" w:before="80"/>
      </w:pPr>
      <w:r>
        <w:rPr>
          <w:rFonts w:ascii="Arial" w:cs="Arial" w:eastAsia="Arial" w:hAnsi="Arial"/>
          <w:color w:val="1A1A1A"/>
          <w:sz w:val="22"/>
          <w:szCs w:val="22"/>
        </w:rPr>
        <w:t xml:space="preserve">The following five items are not in the current CLAUDE.md Phase 2 roadmap but represent high-value, low-effort pre-launch investments given the accelerated architecture.</w:t>
      </w:r>
    </w:p>
    <w:p>
      <w:pPr>
        <w:pStyle w:val="Heading2"/>
        <w:spacing w:after="120" w:before="280"/>
      </w:pPr>
      <w:r>
        <w:rPr>
          <w:rFonts w:ascii="Arial" w:cs="Arial" w:eastAsia="Arial" w:hAnsi="Arial"/>
          <w:b/>
          <w:bCs/>
          <w:color w:val="0D7377"/>
          <w:sz w:val="28"/>
          <w:szCs w:val="28"/>
        </w:rPr>
        <w:t xml:space="preserve">7.1  Prompt A/B Framework (Pre-Launch Scaffolding)</w:t>
      </w:r>
    </w:p>
    <w:p>
      <w:pPr>
        <w:spacing w:after="120" w:before="80"/>
      </w:pPr>
      <w:r>
        <w:rPr>
          <w:rFonts w:ascii="Arial" w:cs="Arial" w:eastAsia="Arial" w:hAnsi="Arial"/>
          <w:color w:val="1A1A1A"/>
          <w:sz w:val="22"/>
          <w:szCs w:val="22"/>
        </w:rPr>
        <w:t xml:space="preserve">Every letter type has a prompt_version_hash (MA-SEC-002 P30). Before launch, build the scaffolding to route 10% of test generations to a variant prompt and record LQE pass rates by variant. You do not need to analyze the results pre-launch — you just need the data structure in place. By the time you have 200+ letters/month, you have 2–3 months of prompt variant performance data ready to act on. Cost: 1 sprint task to add variant_flag and prompt_variant_id to the outcome_events schema.</w:t>
      </w:r>
    </w:p>
    <w:p>
      <w:pPr>
        <w:pStyle w:val="Heading2"/>
        <w:spacing w:after="120" w:before="280"/>
      </w:pPr>
      <w:r>
        <w:rPr>
          <w:rFonts w:ascii="Arial" w:cs="Arial" w:eastAsia="Arial" w:hAnsi="Arial"/>
          <w:b/>
          <w:bCs/>
          <w:color w:val="0D7377"/>
          <w:sz w:val="28"/>
          <w:szCs w:val="28"/>
        </w:rPr>
        <w:t xml:space="preserve">7.2  Denial Code Intelligence Enrichment Pipeline</w:t>
      </w:r>
    </w:p>
    <w:p>
      <w:pPr>
        <w:spacing w:after="120" w:before="80"/>
      </w:pPr>
      <w:r>
        <w:rPr>
          <w:rFonts w:ascii="Arial" w:cs="Arial" w:eastAsia="Arial" w:hAnsi="Arial"/>
          <w:color w:val="1A1A1A"/>
          <w:sz w:val="22"/>
          <w:szCs w:val="22"/>
        </w:rPr>
        <w:t xml:space="preserve">Your denial_codes.json registry has structured records for each code. BitNet runs a nightly enrichment job that: (1) checks for any new CMS billing code updates that affect existing codes; (2) updates the appeal_success_rate field from the latest KFF/OIG data; (3) flags codes where payer_intelligence.json shows a recent policy change. This keeps your 200 planned denial code pages factually current before they even publish — and surfaces refresh triggers to the content staging pipeline automatically.</w:t>
      </w:r>
    </w:p>
    <w:p>
      <w:pPr>
        <w:pStyle w:val="Heading2"/>
        <w:spacing w:after="120" w:before="280"/>
      </w:pPr>
      <w:r>
        <w:rPr>
          <w:rFonts w:ascii="Arial" w:cs="Arial" w:eastAsia="Arial" w:hAnsi="Arial"/>
          <w:b/>
          <w:bCs/>
          <w:color w:val="0D7377"/>
          <w:sz w:val="28"/>
          <w:szCs w:val="28"/>
        </w:rPr>
        <w:t xml:space="preserve">7.3  First-Party Outcome Data as a Launch Asset</w:t>
      </w:r>
    </w:p>
    <w:p>
      <w:pPr>
        <w:spacing w:after="120" w:before="80"/>
      </w:pPr>
      <w:r>
        <w:rPr>
          <w:rFonts w:ascii="Arial" w:cs="Arial" w:eastAsia="Arial" w:hAnsi="Arial"/>
          <w:color w:val="1A1A1A"/>
          <w:sz w:val="22"/>
          <w:szCs w:val="22"/>
        </w:rPr>
        <w:t xml:space="preserve">At launch, most healthcare content sites cite the same KFF/OIG third-party data. If you start collecting outcome stubs now and use the 30-day follow-up email from Day 1, you could have 30–50 outcome data points within 90 days of launch — even with modest traffic. By Month 6 this becomes: "Based on MyAdvocate data, X% of appeals generated by our tool received a positive response." That is a brand differentiating stat that no competitor can buy. It requires no traffic to start — just the schema and the follow-up email.</w:t>
      </w:r>
    </w:p>
    <w:p>
      <w:pPr>
        <w:pStyle w:val="Heading2"/>
        <w:spacing w:after="120" w:before="280"/>
      </w:pPr>
      <w:r>
        <w:rPr>
          <w:rFonts w:ascii="Arial" w:cs="Arial" w:eastAsia="Arial" w:hAnsi="Arial"/>
          <w:b/>
          <w:bCs/>
          <w:color w:val="0D7377"/>
          <w:sz w:val="28"/>
          <w:szCs w:val="28"/>
        </w:rPr>
        <w:t xml:space="preserve">7.4  Weekly Intelligence Digest as a Founder Operating System</w:t>
      </w:r>
    </w:p>
    <w:p>
      <w:pPr>
        <w:spacing w:after="120" w:before="80"/>
      </w:pPr>
      <w:r>
        <w:rPr>
          <w:rFonts w:ascii="Arial" w:cs="Arial" w:eastAsia="Arial" w:hAnsi="Arial"/>
          <w:color w:val="1A1A1A"/>
          <w:sz w:val="22"/>
          <w:szCs w:val="22"/>
        </w:rPr>
        <w:t xml:space="preserve">The n8n daily digest is a tactical alert system. Once a week, n8n should generate a structured Founder Intelligence Report surfaced to Slack: top 3 competitive signal changes, cluster priority shifts since last week, content pages advancing through staging, LQE fast/standard/review path ratios, budget burn rate vs tripwire levels, Kate queue depth trend. This replaces manual status reviews and gives you a single weekly read on the health of every system — pre-launch and post-launch.</w:t>
      </w:r>
    </w:p>
    <w:p>
      <w:pPr>
        <w:pStyle w:val="Heading2"/>
        <w:spacing w:after="120" w:before="280"/>
      </w:pPr>
      <w:r>
        <w:rPr>
          <w:rFonts w:ascii="Arial" w:cs="Arial" w:eastAsia="Arial" w:hAnsi="Arial"/>
          <w:b/>
          <w:bCs/>
          <w:color w:val="0D7377"/>
          <w:sz w:val="28"/>
          <w:szCs w:val="28"/>
        </w:rPr>
        <w:t xml:space="preserve">7.5  Spanish-Language Intelligence Head Start</w:t>
      </w:r>
    </w:p>
    <w:p>
      <w:pPr>
        <w:spacing w:after="120" w:before="80"/>
      </w:pPr>
      <w:r>
        <w:rPr>
          <w:rFonts w:ascii="Arial" w:cs="Arial" w:eastAsia="Arial" w:hAnsi="Arial"/>
          <w:color w:val="1A1A1A"/>
          <w:sz w:val="22"/>
          <w:szCs w:val="22"/>
        </w:rPr>
        <w:t xml:space="preserve">Spanish content is Phase 4 Web gate (MA-AUT-006 G7 / SCAA operational required). But the intelligence work can start now. BitNet can run a separate Spanish keyword scan against your top 20 denial code pages — identifying which codes have high Spanish search volume and no quality Spanish-language resources. This becomes the priority list for Phase 4 Spanish content. Estimated effort: 2–3 hours of BitNet prompt tuning to handle Spanish-language keyword patterns. No content is generated or published — this is purely intelligence collection that makes the Phase 4 decision much easier.</w:t>
      </w:r>
    </w:p>
    <w:p>
      <w:r>
        <w:br w:type="page"/>
      </w:r>
    </w:p>
    <w:p>
      <w:pPr>
        <w:pStyle w:val="Heading1"/>
        <w:spacing w:after="160" w:before="360"/>
      </w:pPr>
      <w:r>
        <w:rPr>
          <w:rFonts w:ascii="Arial" w:cs="Arial" w:eastAsia="Arial" w:hAnsi="Arial"/>
          <w:b/>
          <w:bCs/>
          <w:color w:val="1B3A5C"/>
          <w:sz w:val="36"/>
          <w:szCs w:val="36"/>
        </w:rPr>
        <w:t xml:space="preserve">Section 8 — Invariants That Still Apply</w:t>
      </w:r>
    </w:p>
    <w:p>
      <w:pPr>
        <w:spacing w:after="120" w:before="80"/>
      </w:pPr>
      <w:r>
        <w:rPr>
          <w:rFonts w:ascii="Arial" w:cs="Arial" w:eastAsia="Arial" w:hAnsi="Arial"/>
          <w:color w:val="1A1A1A"/>
          <w:sz w:val="22"/>
          <w:szCs w:val="22"/>
        </w:rPr>
        <w:t xml:space="preserve">The accelerated architecture is entirely internal and does not conflict with any CLAUDE.md core invariants. These rules remain hard boundaries regardless of the acceleration: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Invariant</w:t>
            </w:r>
          </w:p>
        </w:tc>
        <w:tc>
          <w:tcPr>
            <w:tcW w:type="dxa" w:w="6160"/>
            <w:tcBorders>
              <w:top w:val="single" w:color="C8D8E4" w:sz="1"/>
              <w:left w:val="single" w:color="C8D8E4" w:sz="1"/>
              <w:bottom w:val="single" w:color="C8D8E4" w:sz="1"/>
              <w:right w:val="single" w:color="C8D8E4" w:sz="1"/>
            </w:tcBorders>
            <w:shd w:fill="1B3A5C" w:val="clear"/>
            <w:tcMar>
              <w:top w:type="dxa" w:w="100"/>
              <w:left w:type="dxa" w:w="140"/>
              <w:bottom w:type="dxa" w:w="100"/>
              <w:right w:type="dxa" w:w="140"/>
            </w:tcMar>
          </w:tcPr>
          <w:p>
            <w:r>
              <w:rPr>
                <w:rFonts w:ascii="Arial" w:cs="Arial" w:eastAsia="Arial" w:hAnsi="Arial"/>
                <w:b/>
                <w:bCs/>
                <w:color w:val="FFFFFF"/>
                <w:sz w:val="21"/>
                <w:szCs w:val="21"/>
              </w:rPr>
              <w:t xml:space="preserve">Why It Still Applies</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Never let BitNet output reach users</w:t>
            </w:r>
          </w:p>
        </w:tc>
        <w:tc>
          <w:tcPr>
            <w:tcW w:type="dxa" w:w="6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BitNet is classification and scoring only. Zero user-facing output. All letter generation goes through generateLetter() → LQE → Kate path.</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Never publish SEO content before trust pages are attorney-reviewed</w:t>
            </w:r>
          </w:p>
        </w:tc>
        <w:tc>
          <w:tcPr>
            <w:tcW w:type="dxa" w:w="6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Content staging pipeline can run in full dry-run mode. No page exits staged state until the EEAT gate clears (MA-EEAT-001 §5.1).</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Never activate Spanish content without SCAA operational</w:t>
            </w:r>
          </w:p>
        </w:tc>
        <w:tc>
          <w:tcPr>
            <w:tcW w:type="dxa" w:w="6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Spanish keyword intelligence collection (Section 7.5) is not content publication. SCAA gate still applies to any published Spanish page.</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Never deploy BitNet without stopping conditions</w:t>
            </w:r>
          </w:p>
        </w:tc>
        <w:tc>
          <w:tcPr>
            <w:tcW w:type="dxa" w:w="6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Document max_retries, timeout ceiling, and explicit failure state action for each BitNet job per MA-AUT-006 G3 invariant before any job goes live.</w:t>
            </w:r>
          </w:p>
        </w:tc>
      </w:tr>
      <w:tr>
        <w:tc>
          <w:tcPr>
            <w:tcW w:type="dxa" w:w="320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Never skip PII scrubbing before any Anthropic call</w:t>
            </w:r>
          </w:p>
        </w:tc>
        <w:tc>
          <w:tcPr>
            <w:tcW w:type="dxa" w:w="6160"/>
            <w:tcBorders>
              <w:top w:val="single" w:color="C8D8E4" w:sz="1"/>
              <w:left w:val="single" w:color="C8D8E4" w:sz="1"/>
              <w:bottom w:val="single" w:color="C8D8E4" w:sz="1"/>
              <w:right w:val="single" w:color="C8D8E4" w:sz="1"/>
            </w:tcBorders>
            <w:shd w:fill="F7F9FB"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The LQE + BitNet hybrid path does not change the PII scrubber requirement. pii-scrubber.ts runs before generateLetter() regardless of routing path.</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Never activate signal-gated agents early</w:t>
            </w:r>
          </w:p>
        </w:tc>
        <w:tc>
          <w:tcPr>
            <w:tcW w:type="dxa" w:w="6160"/>
            <w:tcBorders>
              <w:top w:val="single" w:color="C8D8E4" w:sz="1"/>
              <w:left w:val="single" w:color="C8D8E4" w:sz="1"/>
              <w:bottom w:val="single" w:color="C8D8E4" w:sz="1"/>
              <w:right w:val="single" w:color="C8D8E4" w:sz="1"/>
            </w:tcBorders>
            <w:shd w:fill="FFFFFF" w:val="clear"/>
            <w:tcMar>
              <w:top w:type="dxa" w:w="80"/>
              <w:left w:type="dxa" w:w="140"/>
              <w:bottom w:type="dxa" w:w="80"/>
              <w:right w:type="dxa" w:w="140"/>
            </w:tcMar>
          </w:tcPr>
          <w:p>
            <w:pPr>
              <w:spacing w:after="40" w:before="40"/>
            </w:pPr>
            <w:r>
              <w:rPr>
                <w:rFonts w:ascii="Arial" w:cs="Arial" w:eastAsia="Arial" w:hAnsi="Arial"/>
                <w:color w:val="1A1A1A"/>
                <w:sz w:val="21"/>
                <w:szCs w:val="21"/>
              </w:rPr>
              <w:t xml:space="preserve">MKT-01, MKT-02, MKT-03, PRD-01 remain behind their signal gates. The accelerated architecture does not pull these forward.</w:t>
            </w:r>
          </w:p>
        </w:tc>
      </w:tr>
    </w:tbl>
    <w:p>
      <w:pPr>
        <w:spacing w:after="60" w:before="60"/>
      </w:pPr>
      <w:r>
        <w:t xml:space="preserve"/>
      </w:r>
    </w:p>
    <w:p>
      <w:pPr>
        <w:pStyle w:val="Heading2"/>
        <w:spacing w:after="120" w:before="280"/>
      </w:pPr>
      <w:r>
        <w:rPr>
          <w:rFonts w:ascii="Arial" w:cs="Arial" w:eastAsia="Arial" w:hAnsi="Arial"/>
          <w:b/>
          <w:bCs/>
          <w:color w:val="0D7377"/>
          <w:sz w:val="28"/>
          <w:szCs w:val="28"/>
        </w:rPr>
        <w:t xml:space="preserve">Document End</w:t>
      </w:r>
    </w:p>
    <w:p>
      <w:pPr>
        <w:spacing w:after="120" w:before="80"/>
      </w:pPr>
      <w:r>
        <w:rPr>
          <w:rFonts w:ascii="Arial" w:cs="Arial" w:eastAsia="Arial" w:hAnsi="Arial"/>
          <w:color w:val="1A1A1A"/>
          <w:sz w:val="22"/>
          <w:szCs w:val="22"/>
        </w:rPr>
        <w:t xml:space="preserve">MA-IMPL-002 | Pre-Launch Intelligence &amp; Automation Architecture | March 2026 | MyAdvocate Internal Strategy</w:t>
      </w:r>
    </w:p>
    <w:p>
      <w:pPr>
        <w:spacing w:after="120" w:before="80"/>
      </w:pPr>
      <w:r>
        <w:rPr>
          <w:rFonts w:ascii="Arial" w:cs="Arial" w:eastAsia="Arial" w:hAnsi="Arial"/>
          <w:color w:val="1A1A1A"/>
          <w:sz w:val="22"/>
          <w:szCs w:val="22"/>
        </w:rPr>
        <w:t xml:space="preserve">For questions, updates, or implementation decisions arising from this document, reference MA-IMPL-002 in Notion sprint tasks.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4" w:sz="4"/>
      </w:pBdr>
      <w:tabs>
        <w:tab w:val="right" w:pos="9360"/>
      </w:tabs>
    </w:pPr>
    <w:r>
      <w:rPr>
        <w:rFonts w:ascii="Arial" w:cs="Arial" w:eastAsia="Arial" w:hAnsi="Arial"/>
        <w:color w:val="6B7280"/>
        <w:sz w:val="18"/>
        <w:szCs w:val="18"/>
      </w:rPr>
      <w:t xml:space="preserve">MyAdvocate  |  Internal Strategy Document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pBdr>
    </w:pPr>
    <w:r>
      <w:rPr>
        <w:rFonts w:ascii="Arial" w:cs="Arial" w:eastAsia="Arial" w:hAnsi="Arial"/>
        <w:color w:val="6B7280"/>
        <w:sz w:val="18"/>
        <w:szCs w:val="18"/>
      </w:rPr>
      <w:t xml:space="preserve">MA-IMPL-002  |  Pre-Launch Intelligence &amp; Automation Architecture</w:t>
    </w:r>
    <w:r>
      <w:rPr>
        <w:rFonts w:ascii="Arial" w:cs="Arial" w:eastAsia="Arial" w:hAnsi="Arial"/>
        <w:b/>
        <w:bCs/>
        <w:color w:val="C6282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2026-03-19T07:57:53.402Z</dcterms:created>
  <dcterms:modified xsi:type="dcterms:W3CDTF">2026-03-19T07:57:53.405Z</dcterms:modified>
</cp:coreProperties>
</file>

<file path=docProps/custom.xml><?xml version="1.0" encoding="utf-8"?>
<Properties xmlns="http://schemas.openxmlformats.org/officeDocument/2006/custom-properties" xmlns:vt="http://schemas.openxmlformats.org/officeDocument/2006/docPropsVTypes"/>
</file>