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b/>
          <w:bCs/>
          <w:color w:val="1F5C99"/>
          <w:sz w:val="72"/>
          <w:szCs w:val="72"/>
        </w:rPr>
        <w:t xml:space="preserve">MYADVOCATE</w:t>
      </w:r>
    </w:p>
    <w:p>
      <w:pPr>
        <w:spacing w:after="80" w:before="0"/>
        <w:jc w:val="center"/>
      </w:pPr>
      <w:r>
        <w:rPr>
          <w:rFonts w:ascii="Arial" w:cs="Arial" w:eastAsia="Arial" w:hAnsi="Arial"/>
          <w:color w:val="555555"/>
          <w:sz w:val="28"/>
          <w:szCs w:val="28"/>
        </w:rPr>
        <w:t xml:space="preserve">AI-Powered Patient &amp; Consumer Rights Platform</w:t>
      </w:r>
    </w:p>
    <w:p>
      <w:pPr>
        <w:pBdr>
          <w:bottom w:val="single" w:color="C17F24" w:sz="6"/>
        </w:pBdr>
        <w:spacing w:after="300" w:before="0"/>
        <w:jc w:val="center"/>
      </w:pPr>
      <w:r>
        <w:rPr>
          <w:rFonts w:ascii="Arial" w:cs="Arial" w:eastAsia="Arial" w:hAnsi="Arial"/>
          <w:i/>
          <w:iCs/>
          <w:color w:val="1A1A1A"/>
          <w:sz w:val="24"/>
          <w:szCs w:val="24"/>
        </w:rPr>
        <w:t xml:space="preserve">“The insurance companies have lawyers. You have MyAdvocate.”</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80"/>
        <w:gridCol w:w="250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Author</w:t>
            </w:r>
          </w:p>
        </w:tc>
        <w:tc>
          <w:tcPr>
            <w:tcW w:type="dxa" w:w="3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Created</w:t>
            </w:r>
          </w:p>
        </w:tc>
        <w:tc>
          <w:tcPr>
            <w:tcW w:type="dxa" w:w="2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 CEO</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 — Living Document</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March 2026</w:t>
            </w:r>
          </w:p>
        </w:tc>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v21.0 — Context Registry + Story Engine + Agent Plan</w:t>
            </w:r>
          </w:p>
        </w:tc>
      </w:tr>
    </w:tbl>
    <w:p>
      <w:pPr>
        <w:spacing w:after="0" w:before="200"/>
      </w:pP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LIVING DOCUMENT
This document is the single source of truth for strategy, operations, and financial decisions. Updated monthly. Checkpoint reviews at Months 3, 6, 9, 12, and 18. Every major decision flows through a checkpoint. PMP v20 superseded by this version.</w:t>
            </w:r>
          </w:p>
        </w:tc>
      </w:tr>
    </w:tbl>
    <w:p>
      <w:pPr>
        <w:spacing w:after="0" w:before="240"/>
      </w:pPr>
    </w:p>
    <w:p>
      <w:pPr>
        <w:spacing w:after="0" w:before="0"/>
        <w:jc w:val="center"/>
      </w:pPr>
      <w:r>
        <w:rPr>
          <w:rFonts w:ascii="Arial" w:cs="Arial" w:eastAsia="Arial" w:hAnsi="Arial"/>
          <w:color w:val="555555"/>
          <w:sz w:val="18"/>
          <w:szCs w:val="18"/>
        </w:rPr>
        <w:t xml:space="preserve">MA-PMP-001  •  Version 21.0  •  2026-03-12  •  CONFIDENTIAL</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Change Log</w:t>
      </w:r>
    </w:p>
    <w:p>
      <w:pPr>
        <w:pStyle w:val="Heading2"/>
        <w:spacing w:after="80" w:before="240"/>
      </w:pPr>
      <w:r>
        <w:rPr>
          <w:rFonts w:ascii="Arial" w:cs="Arial" w:eastAsia="Arial" w:hAnsi="Arial"/>
          <w:b/>
          <w:bCs/>
          <w:color w:val="1A1A1A"/>
          <w:sz w:val="26"/>
          <w:szCs w:val="26"/>
        </w:rPr>
        <w:t xml:space="preserve">v19 → v20 (2026-03-10/11)</w:t>
      </w:r>
    </w:p>
    <w:tbl>
      <w:tblPr>
        <w:tblW w:type="dxa" w:w="10080"/>
        <w:tblBorders>
          <w:top w:val="single" w:color="27AE60" w:sz="1"/>
          <w:left w:val="single" w:color="27AE60" w:sz="8"/>
          <w:bottom w:val="single" w:color="27AE60" w:sz="1"/>
          <w:right w:val="single" w:color="27AE60" w:sz="1"/>
          <w:insideH w:val="single" w:color="auto" w:sz="4"/>
          <w:insideV w:val="single" w:color="auto" w:sz="4"/>
        </w:tblBorders>
      </w:tblPr>
      <w:tblGrid>
        <w:gridCol w:w="10080"/>
      </w:tblGrid>
      <w:tr>
        <w:tc>
          <w:tcPr>
            <w:tcW w:type="dxa" w:w="10080"/>
            <w:shd w:fill="EDFAF1"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Phase 1 MVP: SHIPPED (2026-03-10). 37 commits. All Phase 1 acceptance criteria met. Core product live on Vercel.</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MVP shipped. Product live on Vercel with all four tools functional: denial decoder, appeal generator, medical bill dispute, HIPAA records request.</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MA-COST-001 shipped: budget-monitor.ts, model routing in generate-letter.ts, output caps by letter type, migration 015, Upstash Redis tripwires. 4 Parking Lot entries added.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 extended to 24 controls. Priorities 21–24 (AI Content Security) added. Additions in docs/security/. Pending manual sync to Google Drive doc.</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Docs Structure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docs/ reorganized into cost/, security/, pmp/, system/, superpowers/ subfolders.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Registry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 formalized in Notion Agent Registry. 11 agents assigned MA IDs (MA-AGT-002 through MA-AGT-011). MA-AHP-001 (Anti-Hallucination Protocol) added as governing layer above agents.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Pre-commit hook fixed — automation/ and scripts/ excluded from ESLint staged-file check. Repo Map updated to reflect actual src/lib/ structure.</w:t>
            </w:r>
          </w:p>
        </w:tc>
      </w:tr>
    </w:tbl>
    <w:p>
      <w:pPr>
        <w:spacing w:after="0" w:before="140"/>
      </w:pPr>
    </w:p>
    <w:p>
      <w:pPr>
        <w:pStyle w:val="Heading2"/>
        <w:spacing w:after="80" w:before="240"/>
      </w:pPr>
      <w:r>
        <w:rPr>
          <w:rFonts w:ascii="Arial" w:cs="Arial" w:eastAsia="Arial" w:hAnsi="Arial"/>
          <w:b/>
          <w:bCs/>
          <w:color w:val="1A1A1A"/>
          <w:sz w:val="26"/>
          <w:szCs w:val="26"/>
        </w:rPr>
        <w:t xml:space="preserve">v20 → v21 (2026-03-12)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Three new canonical documents integrated: MA-CTX-001 (Context Registry), MA-SOC-002 (Patient Story Engine), MA-AGT-001 (External Agent Integration Plan formally canonized with phase assignments). Projections v15 replaces v14.</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0 (Status)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Status updated: Phase 1 SHIPPED, Phase 2 active. Completed items list updated.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3 (Phases)</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priorities updated to include Context Registry scaffolding, Patient Story Engine pre-launch setup, and agent deployment sequence.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4 (SEO)</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4H added: GEO Agent Integration (MA-AGT-001). Section 4I added: Patient Story Engine in content strategy (MA-SOC-002).</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6A (Revenue)</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Projections v15 table replaces v14. GEO agent velocity, story engine conversion layer, and context-registry-enabled content scale incorporated.</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14 (Board of Agents)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External Agent Integration formally canonized with MA-AGT-001 reference, deployment sequence, and signal gates confirmed.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15 (NEW)</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Architecture — MA-CTX-001 summary, 8-registry inventory, governing doctrine, and implementation priority.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16 (NEW)</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Story Engine — MA-SOC-002 summary, dual-track sourcing, pre-launch actions, rollout gates, and Board of Agents integration.</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17 (Canonical Doc Registry)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Updated with MA-CTX-001, MA-SOC-002, MA-AHP-001. All docs current as of v21.</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Parking Lot</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Items from three new docs added: context registry migration path, story engine Spanish track, B2B story consent framework, agent autonomous deployment.</w:t>
            </w:r>
          </w:p>
        </w:tc>
      </w:tr>
    </w:tbl>
    <w:p>
      <w:pPr>
        <w:spacing w:after="0" w:before="140"/>
      </w:pPr>
    </w:p>
    <w:p>
      <w:pPr>
        <w:pStyle w:val="Heading2"/>
        <w:spacing w:after="80" w:before="240"/>
      </w:pPr>
      <w:r>
        <w:rPr>
          <w:rFonts w:ascii="Arial" w:cs="Arial" w:eastAsia="Arial" w:hAnsi="Arial"/>
          <w:b/>
          <w:bCs/>
          <w:color w:val="1A1A1A"/>
          <w:sz w:val="26"/>
          <w:szCs w:val="26"/>
        </w:rPr>
        <w:t xml:space="preserve">v21 → v22 (2026-03-12) —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MA-YT-001 (YouTube &amp; Spanish Strategy) and MA-IG-001 (Instagram Strategy v2.0) canonized into docs/social/. Projections v16 replaces v15. New §6D (YouTube Revenue) and §6E (Instagram Revenue) added as explicit secondary/tertiary revenue streams.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6A (Revenue)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Projections v16: heading updated; narrative updated to reference new §6D/§6E YouTube and Instagram revenue models.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Sections 6D, 6E (Revenue)</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NEW: §6D YouTube Revenue Model (EN + ES channels, phase-gated AdSense + subscription conversion uplift). NEW: §6E Instagram Revenue Model (direct follower-milestone table + indirect conversion rate uplift on SEO traffic). Both sourced from MA-YT-001 and MA-IG-001 respectively.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17 (Canonical Docs)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File paths for MA-YT-001 and MA-IG-001 updated to docs/social/. Both now fully canonized. docs/social/ footnote updated.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0. Project Status</w:t>
      </w:r>
    </w:p>
    <w:tbl>
      <w:tblPr>
        <w:tblW w:type="dxa" w:w="10080"/>
        <w:tblBorders>
          <w:top w:val="single" w:color="27AE60" w:sz="1"/>
          <w:left w:val="single" w:color="27AE60" w:sz="8"/>
          <w:bottom w:val="single" w:color="27AE60" w:sz="1"/>
          <w:right w:val="single" w:color="27AE60" w:sz="1"/>
          <w:insideH w:val="single" w:color="auto" w:sz="4"/>
          <w:insideV w:val="single" w:color="auto" w:sz="4"/>
        </w:tblBorders>
      </w:tblPr>
      <w:tblGrid>
        <w:gridCol w:w="10080"/>
      </w:tblGrid>
      <w:tr>
        <w:tc>
          <w:tcPr>
            <w:tcW w:type="dxa" w:w="10080"/>
            <w:shd w:fill="EDFAF1"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CURRENT STATE
Phase 1 MVP SHIPPED (2026-03-10). Product live on Vercel. Phase 2 active: content engine, SEO growth, automation pipeline, context registry scaffolding, patient story engine pre-launch setup.</w:t>
            </w:r>
          </w:p>
        </w:tc>
      </w:tr>
    </w:tbl>
    <w:p>
      <w:pPr>
        <w:spacing w:after="0" w:before="80"/>
      </w:pPr>
    </w:p>
    <w:p>
      <w:pPr>
        <w:pStyle w:val="Heading2"/>
        <w:spacing w:after="80" w:before="240"/>
      </w:pPr>
      <w:r>
        <w:rPr>
          <w:rFonts w:ascii="Arial" w:cs="Arial" w:eastAsia="Arial" w:hAnsi="Arial"/>
          <w:b/>
          <w:bCs/>
          <w:color w:val="1A1A1A"/>
          <w:sz w:val="26"/>
          <w:szCs w:val="26"/>
        </w:rPr>
        <w:t xml:space="preserve">0A. Completed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4180"/>
      </w:tblGrid>
      <w:tr>
        <w:trPr>
          <w:tblHeader/>
        </w:trPr>
        <w:tc>
          <w:tcPr>
            <w:tcW w:type="dxa" w:w="4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4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 entity formed — MyAdvocate DBA under Redwood Commerce Group LLC</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EIN confirmed. RelayFi updated.</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Notion workspace configured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Sprint board, signal tracker, canonical doc links live.</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GitHub repository active</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37 commits. All Phase 1 acceptance criteria met.</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Supabase DB + Stripe billing + Anthropic API integrated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Infrastructure</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three services live. Webhooks active.</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Four core tools live</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Appeal, Medical Bill Dispute, HIPAA Records Request, Denial Decoder — all functional.</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Four-layer privacy architecture implemented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Privacy</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PII scrubbing, audit logging, OpenClaw separation, stateless model calls confirmed.</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 shipped — MA-COST-001</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budget-monitor.ts, model routing, output caps, migration 015, Redis tripwires. Budget cap: $150/month.</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controls extended to 24 — MA-SEC-002</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Priorities 21–24 (AI Content Security) added. Pending Google Drive sync.</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Artifact review queue built</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States: pending/approved/suppressed/edited. Auto-release gate enforced.</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Registry formalized in Notion</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 canonized. 11 agents assigned MA IDs. MA-AHP-001 governs all agents.</w:t>
            </w:r>
          </w:p>
        </w:tc>
      </w:tr>
    </w:tbl>
    <w:p>
      <w:pPr>
        <w:spacing w:after="0" w:before="100"/>
      </w:pPr>
    </w:p>
    <w:p>
      <w:pPr>
        <w:pStyle w:val="Heading2"/>
        <w:spacing w:after="80" w:before="240"/>
      </w:pPr>
      <w:r>
        <w:rPr>
          <w:rFonts w:ascii="Arial" w:cs="Arial" w:eastAsia="Arial" w:hAnsi="Arial"/>
          <w:b/>
          <w:bCs/>
          <w:color w:val="1A1A1A"/>
          <w:sz w:val="26"/>
          <w:szCs w:val="26"/>
        </w:rPr>
        <w:t xml:space="preserve">0B. Phase 2 In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680"/>
        <w:gridCol w:w="1600"/>
      </w:tblGrid>
      <w:tr>
        <w:trPr>
          <w:tblHeader/>
        </w:trPr>
        <w:tc>
          <w:tcPr>
            <w:tcW w:type="dxa" w:w="4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1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Sprint</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Install geo-seo-claude agents (GEO-01, GEO-02, GEO-03)</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CNT-01 (YMYL Compliance Writer) composite agent</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Scaffold /context_registry/ — all 8 JSON files (MA-CTX-001)</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Deploy Supabase scrub_records migration (MA-SOC-002 pre-launch)</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Publish first 10 SEO articles — GEO-optimized, nurse-reviewed</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S2-01/02</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Complete GEO-02 launch checklist (llms.txt, robots.txt, schema)</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 Priorities 21–24 — sync to Google Drive doc</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Beehiiv integration for newsletter capture</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Medium</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Production Orchestrator pipeline activation</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Medium</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bl>
    <w:p>
      <w:pPr>
        <w:spacing w:after="0" w:before="100"/>
      </w:pPr>
    </w:p>
    <w:p>
      <w:pPr>
        <w:pStyle w:val="Heading2"/>
        <w:spacing w:after="80" w:before="240"/>
      </w:pPr>
      <w:r>
        <w:rPr>
          <w:rFonts w:ascii="Arial" w:cs="Arial" w:eastAsia="Arial" w:hAnsi="Arial"/>
          <w:b/>
          <w:bCs/>
          <w:color w:val="1A1A1A"/>
          <w:sz w:val="26"/>
          <w:szCs w:val="26"/>
        </w:rPr>
        <w:t xml:space="preserve">0C. Deferred to Phase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Deferred Item</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Condition</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SQLite/Supabase</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 when registry volume justifies DB upgrade</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webhook for budget alerts (replace console.log)</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Parking Lot (see MA-COST-001 Parking Lot)</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engine Spanish track</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gate — Spanish channel active + 25+ stories in Story Bank</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Submission-sourced story naming (even anonymized)</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 10+ submissions received</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autonomous deployment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 founder approval required for every agent activation (governing constraint)</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program</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6 — Signal 1 traffic gate</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outreach</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5 — Signal 5 traffic gate</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 $50k fund + Signal 5 gate, both required</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B2B consent framework</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 Checkpoint 3 review + attorney review</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 Objective &amp; Executive Summary</w:t>
      </w:r>
    </w:p>
    <w:p>
      <w:pPr>
        <w:spacing w:after="80" w:before="60"/>
      </w:pPr>
      <w:r>
        <w:rPr>
          <w:rFonts w:ascii="Arial" w:cs="Arial" w:eastAsia="Arial" w:hAnsi="Arial"/>
          <w:color w:val="1A1A1A"/>
          <w:sz w:val="20"/>
          <w:szCs w:val="20"/>
        </w:rPr>
        <w:t xml:space="preserve">MyAdvocate gives everyday patients practical, legally grounded tools to navigate insurance denials, medical billing disputes, and healthcare access barriers. Every feature generates a real, usable output: letters citing actual statutes, scripts for the phone call, names and numbers of regulators to contact, and rights in plain language for the state the user is standing in.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80"/>
      </w:tblGrid>
      <w:tr>
        <w:trPr>
          <w:tblHeader/>
        </w:trPr>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Tagline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Role</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insurance companies have lawyers. You have MyAdvocate.”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brand tagline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Leads all marketing. Emotionally direct. Factually accurate.</w:t>
            </w:r>
          </w:p>
        </w:tc>
      </w:tr>
      <w:tr>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Fight back."</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Secondary tagline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Activation-focused. Social and paid use.</w:t>
            </w:r>
          </w:p>
        </w:tc>
      </w:tr>
      <w:tr>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"Healthcare advocacy for everyone."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Accessibility tagline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 union context. Inclusivity signal.</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Persona</w:t>
            </w:r>
          </w:p>
        </w:tc>
        <w:tc>
          <w:tcPr>
            <w:tcW w:type="dxa" w:w="3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Need</w:t>
            </w:r>
          </w:p>
        </w:tc>
        <w:tc>
          <w:tcPr>
            <w:tcW w:type="dxa" w:w="3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Entry Point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Denied Patient</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appeal letter — fast</w:t>
            </w:r>
          </w:p>
        </w:tc>
        <w:tc>
          <w:tcPr>
            <w:tcW w:type="dxa" w:w="3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Overwhelmed Biller</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 find the error</w:t>
            </w:r>
          </w:p>
        </w:tc>
        <w:tc>
          <w:tcPr>
            <w:tcW w:type="dxa" w:w="3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Family Advocate</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Rights for a family member in a care facility</w:t>
            </w:r>
          </w:p>
        </w:tc>
        <w:tc>
          <w:tcPr>
            <w:tcW w:type="dxa" w:w="3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 / Know Your Rights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First-Timer</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What does this denial code mean?</w:t>
            </w:r>
          </w:p>
        </w:tc>
        <w:tc>
          <w:tcPr>
            <w:tcW w:type="dxa" w:w="3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 (free, no signup)</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2. Core Product — Feature Set &amp; Sequencing</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LAUNCH RULE
Ship two tools that work exceptionally well rather than five tools that are rough. The letter output quality — the actual generated document a user can send — is the conversion driver.</w:t>
            </w:r>
          </w:p>
        </w:tc>
      </w:tr>
    </w:tbl>
    <w:p>
      <w:pPr>
        <w:spacing w:after="0" w:before="80"/>
      </w:pPr>
    </w:p>
    <w:p>
      <w:pPr>
        <w:pStyle w:val="Heading2"/>
        <w:spacing w:after="80" w:before="240"/>
      </w:pPr>
      <w:r>
        <w:rPr>
          <w:rFonts w:ascii="Arial" w:cs="Arial" w:eastAsia="Arial" w:hAnsi="Arial"/>
          <w:b/>
          <w:bCs/>
          <w:color w:val="1A1A1A"/>
          <w:sz w:val="26"/>
          <w:szCs w:val="26"/>
        </w:rPr>
        <w:t xml:space="preserve">2A. Live Tools (Phase 1 — SHIPPED)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gridCol w:w="900"/>
        <w:gridCol w:w="10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Delivers</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Free Tier</w:t>
            </w:r>
          </w:p>
        </w:tc>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Paid Tier</w:t>
            </w:r>
          </w:p>
        </w:tc>
        <w:tc>
          <w:tcPr>
            <w:tcW w:type="dxa" w:w="1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Analyzes denial reason → generates appeal letter citing real state + federal law → escalation path to state DOI complaint</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Guided wizard → identify error type → AI dispute letter → negotiation script → regulatory complaint template</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HIPAA Records Request</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Generates HIPAA-compliant records request letter with deadline enforcement language</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Paste denial code → plain-language explanation → recommended next action → upgrade path</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 (free)</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w:t>
            </w:r>
          </w:p>
        </w:tc>
        <w:tc>
          <w:tcPr>
            <w:tcW w:type="dxa" w:w="1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bl>
    <w:p>
      <w:pPr>
        <w:spacing w:after="0" w:before="80"/>
      </w:pPr>
    </w:p>
    <w:p>
      <w:pPr>
        <w:pStyle w:val="Heading2"/>
        <w:spacing w:after="80" w:before="240"/>
      </w:pPr>
      <w:r>
        <w:rPr>
          <w:rFonts w:ascii="Arial" w:cs="Arial" w:eastAsia="Arial" w:hAnsi="Arial"/>
          <w:b/>
          <w:bCs/>
          <w:color w:val="1A1A1A"/>
          <w:sz w:val="26"/>
          <w:szCs w:val="26"/>
        </w:rPr>
        <w:t xml:space="preserve">2B. Phase 2 Tools (Signal 1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1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Delivers</w:t>
            </w:r>
          </w:p>
        </w:tc>
        <w:tc>
          <w:tcPr>
            <w:tcW w:type="dxa" w:w="3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Condition</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as a hospital patient — state-specific, real statutes</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Month 5</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Local Resource Connector</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Always free. Names + numbers of local advocacy orgs, state agencies, ombudsman offices</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3 states at launch</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Rights Summary</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Plain-language rights by state for denial, billing, care facility issues</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Report Abuse Intake</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Guided nursing home / care facility concern intake</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after attorney mandated reporter clearance</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3. Phase Structure &amp; Signal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rPr>
          <w:tblHeader/>
        </w:trPr>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Signal</w:t>
            </w:r>
          </w:p>
        </w:tc>
        <w:tc>
          <w:tcPr>
            <w:tcW w:type="dxa" w:w="3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Threshold</w:t>
            </w:r>
          </w:p>
        </w:tc>
        <w:tc>
          <w:tcPr>
            <w:tcW w:type="dxa" w:w="5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Unlocks</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 monthly visitors OR $1,000 MRR</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tools, attorney referral outreach, CMO + COO agents, MKT-01 product introduction, MKT-03 Growth Hacker, PRD-01 Feedback Synthesizer</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25,000 monthly visitors AND $5,000 MRR</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growth mode, CSO + CPO agents, hospital mode expansion, MKT-02 SEO Growth Specialist</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3</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40,000 monthly visitors</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automation, fractional hire consideration</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4</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65,000 monthly visitors AND $15,000 MRR</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scale, B2B outreach, full agent stack</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110,000 monthly visitors</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5 expansion, B2B formal pipeline, VA hire</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6</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175,000 monthly visitors</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full-time hire authorization assessment</w:t>
            </w:r>
          </w:p>
        </w:tc>
      </w:tr>
    </w:tbl>
    <w:p>
      <w:pPr>
        <w:spacing w:after="0" w:before="80"/>
      </w:pPr>
    </w:p>
    <w:p>
      <w:pPr>
        <w:pStyle w:val="Heading2"/>
        <w:spacing w:after="80" w:before="240"/>
      </w:pPr>
      <w:r>
        <w:rPr>
          <w:rFonts w:ascii="Arial" w:cs="Arial" w:eastAsia="Arial" w:hAnsi="Arial"/>
          <w:b/>
          <w:bCs/>
          <w:color w:val="1A1A1A"/>
          <w:sz w:val="26"/>
          <w:szCs w:val="26"/>
        </w:rPr>
        <w:t xml:space="preserve">Phase 2 Priorities — Current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480"/>
      </w:tblGrid>
      <w:tr>
        <w:trPr>
          <w:tblHeader/>
        </w:trPr>
        <w:tc>
          <w:tcPr>
            <w:tcW w:type="dxa" w:w="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5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44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Shared UI library (src/components/)</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daily.js automation (Notion→Supabase sync)</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 — MA-COST-001</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Install external agents: GEO-01/02/03, CNT-01 (MA-AGT-001)</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PROGRESS</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Scaffold /context_registry/ — 8 JSON files (MA-CTX-001)</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PROGRESS</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Deploy scrub_records migration + seed Story Bank (MA-SOC-002)</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SEO content engine (target: 20 articles in 60 days, GEO-optimized)</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Activate content-production-orchestrator pipeline</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Beehiiv integration for newsletter capture</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automation setup (event routing, retention flows, budget alert webhooks)</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Landing page + /es Spanish page + custom domain</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4. SEO Operating System</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SEO PRINCIPLE
Users searching for healthcare advocacy help are already experiencing a problem. The platform does not create demand — it captures existing search demand by providing structured solutions to specific healthcare problems. Every page should help a user understand a problem, take action, and move naturally into the appropriate tool.
GEO PRINCIPLE (added v21): Every page must be structured for both traditional and AI search. AI Overviews, ChatGPT citations, and Perplexity are now the first-click experience for healthcare queries. Citability scoring (GEO-01) is required before nurse review handoff on all content.</w:t>
            </w:r>
          </w:p>
        </w:tc>
      </w:tr>
    </w:tbl>
    <w:p>
      <w:pPr>
        <w:spacing w:after="0" w:before="80"/>
      </w:pPr>
    </w:p>
    <w:p>
      <w:pPr>
        <w:pStyle w:val="Heading2"/>
        <w:spacing w:after="80" w:before="240"/>
      </w:pPr>
      <w:r>
        <w:rPr>
          <w:rFonts w:ascii="Arial" w:cs="Arial" w:eastAsia="Arial" w:hAnsi="Arial"/>
          <w:b/>
          <w:bCs/>
          <w:color w:val="1A1A1A"/>
          <w:sz w:val="26"/>
          <w:szCs w:val="26"/>
        </w:rPr>
        <w:t xml:space="preserve">4A. Cluster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900"/>
        <w:gridCol w:w="15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Cluster</w:t>
            </w:r>
          </w:p>
        </w:tc>
        <w:tc>
          <w:tcPr>
            <w:tcW w:type="dxa" w:w="3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Pillar Page</w:t>
            </w:r>
          </w:p>
        </w:tc>
        <w:tc>
          <w:tcPr>
            <w:tcW w:type="dxa" w:w="2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Related Tool</w:t>
            </w:r>
          </w:p>
        </w:tc>
        <w:tc>
          <w:tcPr>
            <w:tcW w:type="dxa" w:w="1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Denials</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Appeal an Insurance Denial</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 + Denial Decoder</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Dispute a Medical Bill</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Abuse &amp; Reporting</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Report a Nursing Home or Care Facility Concern</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Report Abuse Intake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Rights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as a Hospital Patient</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EOB &amp; Coverage</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Read an Explanation of Benefits</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Complaints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File a Complaint Against Your Insurer</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DOI routing</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r>
    </w:tbl>
    <w:p>
      <w:pPr>
        <w:spacing w:after="0" w:before="80"/>
      </w:pPr>
    </w:p>
    <w:p>
      <w:pPr>
        <w:pStyle w:val="Heading2"/>
        <w:spacing w:after="80" w:before="240"/>
      </w:pPr>
      <w:r>
        <w:rPr>
          <w:rFonts w:ascii="Arial" w:cs="Arial" w:eastAsia="Arial" w:hAnsi="Arial"/>
          <w:b/>
          <w:bCs/>
          <w:color w:val="1A1A1A"/>
          <w:sz w:val="26"/>
          <w:szCs w:val="26"/>
        </w:rPr>
        <w:t xml:space="preserve">4B. Denial Code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6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 core articles + pillar pages</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Highest-intent problem pages only. GEO-01 citability score ≥70 required before publish.</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3+</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 denial code pages</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denial code database → 200 indexed SEO pages. GEO-03 structures each page.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6+</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reinforcement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Supporting pages, internal linking, refresh cycle begins.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12+</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120+ total articles</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2x/week publishing cadence sustained. Context registry powers cluster linkage.</w:t>
            </w:r>
          </w:p>
        </w:tc>
      </w:tr>
    </w:tbl>
    <w:p>
      <w:pPr>
        <w:spacing w:after="0" w:before="80"/>
      </w:pPr>
    </w:p>
    <w:p>
      <w:pPr>
        <w:pStyle w:val="Heading2"/>
        <w:spacing w:after="80" w:before="240"/>
      </w:pPr>
      <w:r>
        <w:rPr>
          <w:rFonts w:ascii="Arial" w:cs="Arial" w:eastAsia="Arial" w:hAnsi="Arial"/>
          <w:b/>
          <w:bCs/>
          <w:color w:val="1A1A1A"/>
          <w:sz w:val="26"/>
          <w:szCs w:val="26"/>
        </w:rPr>
        <w:t xml:space="preserve">4C. 90-Day Publishing Queue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Window</w:t>
            </w:r>
          </w:p>
        </w:tc>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Focus</w:t>
            </w:r>
          </w:p>
        </w:tc>
        <w:tc>
          <w:tcPr>
            <w:tcW w:type="dxa" w:w="5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1–2</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core problems</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Appeal an Insurance Denial, How to Dispute a Medical Bill, first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3–4</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Core support &amp; routing</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Read an Insurance Denial Letter, How to Negotiate a Medical Bill, second denial-code wave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5–6</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reinforcement</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Common Medical Billing Errors Explained, What Is an EOB?, third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7–8</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Safety &amp; reporting surface</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Report a Nursing Home Concern, When to Contact an Ombudsman, fourth denial-code wave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9–10</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Rights expansion</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rights pages, state-specific content, fifth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11–12</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Consolidation</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Internal link audit, refresh first articles, sixth denial-code wave, backlog buffer rebuilt</w:t>
            </w:r>
          </w:p>
        </w:tc>
      </w:tr>
    </w:tbl>
    <w:p>
      <w:pPr>
        <w:spacing w:after="0" w:before="80"/>
      </w:pPr>
    </w:p>
    <w:p>
      <w:pPr>
        <w:pStyle w:val="Heading2"/>
        <w:spacing w:after="80" w:before="240"/>
      </w:pPr>
      <w:r>
        <w:rPr>
          <w:rFonts w:ascii="Arial" w:cs="Arial" w:eastAsia="Arial" w:hAnsi="Arial"/>
          <w:b/>
          <w:bCs/>
          <w:color w:val="1A1A1A"/>
          <w:sz w:val="26"/>
          <w:szCs w:val="26"/>
        </w:rPr>
        <w:t xml:space="preserve">4D. Content Governance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gridCol w:w="18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 Type</w:t>
            </w:r>
          </w:p>
        </w:tc>
        <w:tc>
          <w:tcPr>
            <w:tcW w:type="dxa" w:w="3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Review Requirement</w:t>
            </w:r>
          </w:p>
        </w:tc>
        <w:tc>
          <w:tcPr>
            <w:tcW w:type="dxa" w:w="1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Refresh Schedule</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1 — Critical</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 rights, appeal processes, complaint procedures</w:t>
            </w:r>
          </w:p>
        </w:tc>
        <w:tc>
          <w:tcPr>
            <w:tcW w:type="dxa" w:w="3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 nurse co-founder review. No exceptions.</w:t>
            </w:r>
          </w:p>
        </w:tc>
        <w:tc>
          <w:tcPr>
            <w:tcW w:type="dxa" w:w="1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6 months or when law changes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2 — High</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explanations, billing error guides</w:t>
            </w:r>
          </w:p>
        </w:tc>
        <w:tc>
          <w:tcPr>
            <w:tcW w:type="dxa" w:w="3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 co-founder review + GEO-01 citability ≥70</w:t>
            </w:r>
          </w:p>
        </w:tc>
        <w:tc>
          <w:tcPr>
            <w:tcW w:type="dxa" w:w="1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12 months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3 — Standard</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General informational content, process guides</w:t>
            </w:r>
          </w:p>
        </w:tc>
        <w:tc>
          <w:tcPr>
            <w:tcW w:type="dxa" w:w="3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YMYL checklist + GEO-03 structure check</w:t>
            </w:r>
          </w:p>
        </w:tc>
        <w:tc>
          <w:tcPr>
            <w:tcW w:type="dxa" w:w="1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18 months</w:t>
            </w:r>
          </w:p>
        </w:tc>
      </w:tr>
    </w:tbl>
    <w:p>
      <w:pPr>
        <w:spacing w:after="0" w:before="80"/>
      </w:pPr>
    </w:p>
    <w:p>
      <w:pPr>
        <w:pStyle w:val="Heading2"/>
        <w:spacing w:after="80" w:before="240"/>
      </w:pPr>
      <w:r>
        <w:rPr>
          <w:rFonts w:ascii="Arial" w:cs="Arial" w:eastAsia="Arial" w:hAnsi="Arial"/>
          <w:b/>
          <w:bCs/>
          <w:color w:val="1A1A1A"/>
          <w:sz w:val="26"/>
          <w:szCs w:val="26"/>
        </w:rPr>
        <w:t xml:space="preserve">4H. GEO Agent Integration — MA-AGT-001 (NEW in v21)</w:t>
      </w: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GEO DOCTRINE
AI search (ChatGPT, Perplexity, Google AI Overviews) is growing 527% faster than traditional organic in 2026. Every content piece must score ≥70/100 on citability before nurse review. Fixing AI-uncitable content post-index takes months. Getting it right pre-publish costs nothing.</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700"/>
        <w:gridCol w:w="17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Trigger</w:t>
            </w:r>
          </w:p>
        </w:tc>
        <w:tc>
          <w:tcPr>
            <w:tcW w:type="dxa" w:w="3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 Action</w:t>
            </w:r>
          </w:p>
        </w:tc>
        <w:tc>
          <w:tcPr>
            <w:tcW w:type="dxa" w:w="17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GEO-01 — Content Architect</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article before nurse review</w:t>
            </w:r>
          </w:p>
        </w:tc>
        <w:tc>
          <w:tcPr>
            <w:tcW w:type="dxa" w:w="3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Run /geo citability. Score ≥70 required. Block if below — rewrite first.</w:t>
            </w:r>
          </w:p>
        </w:tc>
        <w:tc>
          <w:tcPr>
            <w:tcW w:type="dxa" w:w="17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Pre-nurse review</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GEO-02 — AI Visibility Foundation</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One-time at launch day</w:t>
            </w:r>
          </w:p>
        </w:tc>
        <w:tc>
          <w:tcPr>
            <w:tcW w:type="dxa" w:w="3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robots.txt → 14 AI crawlers permitted. llms.txt deployed. JSON-LD schema live. Core Web Vitals passing.</w:t>
            </w:r>
          </w:p>
        </w:tc>
        <w:tc>
          <w:tcPr>
            <w:tcW w:type="dxa" w:w="17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checklist</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GEO-03 — Denial-Code SEO Writer</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new denial code page</w:t>
            </w:r>
          </w:p>
        </w:tc>
        <w:tc>
          <w:tcPr>
            <w:tcW w:type="dxa" w:w="3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Apply GEO structure: direct-answer H1, self-contained blocks (134–167 words), FAQPage schema auto-generated.</w:t>
            </w:r>
          </w:p>
        </w:tc>
        <w:tc>
          <w:tcPr>
            <w:tcW w:type="dxa" w:w="17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Each content session</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CNT-01 — YMYL Compliance Writer</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Before nurse review handoff</w:t>
            </w:r>
          </w:p>
        </w:tc>
        <w:tc>
          <w:tcPr>
            <w:tcW w:type="dxa" w:w="3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Run AHP Step 0 (citation integrity). YMYL language audit. Flag prohibited determinations.</w:t>
            </w:r>
          </w:p>
        </w:tc>
        <w:tc>
          <w:tcPr>
            <w:tcW w:type="dxa" w:w="17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Pre-nurse review</w:t>
            </w:r>
          </w:p>
        </w:tc>
      </w:tr>
    </w:tbl>
    <w:p>
      <w:pPr>
        <w:spacing w:after="0" w:before="80"/>
      </w:pPr>
    </w:p>
    <w:p>
      <w:pPr>
        <w:pStyle w:val="Heading2"/>
        <w:spacing w:after="80" w:before="240"/>
      </w:pPr>
      <w:r>
        <w:rPr>
          <w:rFonts w:ascii="Arial" w:cs="Arial" w:eastAsia="Arial" w:hAnsi="Arial"/>
          <w:b/>
          <w:bCs/>
          <w:color w:val="1A1A1A"/>
          <w:sz w:val="26"/>
          <w:szCs w:val="26"/>
        </w:rPr>
        <w:t xml:space="preserve">4I. Patient Story Engine — MA-SOC-002 (NEW in v21)</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STORY DOCTRINE
Real patient stories convert because suffering is recognized as true. A person who just had their Humira denied watches a video that accurately describes their exact situation and thinks: 'someone understands what I'm going through.' That recognition is the conversion moment. AI-written scenarios cannot replicate it.</w:t>
            </w:r>
          </w:p>
        </w:tc>
      </w:tr>
    </w:tbl>
    <w:p>
      <w:pPr>
        <w:spacing w:after="0" w:before="60"/>
      </w:pPr>
    </w:p>
    <w:p>
      <w:pPr>
        <w:spacing w:after="80" w:before="60"/>
      </w:pPr>
      <w:r>
        <w:rPr>
          <w:rFonts w:ascii="Arial" w:cs="Arial" w:eastAsia="Arial" w:hAnsi="Arial"/>
          <w:color w:val="1A1A1A"/>
          <w:sz w:val="20"/>
          <w:szCs w:val="20"/>
        </w:rPr>
        <w:t xml:space="preserve">The Patient Story Engine runs two sourcing tracks (Submission Track — primary; Research Track — secondary) and produces YMYL-compliant, brand-voice-aligned 60–90 second video scripts for YouTube Shorts and Instagram Reels. Both founders remain anonymous. An AI actor character (English + Spanish) is the face of all video content.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c>
          <w:tcPr>
            <w:tcW w:type="dxa" w:w="4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Signal</w:t>
            </w:r>
          </w:p>
        </w:tc>
        <w:tc>
          <w:tcPr>
            <w:tcW w:type="dxa" w:w="4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Unlocks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0 — Pre-launch</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Platform tools live + first SEO article published</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Bank begins. First video can be produced manually. (CURRENT STATE — ELIGIBLE)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1 — Month 3–5</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 story videos on YouTube AND 10+ UTM-attributed tool clicks from Instagram/month</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content added to Instagram Reels. Outcome Story pillar unlocked.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Any story video drives 50+ tool clicks AND 10+ submissions received</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Submission track replaces Research Track as primary. Monthly cadence increases to 2/month.</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3 — Month 9+</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Spanish channel active AND 25+ stories in Story Bank</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Spanish story video production. Story content informs B2B win-rate narrative.</w:t>
            </w:r>
          </w:p>
        </w:tc>
      </w:tr>
    </w:tbl>
    <w:p>
      <w:pPr>
        <w:spacing w:after="0" w:before="60"/>
      </w:pPr>
    </w:p>
    <w:p>
      <w:pPr>
        <w:spacing w:after="80" w:before="60"/>
      </w:pPr>
      <w:r>
        <w:rPr>
          <w:rFonts w:ascii="Arial" w:cs="Arial" w:eastAsia="Arial" w:hAnsi="Arial"/>
          <w:b/>
          <w:bCs/>
          <w:color w:val="1A1A1A"/>
          <w:sz w:val="20"/>
          <w:szCs w:val="20"/>
        </w:rPr>
        <w:t xml:space="preserve">Pre-Launch Actions Required (MA-SOC-002):</w:t>
      </w:r>
    </w:p>
    <w:p>
      <w:pPr>
        <w:pStyle w:val="ListParagraph"/>
        <w:numPr>
          <w:ilvl w:val="0"/>
          <w:numId w:val="2"/>
        </w:numPr>
        <w:spacing w:after="40" w:before="40"/>
      </w:pPr>
      <w:r>
        <w:rPr>
          <w:rFonts w:ascii="Arial" w:cs="Arial" w:eastAsia="Arial" w:hAnsi="Arial"/>
          <w:color w:val="1A1A1A"/>
          <w:sz w:val="20"/>
          <w:szCs w:val="20"/>
        </w:rPr>
        <w:t xml:space="preserve">Attorney review: Submission form consent language — add to existing pre-launch attorney review scope</w:t>
      </w:r>
    </w:p>
    <w:p>
      <w:pPr>
        <w:pStyle w:val="ListParagraph"/>
        <w:numPr>
          <w:ilvl w:val="0"/>
          <w:numId w:val="2"/>
        </w:numPr>
        <w:spacing w:after="40" w:before="40"/>
      </w:pPr>
      <w:r>
        <w:rPr>
          <w:rFonts w:ascii="Arial" w:cs="Arial" w:eastAsia="Arial" w:hAnsi="Arial"/>
          <w:color w:val="1A1A1A"/>
          <w:sz w:val="20"/>
          <w:szCs w:val="20"/>
        </w:rPr>
        <w:t xml:space="preserve">Supabase migration 016: Deploy scrub_records table (see Section 16 for schema)</w:t>
      </w:r>
    </w:p>
    <w:p>
      <w:pPr>
        <w:pStyle w:val="ListParagraph"/>
        <w:numPr>
          <w:ilvl w:val="0"/>
          <w:numId w:val="2"/>
        </w:numPr>
        <w:spacing w:after="40" w:before="40"/>
      </w:pPr>
      <w:r>
        <w:rPr>
          <w:rFonts w:ascii="Arial" w:cs="Arial" w:eastAsia="Arial" w:hAnsi="Arial"/>
          <w:color w:val="1A1A1A"/>
          <w:sz w:val="20"/>
          <w:szCs w:val="20"/>
        </w:rPr>
        <w:t xml:space="preserve">HeyGen avatar selection: Test 3 English + 3 Spanish candidates with same script</w:t>
      </w:r>
    </w:p>
    <w:p>
      <w:pPr>
        <w:pStyle w:val="ListParagraph"/>
        <w:numPr>
          <w:ilvl w:val="0"/>
          <w:numId w:val="2"/>
        </w:numPr>
        <w:spacing w:after="40" w:before="40"/>
      </w:pPr>
      <w:r>
        <w:rPr>
          <w:rFonts w:ascii="Arial" w:cs="Arial" w:eastAsia="Arial" w:hAnsi="Arial"/>
          <w:color w:val="1A1A1A"/>
          <w:sz w:val="20"/>
          <w:szCs w:val="20"/>
        </w:rPr>
        <w:t xml:space="preserve">YMYL system prompt: Update Claude API script generation prompt with story-specific prohibitions</w:t>
      </w:r>
    </w:p>
    <w:p>
      <w:pPr>
        <w:pStyle w:val="ListParagraph"/>
        <w:numPr>
          <w:ilvl w:val="0"/>
          <w:numId w:val="2"/>
        </w:numPr>
        <w:spacing w:after="40" w:before="40"/>
      </w:pPr>
      <w:r>
        <w:rPr>
          <w:rFonts w:ascii="Arial" w:cs="Arial" w:eastAsia="Arial" w:hAnsi="Arial"/>
          <w:color w:val="1A1A1A"/>
          <w:sz w:val="20"/>
          <w:szCs w:val="20"/>
        </w:rPr>
        <w:t xml:space="preserve">Nurse co-founder briefing: Review flagging criteria. Establish 24h async review protocol</w:t>
      </w:r>
    </w:p>
    <w:p>
      <w:pPr>
        <w:pStyle w:val="ListParagraph"/>
        <w:numPr>
          <w:ilvl w:val="0"/>
          <w:numId w:val="2"/>
        </w:numPr>
        <w:spacing w:after="40" w:before="40"/>
      </w:pPr>
      <w:r>
        <w:rPr>
          <w:rFonts w:ascii="Arial" w:cs="Arial" w:eastAsia="Arial" w:hAnsi="Arial"/>
          <w:color w:val="1A1A1A"/>
          <w:sz w:val="20"/>
          <w:szCs w:val="20"/>
        </w:rPr>
        <w:t xml:space="preserve">Seed Story Bank: Source, scrub, and approve first 3 stories before Month 3 YouTube launch</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5. Pricing, Freemium Structure &amp; Tiers</w:t>
      </w:r>
    </w:p>
    <w:p>
      <w:pPr>
        <w:pStyle w:val="Heading2"/>
        <w:spacing w:after="80" w:before="240"/>
      </w:pPr>
      <w:r>
        <w:rPr>
          <w:rFonts w:ascii="Arial" w:cs="Arial" w:eastAsia="Arial" w:hAnsi="Arial"/>
          <w:b/>
          <w:bCs/>
          <w:color w:val="1A1A1A"/>
          <w:sz w:val="26"/>
          <w:szCs w:val="26"/>
        </w:rPr>
        <w:t xml:space="preserve">5A. Founding Advocate Offer</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FOUNDING ADVOCATE — $34/year — FIRST 250 SUBSCRIBERS
$34/year for the first 250 subscribers. 12-month price lock. Converts to $55/yr at renewal. Permanently grandfathered — advocates who stay pay $55/yr forever, not the prevailing rate.</w:t>
            </w:r>
          </w:p>
        </w:tc>
      </w:tr>
    </w:tbl>
    <w:p>
      <w:pPr>
        <w:spacing w:after="0" w:before="80"/>
      </w:pPr>
    </w:p>
    <w:p>
      <w:pPr>
        <w:pStyle w:val="Heading2"/>
        <w:spacing w:after="80" w:before="240"/>
      </w:pPr>
      <w:r>
        <w:rPr>
          <w:rFonts w:ascii="Arial" w:cs="Arial" w:eastAsia="Arial" w:hAnsi="Arial"/>
          <w:b/>
          <w:bCs/>
          <w:color w:val="1A1A1A"/>
          <w:sz w:val="26"/>
          <w:szCs w:val="26"/>
        </w:rPr>
        <w:t xml:space="preserve">5B. Pricing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600"/>
        <w:gridCol w:w="2080"/>
      </w:tblGrid>
      <w:tr>
        <w:trPr>
          <w:tblHeader/>
        </w:trPr>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Price</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User</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Features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Founding Advocate</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$34/yr (Year 1) → $55/yr</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250 subs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platform features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12-month price lock. Cap at 250.</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Advocate Builder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$21/quarter intro</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Budget-conscious early adopters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platform features</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Migrates to $8/mo or $55/yr after first quarter.</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Basic (Monthly)</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$8/mo</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standard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 letters, all tools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conversion target at launch.</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Standard (Month 9+)</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$13/mo</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Post-price-increase new subs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Basic + Hospital Mode</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Price increase at Month 9 for new subs only.</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Premium (Phase 4)</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$21/mo</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Power users, native app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features + native app + priority support</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launch.</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Standard</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$55/yr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Committed annual subscribers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monthly features</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Ratio to $8/mo validates commitment discount.</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Premium</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$89/yr</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Premium annual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Premium features annually</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Single Letter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 one-time</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Free users needing 2nd letter</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 additional letter, same quality</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Stripe one-time Payment product.</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Free</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Trial + permanent free users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 Denial Decoder, crisis resources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paywalled for crisis resources.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 Revenue Streams &amp; Projections</w:t>
      </w:r>
    </w:p>
    <w:p>
      <w:pPr>
        <w:spacing w:after="80" w:before="60"/>
      </w:pPr>
      <w:r>
        <w:rPr>
          <w:rFonts w:ascii="Arial" w:cs="Arial" w:eastAsia="Arial" w:hAnsi="Arial"/>
          <w:color w:val="1A1A1A"/>
          <w:sz w:val="20"/>
          <w:szCs w:val="20"/>
        </w:rPr>
        <w:t xml:space="preserve">Three revenue streams. Subscriptions provide the operational foundation. Attorney referrals are the second pillar. B2B licensing is the long-term transformative upside. Per-case revenue ($13 single letters) fills the free-to-subscription conversion gap. Target mature revenue mix: ~60% subscriptions / ~30% referrals / ~10% B2B.</w:t>
      </w:r>
    </w:p>
    <w:p>
      <w:pPr>
        <w:spacing w:after="0" w:before="80"/>
      </w:pPr>
    </w:p>
    <w:p>
      <w:pPr>
        <w:pStyle w:val="Heading2"/>
        <w:spacing w:after="80" w:before="240"/>
      </w:pPr>
      <w:r>
        <w:rPr>
          <w:rFonts w:ascii="Arial" w:cs="Arial" w:eastAsia="Arial" w:hAnsi="Arial"/>
          <w:b/>
          <w:bCs/>
          <w:color w:val="1A1A1A"/>
          <w:sz w:val="26"/>
          <w:szCs w:val="26"/>
        </w:rPr>
        <w:t xml:space="preserve">6A. Subscription Revenue — Projections v16</w:t>
      </w: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PROJECTIONS v15 NOTE
Projections v16 adds two new revenue layers to the model. (1) YouTube Revenue (§6D) — separate EN and ES channel models: primary = subscription conversion uplift from YouTube-attributed traffic; secondary = AdSense post-YPP eligibility ($8–15 CPM healthcare). ES channel launches Month 9 via HeyGen auto-translate at 60% of EN output. (2) Instagram Revenue (§6E) — direct conversions at follower milestones (linked from bio); indirect = 0.3–0.8pp conversion rate uplift on existing SEO traffic from brand familiarity effect. Combined tool cost for the video production pipeline = $66/month (HeyGen $24 + ElevenLabs $22 + Claude API ~$15 + Whisper ~$5). These are secondary (YouTube AdSense) and tertiary (Instagram direct) streams; the subscription funnel remains the primary revenue model. The v15 growth variables remain: (1) GEO agent +20–25% SEO compound velocity; (2) Story Engine ~50–300 incremental tool visits/month from Month 3–4; (3) Context registry 3–5x content production velocity.</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800"/>
        <w:gridCol w:w="2000"/>
        <w:gridCol w:w="21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Period (Expected)</w:t>
            </w:r>
          </w:p>
        </w:tc>
        <w:tc>
          <w:tcPr>
            <w:tcW w:type="dxa" w:w="1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Monthly Visitors</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Paying Subs</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MRR</w:t>
            </w:r>
          </w:p>
        </w:tc>
        <w:tc>
          <w:tcPr>
            <w:tcW w:type="dxa" w:w="2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Driver</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1–3</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0–500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0–20 (incl. FA + Builder)</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$0–$2,100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seed, beta. FA cohort + Builder intro tier open.</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4–6</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500–4,000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20–120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$100–$960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GEO-optimized content indexing. AI search citation begins. Story engine Gate 0 active.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7–9</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4,000–9,000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120–220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$960–$2,000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compounding with AI citations. Story videos publishing. $13/mo price increase at Month 9.</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10–12</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9,000–20,000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220–440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$2,000–$4,400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Blended ARPU ~$9.50 during grandfathering. GEO citation in AI Overviews contributing. Story Gate 2 possible.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13–18</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20,000–80,000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440–1,300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$4,400–$16,000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revenue contributing. B2B conversations beginning. Context registry powering 200+ denial code pages.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19–24</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80,000–160,000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1,300–2,700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$16,000–$38,000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platform. B2B inbound. Native app funding accumulating. Story engine driving measurable subscription lift.</w:t>
            </w:r>
          </w:p>
        </w:tc>
      </w:tr>
    </w:tbl>
    <w:p>
      <w:pPr>
        <w:spacing w:after="0" w:before="60"/>
      </w:pPr>
    </w:p>
    <w:p>
      <w:pPr>
        <w:spacing w:after="80" w:before="60"/>
      </w:pPr>
      <w:r>
        <w:rPr>
          <w:rFonts w:ascii="Arial" w:cs="Arial" w:eastAsia="Arial" w:hAnsi="Arial"/>
          <w:color w:val="1A1A1A"/>
          <w:sz w:val="20"/>
          <w:szCs w:val="20"/>
        </w:rPr>
        <w:t xml:space="preserve">Per-case revenue (v19 addition, unchanged): At Expected M12, per-case adds approximately $130–$160/month. At Expected M36, per-case adds approximately $2,000–$2,400/month. Free letter API costs tracked separately: approximately $22/month at Expected M12.</w:t>
      </w:r>
    </w:p>
    <w:p>
      <w:pPr>
        <w:spacing w:after="0" w:before="80"/>
      </w:pPr>
    </w:p>
    <w:p>
      <w:pPr>
        <w:pStyle w:val="Heading2"/>
        <w:spacing w:after="80" w:before="240"/>
      </w:pPr>
      <w:r>
        <w:rPr>
          <w:rFonts w:ascii="Arial" w:cs="Arial" w:eastAsia="Arial" w:hAnsi="Arial"/>
          <w:b/>
          <w:bCs/>
          <w:color w:val="1A1A1A"/>
          <w:sz w:val="26"/>
          <w:szCs w:val="26"/>
        </w:rPr>
        <w:t xml:space="preserve">6B. Attorney Referral Revenue</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REFERRAL GATE
Referral program activates at Month 6 (Signal 1: 10,000 monthly visitors). Requires formal attorney vetting using the 5-point checklist. Attorney referral data requires a formal addendum — privacy architecture requires this before any referral data is transmitted.</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1700"/>
        <w:gridCol w:w="1580"/>
      </w:tblGrid>
      <w:tr>
        <w:trPr>
          <w:tblHeader/>
        </w:trPr>
        <w:tc>
          <w:tcPr>
            <w:tcW w:type="dxa" w:w="2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Referral Segment</w:t>
            </w:r>
          </w:p>
        </w:tc>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Case Type</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Avg Fee</w:t>
            </w:r>
          </w:p>
        </w:tc>
        <w:tc>
          <w:tcPr>
            <w:tcW w:type="dxa" w:w="1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Referral Rate</w:t>
            </w:r>
          </w:p>
        </w:tc>
        <w:tc>
          <w:tcPr>
            <w:tcW w:type="dxa" w:w="1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Commission</w:t>
            </w:r>
          </w:p>
        </w:tc>
      </w:tr>
      <w:tr>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Bad Faith</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Coverage denial, bad faith claims</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$3,000–$8,000</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25–30% of fee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$750–$2,400 per case</w:t>
            </w:r>
          </w:p>
        </w:tc>
      </w:tr>
      <w:tr>
        <w:tc>
          <w:tcPr>
            <w:tcW w:type="dxa" w:w="2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Billing Disputes</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Large balance billing, billing fraud</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$1,500–$4,000</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20–25% of fee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$300–$1,000 per case</w:t>
            </w:r>
          </w:p>
        </w:tc>
      </w:tr>
      <w:tr>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Nursing Home Cases</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Abuse, neglect, wrongful discharge</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$5,000–$20,000</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10–15% of fee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$500–$3,000 per case</w:t>
            </w:r>
          </w:p>
        </w:tc>
      </w:tr>
      <w:tr>
        <w:tc>
          <w:tcPr>
            <w:tcW w:type="dxa" w:w="2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General Consumer Rights</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ERISA violations, appeals</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$2,000–$5,000</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15–20% of fee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$300–$1,000 per case</w:t>
            </w:r>
          </w:p>
        </w:tc>
      </w:tr>
    </w:tbl>
    <w:p>
      <w:pPr>
        <w:spacing w:after="0" w:before="80"/>
      </w:pPr>
    </w:p>
    <w:p>
      <w:pPr>
        <w:pStyle w:val="Heading2"/>
        <w:spacing w:after="80" w:before="240"/>
      </w:pPr>
      <w:r>
        <w:rPr>
          <w:rFonts w:ascii="Arial" w:cs="Arial" w:eastAsia="Arial" w:hAnsi="Arial"/>
          <w:b/>
          <w:bCs/>
          <w:color w:val="1A1A1A"/>
          <w:sz w:val="26"/>
          <w:szCs w:val="26"/>
        </w:rPr>
        <w:t xml:space="preserve">6C. B2B Licensing</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B2B GATE
B2B outreach activates at Signal 5 (110,000 monthly visitors). Earlier inbound interest can be noted but not pursued until this gate.</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00"/>
        <w:gridCol w:w="35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B2B Segment</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Pricing Model</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Gate</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Union HR Partnerships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$500–$2,000/mo per union chapter</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Frame as member benefit. HR director is the buyer.</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Advocacy Orgs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$200–$500/mo white-label access</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4</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partnerships first — leads into B2B.</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Employer Wellness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$1,000–$5,000/mo per employer</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Long sales cycle. Signal 5 gate required.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6D. YouTube Revenue — EN + ES Channels (MA-YT-001)</w:t>
      </w:r>
    </w:p>
    <w:p>
      <w:pPr>
        <w:spacing w:after="80" w:before="60"/>
      </w:pPr>
      <w:r>
        <w:rPr>
          <w:rFonts w:ascii="Arial" w:cs="Arial" w:eastAsia="Arial" w:hAnsi="Arial"/>
          <w:color w:val="1A1A1A"/>
          <w:sz w:val="20"/>
          <w:szCs w:val="20"/>
        </w:rPr>
        <w:t xml:space="preserve">YouTube is a secondary revenue layer, not a primary channel. Revenue flows through two mechanisms: (1) subscription conversion uplift from YouTube-attributed traffic — users who discover MyAdvocate via YouTube and convert to paid subscribers; (2) AdSense post-YPP, which activates once the channel crosses 1,000 subscribers + 4,000 watch hours OR 10M Shorts views in 90 days. YPP eligibility is projected Month 12–15. Healthcare CPM: $8–15. The Spanish channel launches Month 9 via HeyGen auto-translate and contributes 60% of English output initially. The all-in video production tool cost is $66/month (HeyGen $24 + ElevenLabs $22 + Claude API ~$15 + Whisper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60"/>
        <w:gridCol w:w="2660"/>
        <w:gridCol w:w="276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26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 Channel Activity</w:t>
            </w:r>
          </w:p>
        </w:tc>
        <w:tc>
          <w:tcPr>
            <w:tcW w:type="dxa" w:w="26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 Channel Activity</w:t>
            </w:r>
          </w:p>
        </w:tc>
        <w:tc>
          <w:tcPr>
            <w:tcW w:type="dxa" w:w="27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Revenue Stream</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M3–5</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Short/week. Channel building. No revenue.</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launched</w:t>
            </w:r>
          </w:p>
        </w:tc>
        <w:tc>
          <w:tcPr>
            <w:tcW w:type="dxa" w:w="27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 (audience-building phase)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M6–8</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2–3 Shorts + 1 long-form/month. YPP watch-time accumulation.</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launched</w:t>
            </w:r>
          </w:p>
        </w:tc>
        <w:tc>
          <w:tcPr>
            <w:tcW w:type="dxa" w:w="27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 direct; indirect subscription uplift begins as EN audience builds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M9–11</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 Shorts + 2 long-form/month. YPP application submitted.</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(M9). HeyGen auto-translate. 60% of EN output. Separate channel.</w:t>
            </w:r>
          </w:p>
        </w:tc>
        <w:tc>
          <w:tcPr>
            <w:tcW w:type="dxa" w:w="27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Subscription conversion uplift from EN YouTube traffic; ES audience-building phase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M12–15</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4–5 Shorts + 2–3 long-form/month. YPP approved. AdSense active.</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Scale with EN. YPP eligibility M14–18 on ES channel (separate application).</w:t>
            </w:r>
          </w:p>
        </w:tc>
        <w:tc>
          <w:tcPr>
            <w:tcW w:type="dxa" w:w="27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 AdSense: $8–15 CPM healthcare. ~5–6 extra paid subs nets tool cost. Gross AdSense estimate at low traffic: $40–150/month EN channel.</w:t>
            </w:r>
          </w:p>
        </w:tc>
      </w:tr>
    </w:tbl>
    <w:p>
      <w:pPr>
        <w:spacing w:after="80" w:before="120"/>
      </w:pPr>
      <w:r>
        <w:rPr>
          <w:rFonts w:ascii="Arial" w:cs="Arial" w:eastAsia="Arial" w:hAnsi="Arial"/>
          <w:color w:val="1A1A1A"/>
          <w:sz w:val="20"/>
          <w:szCs w:val="20"/>
        </w:rPr>
        <w:t xml:space="preserve">Revenue model note: AdSense is not the primary YouTube revenue mechanism. The primary YouTube contribution is subscription conversion uplift — YouTube viewers who subsequently become paid subscribers are conservatively estimated at 0.15% base conversion on YouTube-attributed tool visits. AdSense is a supplementary direct revenue line. Net tool cost is recouped with approximately 5–6 extra paid subscribers/month. Full companion model: MA-YT-001 (docs/social/MA-YT-001_YouTube_Spanish_Strategy_Report.docx) + MyAdvocate_YT_Spanish_Revenue_Model.xlsx (pending upload).</w:t>
      </w:r>
    </w:p>
    <w:p>
      <w:pPr>
        <w:pStyle w:val="Heading1"/>
        <w:pBdr>
          <w:bottom w:val="single" w:color="1F5C99" w:sz="4" w:space="6"/>
        </w:pBdr>
        <w:spacing w:after="120" w:before="360"/>
      </w:pPr>
      <w:r>
        <w:rPr>
          <w:rFonts w:ascii="Arial" w:cs="Arial" w:eastAsia="Arial" w:hAnsi="Arial"/>
          <w:b/>
          <w:bCs/>
          <w:color w:val="1F5C99"/>
          <w:sz w:val="32"/>
          <w:szCs w:val="32"/>
        </w:rPr>
        <w:t xml:space="preserve">6E. Instagram Revenue — Direct + Indirect (MA-IG-001)</w:t>
      </w:r>
    </w:p>
    <w:p>
      <w:pPr>
        <w:spacing w:after="80" w:before="60"/>
      </w:pPr>
      <w:r>
        <w:rPr>
          <w:rFonts w:ascii="Arial" w:cs="Arial" w:eastAsia="Arial" w:hAnsi="Arial"/>
          <w:color w:val="1A1A1A"/>
          <w:sz w:val="20"/>
          <w:szCs w:val="20"/>
        </w:rPr>
        <w:t xml:space="preserve">Instagram revenue flows through two channels. Direct: link-in-bio drives paid subscribers at follower milestones. Instagram-to-paid conversion is 0.8–1.5% (vs. 0.075–0.12% cold organic). Indirect: brand familiarity effect from Instagram generates a 0.3–0.8 percentage point uplift on the conversion rate of existing SEO traffic — people who’ve seen a Reel convert at a higher rate when they later land from search. At 10,000 monthly search visitors, this indirect uplift = $120–$500/month additional. Instagram has $0 incremental tool cost (HeyGen content is repurposed from YouTube Shorts). Rollout is gate-structured and dual-channel (EN + 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2600"/>
        <w:gridCol w:w="240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Follower Milestone (EN+ES combined)</w:t>
            </w:r>
          </w:p>
        </w:tc>
        <w:tc>
          <w:tcPr>
            <w:tcW w:type="dxa" w:w="2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Direct Revenue (link-in-bio subscriptions)</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Indirect Uplift (at 10k monthly search visitors)</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Direct Traffic % of Total</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 followers</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$0–$21/month</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Minimal (brand awareness building)</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M1–6: 3–12%</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 followers</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$8–$63/month</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0.3pp uplift = ~$30/month additional</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M7–12: 5–12%</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 followers</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$16–$126/month</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0.5pp uplift = ~$50/month additional</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M13–24: 7–10%</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 followers</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$40–$252/month</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0.8pp uplift = $120–$500/month additional</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M25+: 7–10% (mature channel)</w:t>
            </w:r>
          </w:p>
        </w:tc>
      </w:tr>
    </w:tbl>
    <w:p>
      <w:pPr>
        <w:spacing w:after="80" w:before="120"/>
      </w:pPr>
      <w:r>
        <w:rPr>
          <w:rFonts w:ascii="Arial" w:cs="Arial" w:eastAsia="Arial" w:hAnsi="Arial"/>
          <w:color w:val="1A1A1A"/>
          <w:sz w:val="20"/>
          <w:szCs w:val="20"/>
        </w:rPr>
        <w:t xml:space="preserve">Gate structure (MA-IG-001): Gate 0 (first SEO article + tools live = ELIGIBLE) → Gate 1 (10+ link-in-bio clicks/month) → Gate 2 (1 paid conversion + 5k monthly visitors) → Gate 3 (500 ES followers + 3 EN conversions/month for 60 days) → Gate 4 ($200/month Instagram revenue + 26k monthly visitors). Full spec: docs/social/MA-IG-001_Instagram_Strategy_v2.docx.</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14. Board of Agents</w:t>
      </w:r>
    </w:p>
    <w:p>
      <w:pPr>
        <w:spacing w:after="80" w:before="60"/>
      </w:pPr>
      <w:r>
        <w:rPr>
          <w:rFonts w:ascii="Arial" w:cs="Arial" w:eastAsia="Arial" w:hAnsi="Arial"/>
          <w:color w:val="1A1A1A"/>
          <w:sz w:val="20"/>
          <w:szCs w:val="20"/>
        </w:rPr>
        <w:t xml:space="preserve">MyAdvocate operates a structured Board of Agents. All agents are subordinate to MA-PMP-001 (strategic doctrine) → MA-LCH-004 (Launch Truth) → MA-SEC-002 (Security, 24 controls) → MA-AHP-001 (Anti-Hallucination Protocol). No agent activates without founder approval. YMYL compliance gates (nurse review + attorney spot-check) are never replaced by any agent.</w:t>
      </w:r>
    </w:p>
    <w:p>
      <w:pPr>
        <w:spacing w:after="0" w:before="60"/>
      </w:pPr>
    </w:p>
    <w:p>
      <w:pPr>
        <w:pStyle w:val="Heading2"/>
        <w:spacing w:after="80" w:before="240"/>
      </w:pPr>
      <w:r>
        <w:rPr>
          <w:rFonts w:ascii="Arial" w:cs="Arial" w:eastAsia="Arial" w:hAnsi="Arial"/>
          <w:b/>
          <w:bCs/>
          <w:color w:val="1A1A1A"/>
          <w:sz w:val="26"/>
          <w:szCs w:val="26"/>
        </w:rPr>
        <w:t xml:space="preserve">14A. Internal Board of Agents (Claude Skill Pack)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2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Fibonacci Deploy</w:t>
            </w:r>
          </w:p>
        </w:tc>
        <w:tc>
          <w:tcPr>
            <w:tcW w:type="dxa" w:w="5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Function</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CTO Sentinel (AUTO-01)</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cost monitoring, build oversight, security checks, n8n integration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CFO Wealth Engineer (AUTO-02)</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Financial dashboards, monthly reporting, reserve monitoring</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CMO Content Strategist (AUTO-03)</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strategy, editorial calendar, denial-code content pipeline</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COO Operating Coordinator (AUTO-04)</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Weekly ops calendar, sprint tracking, Minimum Viable Week enforcement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CMO Growth Agent (AUTO-05)</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cluster expansion, content refresh cycles, keyword gap analysis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Audit Agent (AUTO-06)</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3</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refresh engine, accuracy decay detection, backlink monitoring</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CSO Strategy Officer (AUTO-07)</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Strategic analysis, phase gate assessment, B2B pipeline prep</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CPO Product Officer (AUTO-08)</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 roadmap, feature prioritization against Launch Truth</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Chief of Staff (AUTO-09)</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Ops coordination, agent orchestration, flag monitoring</w:t>
            </w:r>
          </w:p>
        </w:tc>
      </w:tr>
    </w:tbl>
    <w:p>
      <w:pPr>
        <w:spacing w:after="0" w:before="80"/>
      </w:pPr>
    </w:p>
    <w:p>
      <w:pPr>
        <w:pStyle w:val="Heading2"/>
        <w:spacing w:after="80" w:before="240"/>
      </w:pPr>
      <w:r>
        <w:rPr>
          <w:rFonts w:ascii="Arial" w:cs="Arial" w:eastAsia="Arial" w:hAnsi="Arial"/>
          <w:b/>
          <w:bCs/>
          <w:color w:val="1A1A1A"/>
          <w:sz w:val="26"/>
          <w:szCs w:val="26"/>
        </w:rPr>
        <w:t xml:space="preserve">14B. External Agent Integration — MA-AGT-001 (NEW in v21)</w:t>
      </w:r>
    </w:p>
    <w:p>
      <w:pPr>
        <w:spacing w:after="80" w:before="60"/>
      </w:pPr>
      <w:r>
        <w:rPr>
          <w:rFonts w:ascii="Arial" w:cs="Arial" w:eastAsia="Arial" w:hAnsi="Arial"/>
          <w:color w:val="1A1A1A"/>
          <w:sz w:val="20"/>
          <w:szCs w:val="20"/>
        </w:rPr>
        <w:t xml:space="preserve">Eleven external agents from two open-source repositories (geo-seo-claude × agency-agents) are formally integrated into the MyAdvocate operating workflow. Full specifications in MA-AGT-001. Source repos: github.com/zubair-trabzada/geo-seo-claude · github.com/msitarzewski/agency-agents.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1400"/>
        <w:gridCol w:w="3180"/>
      </w:tblGrid>
      <w:tr>
        <w:trPr>
          <w:tblHeader/>
        </w:trPr>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Deploy When</w:t>
            </w:r>
          </w:p>
        </w:tc>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MA ID</w:t>
            </w:r>
          </w:p>
        </w:tc>
        <w:tc>
          <w:tcPr>
            <w:tcW w:type="dxa" w:w="3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Function</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 Content Architect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production begins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MA-AGT-002</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Citability scoring ≥70/100 before nurse review. 134–167 word block structure.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GEO-02</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AI Visibility Foundation</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day — one-time checklist</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See Launch Truth</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llms.txt, robots.txt (14 AI crawlers), JSON-LD schema, Core Web Vitals.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GEO-03</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Denial-Code SEO Writer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Each new denial code page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MA-AGT-003</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GEO-first content structure: direct-answer, self-contained blocks, FAQPage schema.</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DEV-01</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Engineer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Supabase session (ACTIVE)</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MA-AGT-004</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RLS review, PII audit, threat modeling, OpenClaw verification.</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DEV-02</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Backend Architect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Supabase session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MA-AGT-005</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structure, schema design, TypeScript types, data minimization.</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DEV-03</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Reality Checker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gate certification + generateLetter() changes</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MA-AGT-006</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Evidence-based launch gate. Refuses to certify without proof.</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CNT-01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YMYL Compliance Writer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Before first content session (BUILD TASK)</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MA-AGT-007</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AHP Step 0 + YMYL language audit before nurse review.</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MKT-01</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Community Builder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T-60 days before projected Signal 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MA-AGT-008</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60-day trust-building in r/HealthInsurance and condition subs.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MKT-02</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Growth Specialist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 (16k–25k visitors)</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MA-AGT-009</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expansion, content refresh, keyword gap analysis.</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MKT-03</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Growth Hacker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MA-AGT-010</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Give a Month / Get a Month referral, Beehiiv growth loops.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PRD-01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Feedback Synthesizer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MA-AGT-011</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VOC synthesis from cancel flows, Beehiiv recovery, support tickets.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15. Context Registry Architecture — MA-CTX-001 (NEW in v21)</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GOVERNING DOCTRINE: Narrative lives in files. Structured truth lives in registries.
Planning documents, SOPs, strategy, and architecture live in .docx and .md files. Denial codes, appeal strategies, SEO clusters, regulations, decisions, and content pages live in JSON registries — machine-queryable structured truth. Agents do not write to narrative files. Agents write to registries.</w:t>
            </w:r>
          </w:p>
        </w:tc>
      </w:tr>
    </w:tbl>
    <w:p>
      <w:pPr>
        <w:spacing w:after="0" w:before="60"/>
      </w:pPr>
    </w:p>
    <w:p>
      <w:pPr>
        <w:spacing w:after="80" w:before="60"/>
      </w:pPr>
      <w:r>
        <w:rPr>
          <w:rFonts w:ascii="Arial" w:cs="Arial" w:eastAsia="Arial" w:hAnsi="Arial"/>
          <w:color w:val="1A1A1A"/>
          <w:sz w:val="20"/>
          <w:szCs w:val="20"/>
        </w:rPr>
        <w:t xml:space="preserve">MA-CTX-001 defines the Context Registry layer — a structured set of JSON registries that serve as the operational memory of the business, readable and writable by both humans and automation agents. This is a Phase 1 build output (lightweight JSON files, not a database). Migration to SQLite and then Supabase/Postgres occurs as the system matures.</w:t>
      </w:r>
    </w:p>
    <w:p>
      <w:pPr>
        <w:spacing w:after="0" w:before="60"/>
      </w:pPr>
    </w:p>
    <w:p>
      <w:pPr>
        <w:pStyle w:val="Heading2"/>
        <w:spacing w:after="80" w:before="240"/>
      </w:pPr>
      <w:r>
        <w:rPr>
          <w:rFonts w:ascii="Arial" w:cs="Arial" w:eastAsia="Arial" w:hAnsi="Arial"/>
          <w:b/>
          <w:bCs/>
          <w:color w:val="1A1A1A"/>
          <w:sz w:val="26"/>
          <w:szCs w:val="26"/>
        </w:rPr>
        <w:t xml:space="preserve">15A. Registry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200"/>
        <w:gridCol w:w="45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Registry File</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 Prefix</w:t>
            </w:r>
          </w:p>
        </w:tc>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4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src_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Intake registry for all source documents, files, and external references.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decisions.json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dec_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Structured log of strategic and operational decisions with rationale.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denial_codes.json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Core intelligence asset — every denial code the platform addresses.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appeal_strategies.json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Reusable appeal frameworks linked to denial types and evidence.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regulations.json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Regulatory sources affecting guidance, appeals, and content freshness.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seo_clusters.json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cluster definitions linking pillars, support pages, denial codes.</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content_pages.json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page_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Structured record of every content page with cluster and object linkage.</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review_queue.json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rev_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Items requiring human review, verification, or founder approval.</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conflicts.json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Contradictions detected by QC Agent. Optional until Phase 2.</w:t>
            </w:r>
          </w:p>
        </w:tc>
      </w:tr>
    </w:tbl>
    <w:p>
      <w:pPr>
        <w:spacing w:after="0" w:before="60"/>
      </w:pPr>
    </w:p>
    <w:p>
      <w:pPr>
        <w:pStyle w:val="Heading2"/>
        <w:spacing w:after="80" w:before="240"/>
      </w:pPr>
      <w:r>
        <w:rPr>
          <w:rFonts w:ascii="Arial" w:cs="Arial" w:eastAsia="Arial" w:hAnsi="Arial"/>
          <w:b/>
          <w:bCs/>
          <w:color w:val="1A1A1A"/>
          <w:sz w:val="26"/>
          <w:szCs w:val="26"/>
        </w:rPr>
        <w:t xml:space="preserve">15B. Implementation Priority</w:t>
      </w:r>
    </w:p>
    <w:p>
      <w:pPr>
        <w:pStyle w:val="ListParagraph"/>
        <w:numPr>
          <w:ilvl w:val="0"/>
          <w:numId w:val="2"/>
        </w:numPr>
        <w:spacing w:after="40" w:before="40"/>
      </w:pPr>
      <w:r>
        <w:rPr>
          <w:rFonts w:ascii="Arial" w:cs="Arial" w:eastAsia="Arial" w:hAnsi="Arial"/>
          <w:color w:val="1A1A1A"/>
          <w:sz w:val="20"/>
          <w:szCs w:val="20"/>
        </w:rPr>
        <w:t xml:space="preserve">Build sequence: sources.json → decisions.json → denial_codes.json (highest intelligence value first)</w:t>
      </w:r>
    </w:p>
    <w:p>
      <w:pPr>
        <w:pStyle w:val="ListParagraph"/>
        <w:numPr>
          <w:ilvl w:val="0"/>
          <w:numId w:val="2"/>
        </w:numPr>
        <w:spacing w:after="40" w:before="40"/>
      </w:pPr>
      <w:r>
        <w:rPr>
          <w:rFonts w:ascii="Arial" w:cs="Arial" w:eastAsia="Arial" w:hAnsi="Arial"/>
          <w:color w:val="1A1A1A"/>
          <w:sz w:val="20"/>
          <w:szCs w:val="20"/>
        </w:rPr>
        <w:t xml:space="preserve">Location: /context_registry/ at project root. JSON files only. No database infrastructure in Phase 1.</w:t>
      </w:r>
    </w:p>
    <w:p>
      <w:pPr>
        <w:pStyle w:val="ListParagraph"/>
        <w:numPr>
          <w:ilvl w:val="0"/>
          <w:numId w:val="2"/>
        </w:numPr>
        <w:spacing w:after="40" w:before="40"/>
      </w:pPr>
      <w:r>
        <w:rPr>
          <w:rFonts w:ascii="Arial" w:cs="Arial" w:eastAsia="Arial" w:hAnsi="Arial"/>
          <w:color w:val="1A1A1A"/>
          <w:sz w:val="20"/>
          <w:szCs w:val="20"/>
        </w:rPr>
        <w:t xml:space="preserve">Dependency: Context registry must exist BEFORE GEO-01/GEO-03 content sessions begin. Agents write cluster linkages into seo_clusters.json and content_pages.json as content is produced.</w:t>
      </w:r>
    </w:p>
    <w:p>
      <w:pPr>
        <w:pStyle w:val="ListParagraph"/>
        <w:numPr>
          <w:ilvl w:val="0"/>
          <w:numId w:val="2"/>
        </w:numPr>
        <w:spacing w:after="40" w:before="40"/>
      </w:pPr>
      <w:r>
        <w:rPr>
          <w:rFonts w:ascii="Arial" w:cs="Arial" w:eastAsia="Arial" w:hAnsi="Arial"/>
          <w:color w:val="1A1A1A"/>
          <w:sz w:val="20"/>
          <w:szCs w:val="20"/>
        </w:rPr>
        <w:t xml:space="preserve">Hard rule: No record may exist without a populated source_ids array. Orphaned records are invalid.</w:t>
      </w:r>
    </w:p>
    <w:p>
      <w:pPr>
        <w:pStyle w:val="ListParagraph"/>
        <w:numPr>
          <w:ilvl w:val="0"/>
          <w:numId w:val="2"/>
        </w:numPr>
        <w:spacing w:after="40" w:before="40"/>
      </w:pPr>
      <w:r>
        <w:rPr>
          <w:rFonts w:ascii="Arial" w:cs="Arial" w:eastAsia="Arial" w:hAnsi="Arial"/>
          <w:color w:val="1A1A1A"/>
          <w:sz w:val="20"/>
          <w:szCs w:val="20"/>
        </w:rPr>
        <w:t xml:space="preserve">Status vocabulary: draft → active → needs_review → superseded → archived (consistent across all registries).</w:t>
      </w:r>
    </w:p>
    <w:p>
      <w:pPr>
        <w:spacing w:after="0" w:before="60"/>
      </w:pP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SCOPE GATE: The context registry is a Phase 1 build output — lightweight JSON files. Migration to SQLite and then Supabase/Postgres occurs as the system matures. The existing src/lib/db/denial-codes.ts helper and denial_codes.json registry serve DIFFERENT purposes: the DB is the product runtime; the registry is the agent intelligence layer. They are not duplicates.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16. Patient Story Engine — MA-SOC-002 (NEW in v21)</w:t>
      </w:r>
    </w:p>
    <w:p>
      <w:pPr>
        <w:spacing w:after="80" w:before="60"/>
      </w:pPr>
      <w:r>
        <w:rPr>
          <w:rFonts w:ascii="Arial" w:cs="Arial" w:eastAsia="Arial" w:hAnsi="Arial"/>
          <w:color w:val="1A1A1A"/>
          <w:sz w:val="20"/>
          <w:szCs w:val="20"/>
        </w:rPr>
        <w:t xml:space="preserve">MA-SOC-002 defines the Patient Story Engine — MyAdvocate’s framework for sourcing, scrubbing, scripting, and distributing real patient experiences as video content across YouTube Shorts, Instagram Reels, and future channels. Supplements MA-YT-001 (YouTube &amp; Spanish Strategy) and MA-IG-001 (Instagram Strategy).</w:t>
      </w:r>
    </w:p>
    <w:p>
      <w:pPr>
        <w:spacing w:after="0" w:before="60"/>
      </w:pPr>
    </w:p>
    <w:p>
      <w:pPr>
        <w:pStyle w:val="Heading2"/>
        <w:spacing w:after="80" w:before="240"/>
      </w:pPr>
      <w:r>
        <w:rPr>
          <w:rFonts w:ascii="Arial" w:cs="Arial" w:eastAsia="Arial" w:hAnsi="Arial"/>
          <w:b/>
          <w:bCs/>
          <w:color w:val="1A1A1A"/>
          <w:sz w:val="26"/>
          <w:szCs w:val="26"/>
        </w:rPr>
        <w:t xml:space="preserve">16A. Dual Sourcing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6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Track</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Source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Legal Basis</w:t>
            </w:r>
          </w:p>
        </w:tc>
        <w:tc>
          <w:tcPr>
            <w:tcW w:type="dxa" w:w="2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Handling</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A — Submission (Primary)</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On-platform submission form with explicit consent checkbox</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Explicit user consent. Legally clean.</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Direct use. Anonymize PII before scripting. Preferred track.</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B — Research (Secondary)</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CFPB complaints, state insurance commissioner records (Tier 1); Reddit/forums (Tier 2)</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Public records (Tier 1). Public posts (Tier 2).</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1: structural use. Tier 2: must semi-fictionalize (inspiration only, never copy).</w:t>
            </w:r>
          </w:p>
        </w:tc>
      </w:tr>
    </w:tbl>
    <w:p>
      <w:pPr>
        <w:spacing w:after="0" w:before="60"/>
      </w:pPr>
    </w:p>
    <w:tbl>
      <w:tblPr>
        <w:tblW w:type="dxa" w:w="10080"/>
        <w:tblBorders>
          <w:top w:val="single" w:color="E74C3C" w:sz="1"/>
          <w:left w:val="single" w:color="E74C3C" w:sz="8"/>
          <w:bottom w:val="single" w:color="E74C3C" w:sz="1"/>
          <w:right w:val="single" w:color="E74C3C" w:sz="1"/>
          <w:insideH w:val="single" w:color="auto" w:sz="4"/>
          <w:insideV w:val="single" w:color="auto" w:sz="4"/>
        </w:tblBorders>
      </w:tblPr>
      <w:tblGrid>
        <w:gridCol w:w="10080"/>
      </w:tblGrid>
      <w:tr>
        <w:tc>
          <w:tcPr>
            <w:tcW w:type="dxa" w:w="10080"/>
            <w:shd w:fill="FDEDED"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RED FLAGS (Absolute Exclusions):
• Private Facebook groups, private Discord servers, direct messages — no exceptions
• Posts by apparent minors as primary subject — no exceptions
• Combinations of rare condition + specific insurer + specific state + specific year (fingerprinting)
• Reddit automated scraping (ToS violation) — Research Track uses manual curation only
• Nurse review backlog &gt;5 flagged stories — HARD STOP on production until cleared</w:t>
            </w:r>
          </w:p>
        </w:tc>
      </w:tr>
    </w:tbl>
    <w:p>
      <w:pPr>
        <w:spacing w:after="0" w:before="60"/>
      </w:pPr>
    </w:p>
    <w:p>
      <w:pPr>
        <w:pStyle w:val="Heading2"/>
        <w:spacing w:after="80" w:before="240"/>
      </w:pPr>
      <w:r>
        <w:rPr>
          <w:rFonts w:ascii="Arial" w:cs="Arial" w:eastAsia="Arial" w:hAnsi="Arial"/>
          <w:b/>
          <w:bCs/>
          <w:color w:val="1A1A1A"/>
          <w:sz w:val="26"/>
          <w:szCs w:val="26"/>
        </w:rPr>
        <w:t xml:space="preserve">16B. Scrub Record Supabase Schema (Migration 016)</w:t>
      </w:r>
    </w:p>
    <w:p>
      <w:pPr>
        <w:spacing w:after="80" w:before="60"/>
      </w:pPr>
      <w:r>
        <w:rPr>
          <w:rFonts w:ascii="Arial" w:cs="Arial" w:eastAsia="Arial" w:hAnsi="Arial"/>
          <w:color w:val="1A1A1A"/>
          <w:sz w:val="20"/>
          <w:szCs w:val="20"/>
        </w:rPr>
        <w:t xml:space="preserve">Every story that enters the pipeline gets a Supabase scrub_records row before scripting begins. This is the audit trail.</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5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story_id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UUID (generated)</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key</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source_track</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 A | B</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 = submission, B = research</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source_type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 cfpb / commissioner / forum / news / submission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scrub_completed_by</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string</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or nurse co-founder initials</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scrub_date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timestamp</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When scrub was completed</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pii_removed</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Confirms scrub pass completed</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semi_fictionalized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B only</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nurse_review_required</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Flag if medical content present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nurse_review_completed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Pipeline gate — script production waits on this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approved_for_script</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Final gate before pipeline entry</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story_type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 billing / rights / navigation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primary_denial_code</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string</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or issue type</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insurance_category</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employer / marketplace / medicare / medicaid / other</w:t>
            </w:r>
          </w:p>
        </w:tc>
      </w:tr>
    </w:tbl>
    <w:p>
      <w:pPr>
        <w:spacing w:after="0" w:before="60"/>
      </w:pPr>
    </w:p>
    <w:p>
      <w:pPr>
        <w:pStyle w:val="Heading2"/>
        <w:spacing w:after="80" w:before="240"/>
      </w:pPr>
      <w:r>
        <w:rPr>
          <w:rFonts w:ascii="Arial" w:cs="Arial" w:eastAsia="Arial" w:hAnsi="Arial"/>
          <w:b/>
          <w:bCs/>
          <w:color w:val="1A1A1A"/>
          <w:sz w:val="26"/>
          <w:szCs w:val="26"/>
        </w:rPr>
        <w:t xml:space="preserve">16C. AI Actor Character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Attribute</w:t>
            </w:r>
          </w:p>
        </w:tc>
        <w:tc>
          <w:tcPr>
            <w:tcW w:type="dxa" w:w="4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English Character</w:t>
            </w:r>
          </w:p>
        </w:tc>
        <w:tc>
          <w:tcPr>
            <w:tcW w:type="dxa" w:w="4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Spanish Character</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Archetype</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advocate — navigated the system personally, now helps others</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Community advocate — trusted bridge between healthcare system and Hispanic community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Apparent age</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35–50 — old enough for authority, young enough to be relatable</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30–45 — community peer, not distant authority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Voice register</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Calm, direct, slightly urgent on the problem. Never alarmist.</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Warm, direct, community-oriented. Natural Spanish (not translated-feeling).</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What they never say</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‘You will win.’ ‘This was illegal.’ ‘Trust me.’</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Same prohibitions + nothing implying undocumented status creates healthcare barriers.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Platform</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HeyGen premium avatar — test 3 candidates, select by trust impression</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Separate HeyGen avatar (not dubbed English character)</w:t>
            </w:r>
          </w:p>
        </w:tc>
      </w:tr>
    </w:tbl>
    <w:p>
      <w:pPr>
        <w:spacing w:after="0" w:before="60"/>
      </w:pP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AI DISCLOSURE (Orange Flag): YouTube and Instagram require disclosure of AI-generated content. Add 'This video features an AI-generated presenter' in video descriptions and YouTube AI disclosure tag. Proactive disclosure builds trust with a 2026 healthcare audience. Review platform policies quarterly.</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17. Canonical Document Registry</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REGISTRY RULE
Every canonical document has a permanent ID. IDs are never reused. Documents are superseded, not deleted. The registry is the master reference for all agents, skills, and engineering decisions.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400"/>
        <w:gridCol w:w="2000"/>
        <w:gridCol w:w="1680"/>
      </w:tblGrid>
      <w:tr>
        <w:trPr>
          <w:tblHeader/>
        </w:trPr>
        <w:tc>
          <w:tcPr>
            <w:tcW w:type="dxa" w:w="1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Family</w:t>
            </w:r>
          </w:p>
        </w:tc>
        <w:tc>
          <w:tcPr>
            <w:tcW w:type="dxa" w:w="3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Title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c>
          <w:tcPr>
            <w:tcW w:type="dxa" w:w="1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MA-PMP-001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PMP</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 Management Plan</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v21 (this document)</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 — CURRENT</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MA-LCH-004</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Truth (Phase 1 Scope)</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Checklist (24 controls)</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 (extended 2026-03-12)</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MA-COST-001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Cost Architecture &amp; Spend Control</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(2026-03-12)</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MA-DAT-002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Data</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Data Model (10 objects)</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MA-CTX-001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Specification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NEW in v21</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MA-SOC-002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Story Engine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NEW in v21</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External Agent Integration Plan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Canonized in v21</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MA-AHP-001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Compliance</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Anti-Hallucination Protocol</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(governs all agents)</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MA-LANG-001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Language</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Multi-Language Expansion Specification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MA-YT-001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YouTube &amp; Spanish Channel Strategy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MA-IG-001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Instagram &amp; Social Strategy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MA-DEV-001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Claude Code Workflow</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bl>
    <w:p>
      <w:pPr>
        <w:spacing w:after="0" w:before="60"/>
      </w:pPr>
    </w:p>
    <w:p>
      <w:pPr>
        <w:pStyle w:val="Heading2"/>
        <w:spacing w:after="80" w:before="240"/>
      </w:pPr>
      <w:r>
        <w:rPr>
          <w:rFonts w:ascii="Arial" w:cs="Arial" w:eastAsia="Arial" w:hAnsi="Arial"/>
          <w:b/>
          <w:bCs/>
          <w:color w:val="1A1A1A"/>
          <w:sz w:val="26"/>
          <w:szCs w:val="26"/>
        </w:rPr>
        <w:t xml:space="preserve">Storage Locations</w:t>
      </w:r>
    </w:p>
    <w:p>
      <w:pPr>
        <w:pStyle w:val="ListParagraph"/>
        <w:numPr>
          <w:ilvl w:val="0"/>
          <w:numId w:val="2"/>
        </w:numPr>
        <w:spacing w:after="40" w:before="40"/>
      </w:pPr>
      <w:r>
        <w:rPr>
          <w:rFonts w:ascii="Arial" w:cs="Arial" w:eastAsia="Arial" w:hAnsi="Arial"/>
          <w:color w:val="1A1A1A"/>
          <w:sz w:val="20"/>
          <w:szCs w:val="20"/>
        </w:rPr>
        <w:t xml:space="preserve">Docs folder: /docs/ in GitHub repo (cost/, security/, pmp/, system/, superpowers/)</w:t>
      </w:r>
    </w:p>
    <w:p>
      <w:pPr>
        <w:pStyle w:val="ListParagraph"/>
        <w:numPr>
          <w:ilvl w:val="0"/>
          <w:numId w:val="2"/>
        </w:numPr>
        <w:spacing w:after="40" w:before="40"/>
      </w:pPr>
      <w:r>
        <w:rPr>
          <w:rFonts w:ascii="Arial" w:cs="Arial" w:eastAsia="Arial" w:hAnsi="Arial"/>
          <w:color w:val="1A1A1A"/>
          <w:sz w:val="20"/>
          <w:szCs w:val="20"/>
        </w:rPr>
        <w:t xml:space="preserve">New in v21: /docs/agents/ — MA-AGT-001.docx; /docs/context/ — MA-CTX-001.docx; /docs/social/ — MA-SOC-002.docx. New in v22: /docs/social/ — MA-YT-001_YouTube_Spanish_Strategy_Report.docx; MA-IG-001_Instagram_Strategy_v2.docx</w:t>
      </w:r>
    </w:p>
    <w:p>
      <w:pPr>
        <w:pStyle w:val="ListParagraph"/>
        <w:numPr>
          <w:ilvl w:val="0"/>
          <w:numId w:val="2"/>
        </w:numPr>
        <w:spacing w:after="40" w:before="40"/>
      </w:pPr>
      <w:r>
        <w:rPr>
          <w:rFonts w:ascii="Arial" w:cs="Arial" w:eastAsia="Arial" w:hAnsi="Arial"/>
          <w:color w:val="1A1A1A"/>
          <w:sz w:val="20"/>
          <w:szCs w:val="20"/>
        </w:rPr>
        <w:t xml:space="preserve">Google Drive: Canonical documents linked from Notion “🔒 CANONICAL” page</w:t>
      </w:r>
    </w:p>
    <w:p>
      <w:pPr>
        <w:pStyle w:val="ListParagraph"/>
        <w:numPr>
          <w:ilvl w:val="0"/>
          <w:numId w:val="2"/>
        </w:numPr>
        <w:spacing w:after="40" w:before="40"/>
      </w:pPr>
      <w:r>
        <w:rPr>
          <w:rFonts w:ascii="Arial" w:cs="Arial" w:eastAsia="Arial" w:hAnsi="Arial"/>
          <w:color w:val="1A1A1A"/>
          <w:sz w:val="20"/>
          <w:szCs w:val="20"/>
        </w:rPr>
        <w:t xml:space="preserve">Notion Wiki: MA-PMP-001 → MA-LCH-004 → MA-SEC-002 → MA-COST-001 form the four core anchor docs. MA-CTX-001, MA-SOC-002, MA-AGT-001, MA-YT-001, MA-IG-001 added as supporting layer. MA-YT-001 and MA-IG-001 fully canonized in v22.</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18. Parking Lot — Phase-Gated Items</w:t>
      </w:r>
    </w:p>
    <w:p>
      <w:pPr>
        <w:spacing w:after="80" w:before="60"/>
      </w:pPr>
      <w:r>
        <w:rPr>
          <w:rFonts w:ascii="Arial" w:cs="Arial" w:eastAsia="Arial" w:hAnsi="Arial"/>
          <w:color w:val="1A1A1A"/>
          <w:sz w:val="20"/>
          <w:szCs w:val="20"/>
        </w:rPr>
        <w:t xml:space="preserve">The Parking Lot contains valid ideas that are correct for a later phase. Being in the Parking Lot is not rejection — it is sequencing. No Parking Lot item may be built without an explicit unlock signal.</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3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Parked Reason</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Signal</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Response caching layer (Upstash Redis)</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Deferred from Phase 1 cost architecture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 — after baseline metrics established</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Retry optimization for Anthropic API</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Low-impact until scale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 — when retry rate &gt;2%</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budget alert webhooks (replace console.log)</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Low-risk at current spend</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before hitting $50/month baseline</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Batch content generation rules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Quality first at launch</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after nurse review cadence established</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SQLite</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JSON files sufficient at Phase 1 volume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 when registry exceeds 500 records</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Supabase/Postgres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SQLite is the intermediate step</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3–4 — when multi-agent writes require coordination</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engine Spanish track</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Requires Spanish channel + 25+ stories in bank</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gate per MA-SOC-002</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submission naming (even anonymized)</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Gates on track record + attorney review</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B2B consent framework</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needed before B2B activation</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Checkpoint 3 + attorney review</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autonomous deployment</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Governing constraint — not a phase issue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 founder approval always required</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HeyGen → n8n story automation pipeline</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Manual pipeline sufficient for Gate 0–1</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when monthly cadence reaches 4+ videos</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story use (sales decks, press materials)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Requires separate written consent</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 B2B activation gate</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Paid advertising / Growth Deployment Pool</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only — no exceptions</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 Level 4 XP</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formal pipeline</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gate + Level 5 XP</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(110k visitors)</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$50k fund + Signal 5 + Level 6 XP</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three conditions required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7. Weekly Operating Calendar</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MINIMUM VIABLE WEEK — 5 NON-NEGOTIABLE ACTIONS
1. Check API cost dashboard and n8n agent alerts (5 min) — CORE
2. Check Stripe dashboard for anomalies (5 min) — CORE
3. Run YMYL four-item checklist on any scheduled content before it publishes (10–15 min) — CORE
4. Publish one piece from pre-written backlog — not write, PUBLISH (15 min) — GROWTH
5. One Reddit reply in a target subreddit (10 min) — GROWTH
TOTAL: 45–50 minutes.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600"/>
        <w:gridCol w:w="20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Day</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Focus</w:t>
            </w:r>
          </w:p>
        </w:tc>
        <w:tc>
          <w:tcPr>
            <w:tcW w:type="dxa" w:w="4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Core Tasks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Time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&amp; SEO</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Keyword → outline → AI draft (via GEO-01/GEO-03) → edit → publish/schedule. Extract social scripts.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1.5–2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Tuesday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Stories + Social</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Bank: source/scrub 1–2 stories. Schedule social queue. Run story script through CNT-01 if applicable.</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 hrs</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Wednesday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&amp; Product</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 product improvement, bug fix, or infrastructure item.</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2–3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Thursday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Outreach &amp; Community</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replies. Email responses. Advocacy org relationship.</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1–1.5 hrs</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Friday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 &amp; Review</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Weekly dashboard review. Sprint task check. Backlog rebuild. DEV-03 if any generateLetter() change.</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1–1.5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Weekend</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Recovery / Buffer</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Only if in sprint push. Otherwise protected. Ops log entry if worked.</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0–1 hr</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12. Founder Performance System</w:t>
      </w:r>
    </w:p>
    <w:p>
      <w:pPr>
        <w:spacing w:after="80" w:before="60"/>
      </w:pPr>
      <w:r>
        <w:rPr>
          <w:rFonts w:ascii="Arial" w:cs="Arial" w:eastAsia="Arial" w:hAnsi="Arial"/>
          <w:color w:val="1A1A1A"/>
          <w:sz w:val="20"/>
          <w:szCs w:val="20"/>
        </w:rPr>
        <w:t xml:space="preserve">Unchanged from v19. XP rewards controllable actions. Cash commissions reward verified business outcomes. The streak multiplier compounds consistent execution. See v19 for full XP Earn Table, XP Loss Table, MRR Commission Ladder, and Unlock Track.</w:t>
      </w:r>
    </w:p>
    <w:p>
      <w:pPr>
        <w:spacing w:after="0" w:before="60"/>
      </w:pPr>
    </w:p>
    <w:p>
      <w:pPr>
        <w:pStyle w:val="Heading2"/>
        <w:spacing w:after="80" w:before="240"/>
      </w:pPr>
      <w:r>
        <w:rPr>
          <w:rFonts w:ascii="Arial" w:cs="Arial" w:eastAsia="Arial" w:hAnsi="Arial"/>
          <w:b/>
          <w:bCs/>
          <w:color w:val="1A1A1A"/>
          <w:sz w:val="26"/>
          <w:szCs w:val="26"/>
        </w:rPr>
        <w:t xml:space="preserve">12A. XP Level Thresholds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5680"/>
      </w:tblGrid>
      <w:tr>
        <w:trPr>
          <w:tblHeader/>
        </w:trPr>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Level</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Total XP</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Title</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Unlock</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Advocate</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baseline tools. Business is live.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Fighter</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 media automation tools.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Counsel</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outreach mode.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Strategist</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Growth Deployment Pool campaigns (Phase 3+).</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3,500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Champion</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outreach at Signal 5.</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 build greenlight (contingent on $50k + Signal 5).</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Mogul</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hire authorization.</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Sovereign</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Full-time transition assessment.</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Monopolist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 discretion.</w:t>
            </w:r>
          </w:p>
        </w:tc>
      </w:tr>
    </w:tbl>
    <w:p>
      <w:pPr>
        <w:spacing w:after="0" w:before="60"/>
      </w:pPr>
    </w:p>
    <w:p>
      <w:pPr>
        <w:pStyle w:val="Heading2"/>
        <w:spacing w:after="80" w:before="240"/>
      </w:pPr>
      <w:r>
        <w:rPr>
          <w:rFonts w:ascii="Arial" w:cs="Arial" w:eastAsia="Arial" w:hAnsi="Arial"/>
          <w:b/>
          <w:bCs/>
          <w:color w:val="1A1A1A"/>
          <w:sz w:val="26"/>
          <w:szCs w:val="26"/>
        </w:rPr>
        <w:t xml:space="preserve">12B. MRR Commission Ladder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2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MRR Threshold</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Commission</w:t>
            </w:r>
          </w:p>
        </w:tc>
        <w:tc>
          <w:tcPr>
            <w:tcW w:type="dxa" w:w="6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MRR milestone. Routes to Commission Bank in Phase 1.</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network activation possible.</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revenue contributing.</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conversations meaningful.</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$2,750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Full-time transition viable.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$55,000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platform. B2B becomes inbound.</w:t>
            </w:r>
          </w:p>
        </w:tc>
      </w:tr>
    </w:tbl>
    <w:p>
      <w:r>
        <w:br w:type="page"/>
      </w:r>
    </w:p>
    <w:p>
      <w:pPr>
        <w:spacing w:after="0" w:before="400"/>
      </w:pPr>
    </w:p>
    <w:p>
      <w:pPr>
        <w:spacing w:after="80" w:before="0"/>
        <w:jc w:val="center"/>
      </w:pPr>
      <w:r>
        <w:rPr>
          <w:rFonts w:ascii="Arial" w:cs="Arial" w:eastAsia="Arial" w:hAnsi="Arial"/>
          <w:b/>
          <w:bCs/>
          <w:i/>
          <w:iCs/>
          <w:color w:val="1F5C99"/>
          <w:sz w:val="28"/>
          <w:szCs w:val="28"/>
        </w:rPr>
        <w:t xml:space="preserve">“The insurance companies have lawyers. You have MyAdvocate.</w:t>
      </w:r>
    </w:p>
    <w:p>
      <w:pPr>
        <w:spacing w:after="80" w:before="0"/>
        <w:jc w:val="center"/>
      </w:pPr>
      <w:r>
        <w:rPr>
          <w:rFonts w:ascii="Arial" w:cs="Arial" w:eastAsia="Arial" w:hAnsi="Arial"/>
          <w:i/>
          <w:iCs/>
          <w:color w:val="555555"/>
          <w:sz w:val="22"/>
          <w:szCs w:val="22"/>
        </w:rPr>
        <w:t xml:space="preserve">And soon — the documented stories of the people those lawyers tried to silence.”</w:t>
      </w:r>
    </w:p>
    <w:p>
      <w:pPr>
        <w:spacing w:after="0" w:before="120"/>
      </w:pPr>
    </w:p>
    <w:p>
      <w:pPr>
        <w:spacing w:after="0" w:before="0"/>
        <w:jc w:val="center"/>
      </w:pPr>
      <w:r>
        <w:rPr>
          <w:rFonts w:ascii="Arial" w:cs="Arial" w:eastAsia="Arial" w:hAnsi="Arial"/>
          <w:color w:val="555555"/>
          <w:sz w:val="18"/>
          <w:szCs w:val="18"/>
        </w:rPr>
        <w:t xml:space="preserve">MA-PMP-001 v21  •  2026-03-12  •  CONFIDENTIAL  •  Living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2" w:space="6"/>
      </w:pBdr>
      <w:spacing w:after="0" w:before="60"/>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MA-PMP-001 v21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2" w:space="6"/>
      </w:pBdr>
      <w:spacing w:after="100" w:before="0"/>
    </w:pPr>
    <w:r>
      <w:rPr>
        <w:rFonts w:ascii="Arial" w:cs="Arial" w:eastAsia="Arial" w:hAnsi="Arial"/>
        <w:b/>
        <w:bCs/>
        <w:color w:val="1F5C99"/>
        <w:sz w:val="16"/>
        <w:szCs w:val="16"/>
      </w:rPr>
      <w:t xml:space="preserve">MYADVOCATE  |  Project Management Plan v21</w:t>
    </w:r>
    <w:r>
      <w:rPr>
        <w:rFonts w:ascii="Arial" w:cs="Arial" w:eastAsia="Arial" w:hAnsi="Arial"/>
        <w:color w:val="555555"/>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2026-03-12T18:01:06.383Z</dcterms:created>
  <dcterms:modified xsi:type="dcterms:W3CDTF">2026-03-12T18:01:06.385Z</dcterms:modified>
</cp:coreProperties>
</file>

<file path=docProps/custom.xml><?xml version="1.0" encoding="utf-8"?>
<Properties xmlns="http://schemas.openxmlformats.org/officeDocument/2006/custom-properties" xmlns:vt="http://schemas.openxmlformats.org/officeDocument/2006/docPropsVTypes"/>
</file>