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color w:val="1F4E79"/>
          <w:sz w:val="56"/>
          <w:szCs w:val="56"/>
        </w:rPr>
        <w:t xml:space="preserve">MYADVOCATE</w:t>
      </w:r>
    </w:p>
    <w:p>
      <w:pPr>
        <w:spacing w:before="0" w:after="60"/>
      </w:pPr>
      <w:r>
        <w:rPr>
          <w:rFonts w:ascii="Arial" w:cs="Arial" w:eastAsia="Arial" w:hAnsi="Arial"/>
          <w:color w:val="2E75B6"/>
          <w:sz w:val="32"/>
          <w:szCs w:val="32"/>
        </w:rPr>
        <w:t xml:space="preserve">Business Supplemental Report</w:t>
      </w:r>
    </w:p>
    <w:p>
      <w:pPr>
        <w:spacing w:before="0" w:after="400"/>
      </w:pPr>
      <w:r>
        <w:rPr>
          <w:rFonts w:ascii="Arial" w:cs="Arial" w:eastAsia="Arial" w:hAnsi="Arial"/>
          <w:i/>
          <w:iCs/>
          <w:color w:val="404040"/>
          <w:sz w:val="22"/>
          <w:szCs w:val="22"/>
        </w:rPr>
        <w:t xml:space="preserve">Proprietary Data Engine Strategy  |  MA-SUP-DAT-001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60"/>
              <w:bottom w:type="dxa" w:w="200"/>
              <w:right w:type="dxa" w:w="360"/>
            </w:tcMar>
          </w:tcPr>
          <w:p>
            <w:pPr>
              <w:spacing w:before="0" w:after="80"/>
            </w:pPr>
            <w:r>
              <w:rPr>
                <w:rFonts w:ascii="Arial" w:cs="Arial" w:eastAsia="Arial" w:hAnsi="Arial"/>
                <w:b/>
                <w:bCs/>
                <w:i/>
                <w:iCs/>
                <w:color w:val="FFFFFF"/>
                <w:sz w:val="26"/>
                <w:szCs w:val="26"/>
              </w:rPr>
              <w:t xml:space="preserve">The insurance companies have lawyers. You have MyAdvocate.</w:t>
            </w:r>
          </w:p>
          <w:p>
            <w:pPr>
              <w:spacing w:before="0" w:after="0"/>
            </w:pPr>
            <w:r>
              <w:rPr>
                <w:rFonts w:ascii="Arial" w:cs="Arial" w:eastAsia="Arial" w:hAnsi="Arial"/>
                <w:color w:val="AED6F1"/>
                <w:sz w:val="20"/>
                <w:szCs w:val="20"/>
              </w:rPr>
              <w:t xml:space="preserve">This document formalizes the Proprietary Data Engine as a long-term strategic pillar: two compounding datasets that transform MyAdvocate from a consumer tool into a patient-side intelligence authority.</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Document ID</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MA-SUP-DAT-001</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Family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MA-SUP (Supplementals) → Candidate for MA-DAT family integration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Authority</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Supporting — formalizes concepts referenced across MA-ARC, MA-DAT, MA-PMP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Phase Gate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Data collection: Phase 1 (stub now). Publication strategy: Phase 3+</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Related IDs</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MA-PMP-001, MA-DAT-001, MA-SEC-001, MA-LCH-004, MA-SEC-002</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Active — establishes groundwork; cowork tasks appended</w:t>
            </w:r>
          </w:p>
        </w:tc>
      </w:tr>
    </w:tbl>
    <w:p>
      <w:r>
        <w:br w:type="page"/>
      </w:r>
    </w:p>
    <w:p>
      <w:pPr>
        <w:pStyle w:val="Heading1"/>
        <w:spacing w:before="360" w:after="160"/>
      </w:pPr>
      <w:r>
        <w:rPr>
          <w:rFonts w:ascii="Arial" w:cs="Arial" w:eastAsia="Arial" w:hAnsi="Arial"/>
          <w:b/>
          <w:bCs/>
          <w:color w:val="1F4E79"/>
          <w:sz w:val="32"/>
          <w:szCs w:val="32"/>
        </w:rPr>
        <w:t xml:space="preserve">1. Strategic Purpose</w:t>
      </w:r>
    </w:p>
    <w:p>
      <w:pPr>
        <w:spacing w:before="60" w:after="100"/>
      </w:pPr>
      <w:r>
        <w:rPr>
          <w:rFonts w:ascii="Arial" w:cs="Arial" w:eastAsia="Arial" w:hAnsi="Arial"/>
          <w:color w:val="404040"/>
          <w:sz w:val="22"/>
          <w:szCs w:val="22"/>
        </w:rPr>
        <w:t xml:space="preserve">MyAdvocate generates patient-side healthcare data as a natural byproduct of doing its core job. Every denial decoded, every appeal letter generated, every billing dispute filed produces a structured signal about where the U.S. insurance system fails patients. No competitor, no academic study, and no government report currently aggregates this data at the consumer level in real time.</w:t>
      </w:r>
    </w:p>
    <w:p>
      <w:pPr>
        <w:spacing w:before="80" w:after="0"/>
      </w:pPr>
      <w:r>
        <w:t xml:space="preserve"/>
      </w:r>
    </w:p>
    <w:p>
      <w:pPr>
        <w:spacing w:before="60" w:after="100"/>
      </w:pPr>
      <w:r>
        <w:rPr>
          <w:rFonts w:ascii="Arial" w:cs="Arial" w:eastAsia="Arial" w:hAnsi="Arial"/>
          <w:color w:val="404040"/>
          <w:sz w:val="22"/>
          <w:szCs w:val="22"/>
        </w:rPr>
        <w:t xml:space="preserve">This document formalizes two distinct but complementary datasets, establishes how they are collected safely within the existing privacy architecture, defines the publication strategy, and specifies where existing canonical documents require amendment to reflect this as a first-class strategic pillar.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8"/>
              <w:bottom w:val="single" w:color="CCCCCC" w:sz="1"/>
              <w:right w:val="single" w:color="CCCCCC" w:sz="1"/>
            </w:tcBorders>
            <w:shd w:fill="D6E4F0" w:val="clear"/>
            <w:tcMar>
              <w:top w:type="dxa" w:w="120"/>
              <w:left w:type="dxa" w:w="180"/>
              <w:bottom w:type="dxa" w:w="120"/>
              <w:right w:type="dxa" w:w="180"/>
            </w:tcMar>
          </w:tcPr>
          <w:p>
            <w:pPr>
              <w:spacing w:before="0" w:after="0"/>
            </w:pPr>
            <w:r>
              <w:rPr>
                <w:rFonts w:ascii="Arial" w:cs="Arial" w:eastAsia="Arial" w:hAnsi="Arial"/>
                <w:b/>
                <w:bCs/>
                <w:color w:val="1F4E79"/>
                <w:sz w:val="20"/>
                <w:szCs w:val="20"/>
              </w:rPr>
              <w:t xml:space="preserve">STRATEGIC RULE:  </w:t>
            </w:r>
            <w:r>
              <w:rPr>
                <w:rFonts w:ascii="Arial" w:cs="Arial" w:eastAsia="Arial" w:hAnsi="Arial"/>
                <w:color w:val="404040"/>
                <w:sz w:val="20"/>
                <w:szCs w:val="20"/>
              </w:rPr>
              <w:t xml:space="preserve">This is not a future feature. The data collection infrastructure must be stubbed in Phase 1 so that when Phase 2 activates outcome tracking and Phase 3 activates publication, the dataset is already populated and statistically meaningful.</w:t>
            </w:r>
          </w:p>
        </w:tc>
      </w:tr>
    </w:tbl>
    <w:p>
      <w:pPr>
        <w:spacing w:before="200" w:after="0"/>
      </w:pPr>
      <w:r>
        <w:t xml:space="preserve"/>
      </w:r>
    </w:p>
    <w:p>
      <w:pPr>
        <w:pStyle w:val="Heading1"/>
        <w:spacing w:before="360" w:after="160"/>
      </w:pPr>
      <w:r>
        <w:rPr>
          <w:rFonts w:ascii="Arial" w:cs="Arial" w:eastAsia="Arial" w:hAnsi="Arial"/>
          <w:b/>
          <w:bCs/>
          <w:color w:val="1F4E79"/>
          <w:sz w:val="32"/>
          <w:szCs w:val="32"/>
        </w:rPr>
        <w:t xml:space="preserve">2. The Two Datasets</w:t>
      </w:r>
    </w:p>
    <w:p>
      <w:pPr>
        <w:pStyle w:val="Heading2"/>
        <w:spacing w:before="280" w:after="120"/>
      </w:pPr>
      <w:r>
        <w:rPr>
          <w:rFonts w:ascii="Arial" w:cs="Arial" w:eastAsia="Arial" w:hAnsi="Arial"/>
          <w:b/>
          <w:bCs/>
          <w:color w:val="2E75B6"/>
          <w:sz w:val="26"/>
          <w:szCs w:val="26"/>
        </w:rPr>
        <w:t xml:space="preserve">2A. Dataset One: Insurance Friction Events</w:t>
      </w:r>
    </w:p>
    <w:p>
      <w:pPr>
        <w:spacing w:before="60" w:after="100"/>
      </w:pPr>
      <w:r>
        <w:rPr>
          <w:rFonts w:ascii="Arial" w:cs="Arial" w:eastAsia="Arial" w:hAnsi="Arial"/>
          <w:color w:val="404040"/>
          <w:sz w:val="22"/>
          <w:szCs w:val="22"/>
        </w:rPr>
        <w:t xml:space="preserve">Friction data captures where patients encounter problems with the insurance system, regardless of whether they appeal. It is the broader, higher-volume dataset and is collected passively the moment a user interacts with any tool.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Source Tool</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Signal Captured</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Field(s) Stored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Denial Decoder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User entered a denial code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denial_code, insurer, service_category, state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Insurance Denial Fighter</w:t>
            </w:r>
          </w:p>
        </w:tc>
        <w:tc>
          <w:tcPr>
            <w:tcW w:type="dxa" w:w="34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User initiated an appeal</w:t>
            </w:r>
          </w:p>
        </w:tc>
        <w:tc>
          <w:tcPr>
            <w:tcW w:type="dxa" w:w="34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denial_code, procedure_type, insurer, state, claim_amount_range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Medical Bill Dispute Tool</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User disputed a bill</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billing_error_type, provider_category, charge_amount_range, insurance_status, state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Local Resource Connector</w:t>
            </w:r>
          </w:p>
        </w:tc>
        <w:tc>
          <w:tcPr>
            <w:tcW w:type="dxa" w:w="34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User sought escalation</w:t>
            </w:r>
          </w:p>
        </w:tc>
        <w:tc>
          <w:tcPr>
            <w:tcW w:type="dxa" w:w="34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issue_category, state, escalation_type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Prior Auth Tool (Phase 2+)</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Prior auth friction event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procedure_type, insurer, state, auth_status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8"/>
              <w:bottom w:val="single" w:color="CCCCCC" w:sz="1"/>
              <w:right w:val="single" w:color="CCCCCC" w:sz="1"/>
            </w:tcBorders>
            <w:shd w:fill="D5F5E3" w:val="clear"/>
            <w:tcMar>
              <w:top w:type="dxa" w:w="120"/>
              <w:left w:type="dxa" w:w="180"/>
              <w:bottom w:type="dxa" w:w="120"/>
              <w:right w:type="dxa" w:w="180"/>
            </w:tcMar>
          </w:tcPr>
          <w:p>
            <w:pPr>
              <w:spacing w:before="0" w:after="0"/>
            </w:pPr>
            <w:r>
              <w:rPr>
                <w:rFonts w:ascii="Arial" w:cs="Arial" w:eastAsia="Arial" w:hAnsi="Arial"/>
                <w:b/>
                <w:bCs/>
                <w:color w:val="1F4E79"/>
                <w:sz w:val="20"/>
                <w:szCs w:val="20"/>
              </w:rPr>
              <w:t xml:space="preserve">PRIVACY:  </w:t>
            </w:r>
            <w:r>
              <w:rPr>
                <w:rFonts w:ascii="Arial" w:cs="Arial" w:eastAsia="Arial" w:hAnsi="Arial"/>
                <w:color w:val="404040"/>
                <w:sz w:val="20"/>
                <w:szCs w:val="20"/>
              </w:rPr>
              <w:t xml:space="preserve">Privacy rule: No PII is stored in any friction event record. Fields are bounded, categorical, and anonymized at collection. This is structurally enforced by the four-layer privacy architecture already in place.</w:t>
            </w:r>
          </w:p>
        </w:tc>
      </w:tr>
    </w:tbl>
    <w:p>
      <w:pPr>
        <w:spacing w:before="200" w:after="0"/>
      </w:pPr>
      <w:r>
        <w:t xml:space="preserve"/>
      </w:r>
    </w:p>
    <w:p>
      <w:pPr>
        <w:pStyle w:val="Heading2"/>
        <w:spacing w:before="280" w:after="120"/>
      </w:pPr>
      <w:r>
        <w:rPr>
          <w:rFonts w:ascii="Arial" w:cs="Arial" w:eastAsia="Arial" w:hAnsi="Arial"/>
          <w:b/>
          <w:bCs/>
          <w:color w:val="2E75B6"/>
          <w:sz w:val="26"/>
          <w:szCs w:val="26"/>
        </w:rPr>
        <w:t xml:space="preserve">2B. Dataset Two: Appeal Outcome Events</w:t>
      </w:r>
    </w:p>
    <w:p>
      <w:pPr>
        <w:spacing w:before="60" w:after="100"/>
      </w:pPr>
      <w:r>
        <w:rPr>
          <w:rFonts w:ascii="Arial" w:cs="Arial" w:eastAsia="Arial" w:hAnsi="Arial"/>
          <w:color w:val="404040"/>
          <w:sz w:val="22"/>
          <w:szCs w:val="22"/>
        </w:rPr>
        <w:t xml:space="preserve">Outcome data captures whether a denial appeal succeeded, partially succeeded, or failed. It is richer and more valuable per record but lower volume, since it requires a follow-up action from the user. It is already formally scoped in the canonical system as a Phase 2 Month 4 unlock.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case_id</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Internal identifier only — never exposed in analytics</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denial_code</w:t>
            </w:r>
          </w:p>
        </w:tc>
        <w:tc>
          <w:tcPr>
            <w:tcW w:type="dxa" w:w="6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From intake form — categorical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insurer</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Insurer name from intake</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procedure_type</w:t>
            </w:r>
          </w:p>
        </w:tc>
        <w:tc>
          <w:tcPr>
            <w:tcW w:type="dxa" w:w="6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Service category, not specific diagnosis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state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State abbreviation</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claim_amount_range</w:t>
            </w:r>
          </w:p>
        </w:tc>
        <w:tc>
          <w:tcPr>
            <w:tcW w:type="dxa" w:w="6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Optional range bucket: $0–500 / $500–2k / $2k–10k / $10k+</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appeal_outcome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approved / partially_approved / denied / pending / settled</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days_to_resolution</w:t>
            </w:r>
          </w:p>
        </w:tc>
        <w:tc>
          <w:tcPr>
            <w:tcW w:type="dxa" w:w="6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Optional, self-reported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follow_up_required</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Boolean — did user need to escalate further</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tool_used</w:t>
            </w:r>
          </w:p>
        </w:tc>
        <w:tc>
          <w:tcPr>
            <w:tcW w:type="dxa" w:w="6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Which MyAdvocate tool generated the letter</w:t>
            </w:r>
          </w:p>
        </w:tc>
      </w:tr>
    </w:tbl>
    <w:p>
      <w:pPr>
        <w:spacing w:before="200" w:after="0"/>
      </w:pPr>
      <w:r>
        <w:t xml:space="preserve"/>
      </w:r>
    </w:p>
    <w:p>
      <w:pPr>
        <w:pStyle w:val="Heading2"/>
        <w:spacing w:before="280" w:after="120"/>
      </w:pPr>
      <w:r>
        <w:rPr>
          <w:rFonts w:ascii="Arial" w:cs="Arial" w:eastAsia="Arial" w:hAnsi="Arial"/>
          <w:b/>
          <w:bCs/>
          <w:color w:val="2E75B6"/>
          <w:sz w:val="26"/>
          <w:szCs w:val="26"/>
        </w:rPr>
        <w:t xml:space="preserve">2C. The Unified Schema</w:t>
      </w:r>
    </w:p>
    <w:p>
      <w:pPr>
        <w:spacing w:before="60" w:after="100"/>
      </w:pPr>
      <w:r>
        <w:rPr>
          <w:rFonts w:ascii="Arial" w:cs="Arial" w:eastAsia="Arial" w:hAnsi="Arial"/>
          <w:color w:val="404040"/>
          <w:sz w:val="22"/>
          <w:szCs w:val="22"/>
        </w:rPr>
        <w:t xml:space="preserve">Architecturally, both datasets are one table with different completion states. A friction event is captured at tool usage. An outcome event is the same record with appeal_outcome filled in via follow-up. This means one friction_events table with nullable outcome fields, not two separate systems.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8"/>
              <w:bottom w:val="single" w:color="CCCCCC" w:sz="1"/>
              <w:right w:val="single" w:color="CCCCCC" w:sz="1"/>
            </w:tcBorders>
            <w:shd w:fill="F5CBA7" w:val="clear"/>
            <w:tcMar>
              <w:top w:type="dxa" w:w="120"/>
              <w:left w:type="dxa" w:w="180"/>
              <w:bottom w:type="dxa" w:w="120"/>
              <w:right w:type="dxa" w:w="180"/>
            </w:tcMar>
          </w:tcPr>
          <w:p>
            <w:pPr>
              <w:spacing w:before="0" w:after="0"/>
            </w:pPr>
            <w:r>
              <w:rPr>
                <w:rFonts w:ascii="Arial" w:cs="Arial" w:eastAsia="Arial" w:hAnsi="Arial"/>
                <w:b/>
                <w:bCs/>
                <w:color w:val="1F4E79"/>
                <w:sz w:val="20"/>
                <w:szCs w:val="20"/>
              </w:rPr>
              <w:t xml:space="preserve">SCHEMA DECISION:  </w:t>
            </w:r>
            <w:r>
              <w:rPr>
                <w:rFonts w:ascii="Arial" w:cs="Arial" w:eastAsia="Arial" w:hAnsi="Arial"/>
                <w:color w:val="404040"/>
                <w:sz w:val="20"/>
                <w:szCs w:val="20"/>
              </w:rPr>
              <w:t xml:space="preserve">Recommended table name: friction_events. Build it in Phase 1 with all fields present but outcome columns nullable. Phase 2 activates the follow-up flow that populates them. This avoids a schema migration later.</w:t>
            </w:r>
          </w:p>
        </w:tc>
      </w:tr>
    </w:tbl>
    <w:p>
      <w:pPr>
        <w:spacing w:before="200" w:after="0"/>
      </w:pPr>
      <w:r>
        <w:t xml:space="preserve"/>
      </w:r>
    </w:p>
    <w:p>
      <w:pPr>
        <w:pStyle w:val="Heading2"/>
        <w:spacing w:before="280" w:after="120"/>
      </w:pPr>
      <w:r>
        <w:rPr>
          <w:rFonts w:ascii="Arial" w:cs="Arial" w:eastAsia="Arial" w:hAnsi="Arial"/>
          <w:b/>
          <w:bCs/>
          <w:color w:val="2E75B6"/>
          <w:sz w:val="26"/>
          <w:szCs w:val="26"/>
        </w:rPr>
        <w:t xml:space="preserve">2D. The claim_amount_range Field</w:t>
      </w:r>
    </w:p>
    <w:p>
      <w:pPr>
        <w:spacing w:before="60" w:after="100"/>
      </w:pPr>
      <w:r>
        <w:rPr>
          <w:rFonts w:ascii="Arial" w:cs="Arial" w:eastAsia="Arial" w:hAnsi="Arial"/>
          <w:color w:val="404040"/>
          <w:sz w:val="22"/>
          <w:szCs w:val="22"/>
        </w:rPr>
        <w:t xml:space="preserve">This single optional field is the highest-leverage addition in the entire dataset. It converts pattern data into a dollar figure that can be cited in press outreach. Example: users of MyAdvocate reported $42M in disputed claims in 2026. Journalists and advocacy organizations respond strongly to financial impact figures.</w:t>
      </w:r>
    </w:p>
    <w:p>
      <w:pPr>
        <w:spacing w:before="80" w:after="0"/>
      </w:pPr>
      <w:r>
        <w:t xml:space="preserve"/>
      </w:r>
    </w:p>
    <w:p>
      <w:pPr>
        <w:spacing w:before="60" w:after="100"/>
      </w:pPr>
      <w:r>
        <w:rPr>
          <w:rFonts w:ascii="Arial" w:cs="Arial" w:eastAsia="Arial" w:hAnsi="Arial"/>
          <w:color w:val="404040"/>
          <w:sz w:val="22"/>
          <w:szCs w:val="22"/>
        </w:rPr>
        <w:t xml:space="preserve">Implementation: Present a simple range selector after tool completion. It is optional, framed as helping future patients, and captures a bucket not a precise amount. It is not PII. Nurse co-founder review of the framing language is required before deploying the prompt, per YMYL protocol.</w:t>
      </w:r>
    </w:p>
    <w:p>
      <w:r>
        <w:br w:type="page"/>
      </w:r>
    </w:p>
    <w:p>
      <w:pPr>
        <w:pStyle w:val="Heading1"/>
        <w:spacing w:before="360" w:after="160"/>
      </w:pPr>
      <w:r>
        <w:rPr>
          <w:rFonts w:ascii="Arial" w:cs="Arial" w:eastAsia="Arial" w:hAnsi="Arial"/>
          <w:b/>
          <w:bCs/>
          <w:color w:val="1F4E79"/>
          <w:sz w:val="32"/>
          <w:szCs w:val="32"/>
        </w:rPr>
        <w:t xml:space="preserve">3. Privacy Architecture Compliance</w:t>
      </w:r>
    </w:p>
    <w:p>
      <w:pPr>
        <w:spacing w:before="60" w:after="100"/>
      </w:pPr>
      <w:r>
        <w:rPr>
          <w:rFonts w:ascii="Arial" w:cs="Arial" w:eastAsia="Arial" w:hAnsi="Arial"/>
          <w:color w:val="404040"/>
          <w:sz w:val="22"/>
          <w:szCs w:val="22"/>
        </w:rPr>
        <w:t xml:space="preserve">The Proprietary Data Engine must operate entirely within the existing four-layer privacy architecture. No new privacy risk is introduced when the schema is correctly designed. The following table maps each layer to its role in the data collection system.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 in Data Engine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Structured Input Forms</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Intake fields are bounded and categorical — no free text enters the analytics record</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PII Scrubber</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Any free text paths are scrubbed before storage; analytics records never contain scrubbed fields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Context Firewall</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Analytics write path is isolated from AI inference path; no case data flows into the analytics store via AI calls</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Stateless API Calls</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Letter generation is ephemeral; no PII from the generation event persists into the friction record</w:t>
            </w:r>
          </w:p>
        </w:tc>
      </w:tr>
    </w:tbl>
    <w:p>
      <w:pPr>
        <w:spacing w:before="160" w:after="0"/>
      </w:pPr>
      <w:r>
        <w:t xml:space="preserve"/>
      </w:r>
    </w:p>
    <w:p>
      <w:pPr>
        <w:spacing w:before="200" w:after="80"/>
      </w:pPr>
      <w:r>
        <w:rPr>
          <w:rFonts w:ascii="Arial" w:cs="Arial" w:eastAsia="Arial" w:hAnsi="Arial"/>
          <w:b/>
          <w:bCs/>
          <w:color w:val="404040"/>
          <w:sz w:val="22"/>
          <w:szCs w:val="22"/>
        </w:rPr>
        <w:t xml:space="preserve">What is explicitly excluded from all analytics records:</w:t>
      </w:r>
    </w:p>
    <w:p>
      <w:pPr>
        <w:pStyle w:val="ListParagraph"/>
        <w:numPr>
          <w:ilvl w:val="0"/>
          <w:numId w:val="2"/>
        </w:numPr>
        <w:spacing w:before="40" w:after="60"/>
      </w:pPr>
      <w:r>
        <w:rPr>
          <w:rFonts w:ascii="Arial" w:cs="Arial" w:eastAsia="Arial" w:hAnsi="Arial"/>
          <w:color w:val="404040"/>
          <w:sz w:val="22"/>
          <w:szCs w:val="22"/>
        </w:rPr>
        <w:t xml:space="preserve">Patient name, date of birth, address, phone, email</w:t>
      </w:r>
    </w:p>
    <w:p>
      <w:pPr>
        <w:pStyle w:val="ListParagraph"/>
        <w:numPr>
          <w:ilvl w:val="0"/>
          <w:numId w:val="2"/>
        </w:numPr>
        <w:spacing w:before="40" w:after="60"/>
      </w:pPr>
      <w:r>
        <w:rPr>
          <w:rFonts w:ascii="Arial" w:cs="Arial" w:eastAsia="Arial" w:hAnsi="Arial"/>
          <w:color w:val="404040"/>
          <w:sz w:val="22"/>
          <w:szCs w:val="22"/>
        </w:rPr>
        <w:t xml:space="preserve">Insurance member ID, group number, policy number</w:t>
      </w:r>
    </w:p>
    <w:p>
      <w:pPr>
        <w:pStyle w:val="ListParagraph"/>
        <w:numPr>
          <w:ilvl w:val="0"/>
          <w:numId w:val="2"/>
        </w:numPr>
        <w:spacing w:before="40" w:after="60"/>
      </w:pPr>
      <w:r>
        <w:rPr>
          <w:rFonts w:ascii="Arial" w:cs="Arial" w:eastAsia="Arial" w:hAnsi="Arial"/>
          <w:color w:val="404040"/>
          <w:sz w:val="22"/>
          <w:szCs w:val="22"/>
        </w:rPr>
        <w:t xml:space="preserve">Specific diagnosis codes (ICD-10) or treating provider names</w:t>
      </w:r>
    </w:p>
    <w:p>
      <w:pPr>
        <w:pStyle w:val="ListParagraph"/>
        <w:numPr>
          <w:ilvl w:val="0"/>
          <w:numId w:val="2"/>
        </w:numPr>
        <w:spacing w:before="40" w:after="60"/>
      </w:pPr>
      <w:r>
        <w:rPr>
          <w:rFonts w:ascii="Arial" w:cs="Arial" w:eastAsia="Arial" w:hAnsi="Arial"/>
          <w:color w:val="404040"/>
          <w:sz w:val="22"/>
          <w:szCs w:val="22"/>
        </w:rPr>
        <w:t xml:space="preserve">Facility names with identifiable specificity</w:t>
      </w:r>
    </w:p>
    <w:p>
      <w:pPr>
        <w:pStyle w:val="ListParagraph"/>
        <w:numPr>
          <w:ilvl w:val="0"/>
          <w:numId w:val="2"/>
        </w:numPr>
        <w:spacing w:before="40" w:after="60"/>
      </w:pPr>
      <w:r>
        <w:rPr>
          <w:rFonts w:ascii="Arial" w:cs="Arial" w:eastAsia="Arial" w:hAnsi="Arial"/>
          <w:color w:val="404040"/>
          <w:sz w:val="22"/>
          <w:szCs w:val="22"/>
        </w:rPr>
        <w:t xml:space="preserve">Any field that could re-identify an individual when combined with other stored fields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8"/>
              <w:bottom w:val="single" w:color="CCCCCC" w:sz="1"/>
              <w:right w:val="single" w:color="CCCCCC" w:sz="1"/>
            </w:tcBorders>
            <w:shd w:fill="FADBD8" w:val="clear"/>
            <w:tcMar>
              <w:top w:type="dxa" w:w="120"/>
              <w:left w:type="dxa" w:w="180"/>
              <w:bottom w:type="dxa" w:w="120"/>
              <w:right w:type="dxa" w:w="180"/>
            </w:tcMar>
          </w:tcPr>
          <w:p>
            <w:pPr>
              <w:spacing w:before="0" w:after="0"/>
            </w:pPr>
            <w:r>
              <w:rPr>
                <w:rFonts w:ascii="Arial" w:cs="Arial" w:eastAsia="Arial" w:hAnsi="Arial"/>
                <w:b/>
                <w:bCs/>
                <w:color w:val="1F4E79"/>
                <w:sz w:val="20"/>
                <w:szCs w:val="20"/>
              </w:rPr>
              <w:t xml:space="preserve">LEGAL GATE:  </w:t>
            </w:r>
            <w:r>
              <w:rPr>
                <w:rFonts w:ascii="Arial" w:cs="Arial" w:eastAsia="Arial" w:hAnsi="Arial"/>
                <w:color w:val="404040"/>
                <w:sz w:val="20"/>
                <w:szCs w:val="20"/>
              </w:rPr>
              <w:t xml:space="preserve">HIPAA note: MyAdvocate is not a covered entity. However, the pre-launch legal review (required per MA-LCH-004) must explicitly assess whether the friction_events table with insurer + procedure_type + state combination creates any HIPAA-adjacent risk at scale. This assessment must be completed before any data publication activity begins.</w:t>
            </w:r>
          </w:p>
        </w:tc>
      </w:tr>
    </w:tbl>
    <w:p>
      <w:pPr>
        <w:spacing w:before="200" w:after="0"/>
      </w:pPr>
      <w:r>
        <w:t xml:space="preserve"/>
      </w:r>
    </w:p>
    <w:p>
      <w:pPr>
        <w:pStyle w:val="Heading1"/>
        <w:spacing w:before="360" w:after="160"/>
      </w:pPr>
      <w:r>
        <w:rPr>
          <w:rFonts w:ascii="Arial" w:cs="Arial" w:eastAsia="Arial" w:hAnsi="Arial"/>
          <w:b/>
          <w:bCs/>
          <w:color w:val="1F4E79"/>
          <w:sz w:val="32"/>
          <w:szCs w:val="32"/>
        </w:rPr>
        <w:t xml:space="preserve">4. Data Publication Strategy</w:t>
      </w:r>
    </w:p>
    <w:p>
      <w:pPr>
        <w:spacing w:before="60" w:after="100"/>
      </w:pPr>
      <w:r>
        <w:rPr>
          <w:rFonts w:ascii="Arial" w:cs="Arial" w:eastAsia="Arial" w:hAnsi="Arial"/>
          <w:color w:val="404040"/>
          <w:sz w:val="22"/>
          <w:szCs w:val="22"/>
        </w:rPr>
        <w:t xml:space="preserve">Data collection begins in Phase 1. Data publication is a Phase 3+ activity, gated on having a statistically meaningful sample. Publishing prematurely with small sample sizes undermines credibility and creates legal exposure. The following thresholds are recommended minimums before publication of any data-driven content.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Content Type</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Minimum Sample</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Publication Phase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Denial code frequency rankings</w:t>
            </w:r>
          </w:p>
        </w:tc>
        <w:tc>
          <w:tcPr>
            <w:tcW w:type="dxa" w:w="2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1,000 friction events</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Phase 3 (Month 8+)</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Insurer denial rate comparisons</w:t>
            </w:r>
          </w:p>
        </w:tc>
        <w:tc>
          <w:tcPr>
            <w:tcW w:type="dxa" w:w="20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2,500 friction events</w:t>
            </w:r>
          </w:p>
        </w:tc>
        <w:tc>
          <w:tcPr>
            <w:tcW w:type="dxa" w:w="40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Phase 3 (Month 10+)</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Appeal outcome success rates by code</w:t>
            </w:r>
          </w:p>
        </w:tc>
        <w:tc>
          <w:tcPr>
            <w:tcW w:type="dxa" w:w="2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500 outcome events</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Phase 3 (Month 10+)</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Annual data report (full)</w:t>
            </w:r>
          </w:p>
        </w:tc>
        <w:tc>
          <w:tcPr>
            <w:tcW w:type="dxa" w:w="20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5,000+ combined events</w:t>
            </w:r>
          </w:p>
        </w:tc>
        <w:tc>
          <w:tcPr>
            <w:tcW w:type="dxa" w:w="40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Phase 4 (Month 14+)</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Financial impact figure ($X disputed)</w:t>
            </w:r>
          </w:p>
        </w:tc>
        <w:tc>
          <w:tcPr>
            <w:tcW w:type="dxa" w:w="2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Any sample size</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Phase 2 (Month 4+, with legal review)</w:t>
            </w:r>
          </w:p>
        </w:tc>
      </w:tr>
    </w:tbl>
    <w:p>
      <w:pPr>
        <w:spacing w:before="160" w:after="0"/>
      </w:pPr>
      <w:r>
        <w:t xml:space="preserve"/>
      </w:r>
    </w:p>
    <w:p>
      <w:pPr>
        <w:spacing w:before="200" w:after="80"/>
      </w:pPr>
      <w:r>
        <w:rPr>
          <w:rFonts w:ascii="Arial" w:cs="Arial" w:eastAsia="Arial" w:hAnsi="Arial"/>
          <w:b/>
          <w:bCs/>
          <w:color w:val="404040"/>
          <w:sz w:val="22"/>
          <w:szCs w:val="22"/>
        </w:rPr>
        <w:t xml:space="preserve">Publication format sequence:</w:t>
      </w:r>
    </w:p>
    <w:p>
      <w:pPr>
        <w:pStyle w:val="ListParagraph"/>
        <w:numPr>
          <w:ilvl w:val="0"/>
          <w:numId w:val="2"/>
        </w:numPr>
        <w:spacing w:before="40" w:after="60"/>
      </w:pPr>
      <w:r>
        <w:rPr>
          <w:rFonts w:ascii="Arial" w:cs="Arial" w:eastAsia="Arial" w:hAnsi="Arial"/>
          <w:color w:val="404040"/>
          <w:sz w:val="22"/>
          <w:szCs w:val="22"/>
        </w:rPr>
        <w:t xml:space="preserve">Inline product feature first: show users their denial code's appeal success rate inside the tool (builds trust, zero publication risk)</w:t>
      </w:r>
    </w:p>
    <w:p>
      <w:pPr>
        <w:pStyle w:val="ListParagraph"/>
        <w:numPr>
          <w:ilvl w:val="0"/>
          <w:numId w:val="2"/>
        </w:numPr>
        <w:spacing w:before="40" w:after="60"/>
      </w:pPr>
      <w:r>
        <w:rPr>
          <w:rFonts w:ascii="Arial" w:cs="Arial" w:eastAsia="Arial" w:hAnsi="Arial"/>
          <w:color w:val="404040"/>
          <w:sz w:val="22"/>
          <w:szCs w:val="22"/>
        </w:rPr>
        <w:t xml:space="preserve">Blog posts and SEO articles citing aggregate data (Phase 3, attorney-reviewed framing)</w:t>
      </w:r>
    </w:p>
    <w:p>
      <w:pPr>
        <w:pStyle w:val="ListParagraph"/>
        <w:numPr>
          <w:ilvl w:val="0"/>
          <w:numId w:val="2"/>
        </w:numPr>
        <w:spacing w:before="40" w:after="60"/>
      </w:pPr>
      <w:r>
        <w:rPr>
          <w:rFonts w:ascii="Arial" w:cs="Arial" w:eastAsia="Arial" w:hAnsi="Arial"/>
          <w:color w:val="404040"/>
          <w:sz w:val="22"/>
          <w:szCs w:val="22"/>
        </w:rPr>
        <w:t xml:space="preserve">Annual MyAdvocate Insurance Denial Report (Phase 4, full PR distribution)</w:t>
      </w:r>
    </w:p>
    <w:p>
      <w:pPr>
        <w:pStyle w:val="ListParagraph"/>
        <w:numPr>
          <w:ilvl w:val="0"/>
          <w:numId w:val="2"/>
        </w:numPr>
        <w:spacing w:before="40" w:after="60"/>
      </w:pPr>
      <w:r>
        <w:rPr>
          <w:rFonts w:ascii="Arial" w:cs="Arial" w:eastAsia="Arial" w:hAnsi="Arial"/>
          <w:color w:val="404040"/>
          <w:sz w:val="22"/>
          <w:szCs w:val="22"/>
        </w:rPr>
        <w:t xml:space="preserve">Media outreach and journalist data partnerships (Phase 4+)</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8"/>
              <w:bottom w:val="single" w:color="CCCCCC" w:sz="1"/>
              <w:right w:val="single" w:color="CCCCCC" w:sz="1"/>
            </w:tcBorders>
            <w:shd w:fill="F5CBA7" w:val="clear"/>
            <w:tcMar>
              <w:top w:type="dxa" w:w="120"/>
              <w:left w:type="dxa" w:w="180"/>
              <w:bottom w:type="dxa" w:w="120"/>
              <w:right w:type="dxa" w:w="180"/>
            </w:tcMar>
          </w:tcPr>
          <w:p>
            <w:pPr>
              <w:spacing w:before="0" w:after="0"/>
            </w:pPr>
            <w:r>
              <w:rPr>
                <w:rFonts w:ascii="Arial" w:cs="Arial" w:eastAsia="Arial" w:hAnsi="Arial"/>
                <w:b/>
                <w:bCs/>
                <w:color w:val="1F4E79"/>
                <w:sz w:val="20"/>
                <w:szCs w:val="20"/>
              </w:rPr>
              <w:t xml:space="preserve">LEGAL REVIEW:  </w:t>
            </w:r>
            <w:r>
              <w:rPr>
                <w:rFonts w:ascii="Arial" w:cs="Arial" w:eastAsia="Arial" w:hAnsi="Arial"/>
                <w:color w:val="404040"/>
                <w:sz w:val="20"/>
                <w:szCs w:val="20"/>
              </w:rPr>
              <w:t xml:space="preserve">Legal review requirement: Any content that names specific insurers alongside denial frequency or outcome rates must be reviewed by legal counsel before publication. The data is accurate and lawful to publish but the framing must be defensible. This is not a reason to avoid publication — it is a reason to plan for it.</w:t>
            </w:r>
          </w:p>
        </w:tc>
      </w:tr>
    </w:tbl>
    <w:p>
      <w:pPr>
        <w:spacing w:before="200" w:after="0"/>
      </w:pPr>
      <w:r>
        <w:t xml:space="preserve"/>
      </w:r>
    </w:p>
    <w:p>
      <w:pPr>
        <w:pStyle w:val="Heading1"/>
        <w:spacing w:before="360" w:after="160"/>
      </w:pPr>
      <w:r>
        <w:rPr>
          <w:rFonts w:ascii="Arial" w:cs="Arial" w:eastAsia="Arial" w:hAnsi="Arial"/>
          <w:b/>
          <w:bCs/>
          <w:color w:val="1F4E79"/>
          <w:sz w:val="32"/>
          <w:szCs w:val="32"/>
        </w:rPr>
        <w:t xml:space="preserve">5. The Compounding Flywheel</w:t>
      </w:r>
    </w:p>
    <w:p>
      <w:pPr>
        <w:spacing w:before="60" w:after="100"/>
      </w:pPr>
      <w:r>
        <w:rPr>
          <w:rFonts w:ascii="Arial" w:cs="Arial" w:eastAsia="Arial" w:hAnsi="Arial"/>
          <w:color w:val="404040"/>
          <w:sz w:val="22"/>
          <w:szCs w:val="22"/>
        </w:rPr>
        <w:t xml:space="preserve">The Proprietary Data Engine creates a compounding loop where each phase reinforces the next. This is the same authority pattern used by NerdWallet, Glassdoor, and Zillow — proprietary data derived from user activity that no competitor can replicate without equivalent user volume.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6600"/>
      </w:tblGrid>
      <w:tr>
        <w:trPr>
          <w:tblHeader/>
        </w:trPr>
        <w:tc>
          <w:tcPr>
            <w:tcW w:type="dxa" w:w="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6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SEO + Tools</w:t>
            </w:r>
          </w:p>
        </w:tc>
        <w:tc>
          <w:tcPr>
            <w:tcW w:type="dxa" w:w="6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Organic traffic arrives via denial-code pages and appeal content</w:t>
            </w:r>
          </w:p>
        </w:tc>
      </w:tr>
      <w:tr>
        <w:tc>
          <w:tcPr>
            <w:tcW w:type="dxa" w:w="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Friction Capture</w:t>
            </w:r>
          </w:p>
        </w:tc>
        <w:tc>
          <w:tcPr>
            <w:tcW w:type="dxa" w:w="6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Every tool usage generates an anonymized friction event record</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Outcome Capture</w:t>
            </w:r>
          </w:p>
        </w:tc>
        <w:tc>
          <w:tcPr>
            <w:tcW w:type="dxa" w:w="6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30-day follow-up email collects appeal outcomes (Phase 2+)</w:t>
            </w:r>
          </w:p>
        </w:tc>
      </w:tr>
      <w:tr>
        <w:tc>
          <w:tcPr>
            <w:tcW w:type="dxa" w:w="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Dataset Growth</w:t>
            </w:r>
          </w:p>
        </w:tc>
        <w:tc>
          <w:tcPr>
            <w:tcW w:type="dxa" w:w="6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friction_events table grows with every user interaction</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Product Intelligence</w:t>
            </w:r>
          </w:p>
        </w:tc>
        <w:tc>
          <w:tcPr>
            <w:tcW w:type="dxa" w:w="6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Tool shows users real success rates for their denial code</w:t>
            </w:r>
          </w:p>
        </w:tc>
      </w:tr>
      <w:tr>
        <w:tc>
          <w:tcPr>
            <w:tcW w:type="dxa" w:w="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Research Content</w:t>
            </w:r>
          </w:p>
        </w:tc>
        <w:tc>
          <w:tcPr>
            <w:tcW w:type="dxa" w:w="6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Data-driven articles published with aggregate insights (Phase 3+)</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Backlinks + Authority</w:t>
            </w:r>
          </w:p>
        </w:tc>
        <w:tc>
          <w:tcPr>
            <w:tcW w:type="dxa" w:w="6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Journalists, advocacy groups, and researchers cite MyAdvocate data</w:t>
            </w:r>
          </w:p>
        </w:tc>
      </w:tr>
      <w:tr>
        <w:tc>
          <w:tcPr>
            <w:tcW w:type="dxa" w:w="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SEO Authority</w:t>
            </w:r>
          </w:p>
        </w:tc>
        <w:tc>
          <w:tcPr>
            <w:tcW w:type="dxa" w:w="6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Domain authority increases, driving more organic traffic (back to Step 1)</w:t>
            </w:r>
          </w:p>
        </w:tc>
      </w:tr>
    </w:tbl>
    <w:p>
      <w:r>
        <w:br w:type="page"/>
      </w:r>
    </w:p>
    <w:p>
      <w:pPr>
        <w:pStyle w:val="Heading1"/>
        <w:spacing w:before="360" w:after="160"/>
      </w:pPr>
      <w:r>
        <w:rPr>
          <w:rFonts w:ascii="Arial" w:cs="Arial" w:eastAsia="Arial" w:hAnsi="Arial"/>
          <w:b/>
          <w:bCs/>
          <w:color w:val="1F4E79"/>
          <w:sz w:val="32"/>
          <w:szCs w:val="32"/>
        </w:rPr>
        <w:t xml:space="preserve">6. Long-Term Moat Assessment</w:t>
      </w:r>
    </w:p>
    <w:p>
      <w:pPr>
        <w:spacing w:before="60" w:after="100"/>
      </w:pPr>
      <w:r>
        <w:rPr>
          <w:rFonts w:ascii="Arial" w:cs="Arial" w:eastAsia="Arial" w:hAnsi="Arial"/>
          <w:color w:val="404040"/>
          <w:sz w:val="22"/>
          <w:szCs w:val="22"/>
        </w:rPr>
        <w:t xml:space="preserve">The competitive moat created by the Proprietary Data Engine has three properties that make it durable:</w:t>
      </w:r>
    </w:p>
    <w:p>
      <w:pPr>
        <w:spacing w:before="80" w:after="0"/>
      </w:pPr>
      <w:r>
        <w:t xml:space="preserve"/>
      </w:r>
    </w:p>
    <w:p>
      <w:pPr>
        <w:spacing w:before="200" w:after="80"/>
      </w:pPr>
      <w:r>
        <w:rPr>
          <w:rFonts w:ascii="Arial" w:cs="Arial" w:eastAsia="Arial" w:hAnsi="Arial"/>
          <w:b/>
          <w:bCs/>
          <w:color w:val="404040"/>
          <w:sz w:val="22"/>
          <w:szCs w:val="22"/>
        </w:rPr>
        <w:t xml:space="preserve">Time advantage:</w:t>
      </w:r>
    </w:p>
    <w:p>
      <w:pPr>
        <w:spacing w:before="60" w:after="100"/>
      </w:pPr>
      <w:r>
        <w:rPr>
          <w:rFonts w:ascii="Arial" w:cs="Arial" w:eastAsia="Arial" w:hAnsi="Arial"/>
          <w:color w:val="404040"/>
          <w:sz w:val="22"/>
          <w:szCs w:val="22"/>
        </w:rPr>
        <w:t xml:space="preserve">Data collection must begin before the dataset is useful. A competitor launching two years from now starts with zero data. MyAdvocate's dataset grows from day one. By the time any competitor reaches parity in user volume, MyAdvocate will have years of historical data they cannot replicate.</w:t>
      </w:r>
    </w:p>
    <w:p>
      <w:pPr>
        <w:spacing w:before="200" w:after="80"/>
      </w:pPr>
      <w:r>
        <w:rPr>
          <w:rFonts w:ascii="Arial" w:cs="Arial" w:eastAsia="Arial" w:hAnsi="Arial"/>
          <w:b/>
          <w:bCs/>
          <w:color w:val="404040"/>
          <w:sz w:val="22"/>
          <w:szCs w:val="22"/>
        </w:rPr>
        <w:t xml:space="preserve">User trust advantage:</w:t>
      </w:r>
    </w:p>
    <w:p>
      <w:pPr>
        <w:spacing w:before="60" w:after="100"/>
      </w:pPr>
      <w:r>
        <w:rPr>
          <w:rFonts w:ascii="Arial" w:cs="Arial" w:eastAsia="Arial" w:hAnsi="Arial"/>
          <w:color w:val="404040"/>
          <w:sz w:val="22"/>
          <w:szCs w:val="22"/>
        </w:rPr>
        <w:t xml:space="preserve">Patients share their insurance outcomes with MyAdvocate because they trust the platform to use that data on their behalf. This is a consent-based, values-aligned relationship. Insurers or data brokers cannot build the same dataset without that trust relationship, and corporate actors building similar tools face inherent credibility deficits with this user base.</w:t>
      </w:r>
    </w:p>
    <w:p>
      <w:pPr>
        <w:spacing w:before="200" w:after="80"/>
      </w:pPr>
      <w:r>
        <w:rPr>
          <w:rFonts w:ascii="Arial" w:cs="Arial" w:eastAsia="Arial" w:hAnsi="Arial"/>
          <w:b/>
          <w:bCs/>
          <w:color w:val="404040"/>
          <w:sz w:val="22"/>
          <w:szCs w:val="22"/>
        </w:rPr>
        <w:t xml:space="preserve">Network effect:</w:t>
      </w:r>
    </w:p>
    <w:p>
      <w:pPr>
        <w:spacing w:before="60" w:after="100"/>
      </w:pPr>
      <w:r>
        <w:rPr>
          <w:rFonts w:ascii="Arial" w:cs="Arial" w:eastAsia="Arial" w:hAnsi="Arial"/>
          <w:color w:val="404040"/>
          <w:sz w:val="22"/>
          <w:szCs w:val="22"/>
        </w:rPr>
        <w:t xml:space="preserve">The more outcome data exists, the more useful the in-product intelligence becomes (showing users real success rates). The more useful the product, the more users complete the outcome follow-up. This is a weak but real network effect where dataset quality directly improves product value.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8"/>
              <w:bottom w:val="single" w:color="CCCCCC" w:sz="1"/>
              <w:right w:val="single" w:color="CCCCCC" w:sz="1"/>
            </w:tcBorders>
            <w:shd w:fill="D6E4F0" w:val="clear"/>
            <w:tcMar>
              <w:top w:type="dxa" w:w="120"/>
              <w:left w:type="dxa" w:w="180"/>
              <w:bottom w:type="dxa" w:w="120"/>
              <w:right w:type="dxa" w:w="180"/>
            </w:tcMar>
          </w:tcPr>
          <w:p>
            <w:pPr>
              <w:spacing w:before="0" w:after="0"/>
            </w:pPr>
            <w:r>
              <w:rPr>
                <w:rFonts w:ascii="Arial" w:cs="Arial" w:eastAsia="Arial" w:hAnsi="Arial"/>
                <w:b/>
                <w:bCs/>
                <w:color w:val="1F4E79"/>
                <w:sz w:val="20"/>
                <w:szCs w:val="20"/>
              </w:rPr>
              <w:t xml:space="preserve">MOAT SUMMARY:  </w:t>
            </w:r>
            <w:r>
              <w:rPr>
                <w:rFonts w:ascii="Arial" w:cs="Arial" w:eastAsia="Arial" w:hAnsi="Arial"/>
                <w:color w:val="404040"/>
                <w:sz w:val="20"/>
                <w:szCs w:val="20"/>
              </w:rPr>
              <w:t xml:space="preserve">The Proprietary Data Engine is extremely difficult for competitors to replicate because the moat is the user relationship and the time investment, not the technology. The technology is straightforward. The dataset takes years to build.</w:t>
            </w:r>
          </w:p>
        </w:tc>
      </w:tr>
    </w:tbl>
    <w:p>
      <w:pPr>
        <w:spacing w:before="200" w:after="0"/>
      </w:pPr>
      <w:r>
        <w:t xml:space="preserve"/>
      </w:r>
    </w:p>
    <w:p>
      <w:pPr>
        <w:pStyle w:val="Heading1"/>
        <w:spacing w:before="360" w:after="160"/>
      </w:pPr>
      <w:r>
        <w:rPr>
          <w:rFonts w:ascii="Arial" w:cs="Arial" w:eastAsia="Arial" w:hAnsi="Arial"/>
          <w:b/>
          <w:bCs/>
          <w:color w:val="1F4E79"/>
          <w:sz w:val="32"/>
          <w:szCs w:val="32"/>
        </w:rPr>
        <w:t xml:space="preserve">7. Amendments Required to Existing Canonical Documents</w:t>
      </w:r>
    </w:p>
    <w:p>
      <w:pPr>
        <w:spacing w:before="60" w:after="100"/>
      </w:pPr>
      <w:r>
        <w:rPr>
          <w:rFonts w:ascii="Arial" w:cs="Arial" w:eastAsia="Arial" w:hAnsi="Arial"/>
          <w:color w:val="404040"/>
          <w:sz w:val="22"/>
          <w:szCs w:val="22"/>
        </w:rPr>
        <w:t xml:space="preserve">The following existing documents require language additions to formally integrate the Proprietary Data Engine as a named strategic pillar. These are additive amendments — no existing content is removed or contradicted.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Document 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Amendment Required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MA-PMP-001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PMP v17</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Add Section: Proprietary Data Engine as fourth revenue-adjacent strategic pillar. Reference MA-SUP-DAT-001 as the governing supplemental. Note that friction_events table is a Phase 1 build requirement.</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MA-DAT-001</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Master Data Model</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Add friction_events to the MVP Object Map as Priority 8 (stub only at launch, outcome fields nullable). Define minimum fields, deferred fields, and privacy controls per object.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MA-LCH-004</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Launch Truth</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Move friction_events stub from implied to explicit. Add to Priority 11 or 12 as: ‘friction_events table exists with all fields, outcome columns nullable, no UI surface at launch.’ Outcome Tracking item #6 in Do Not Ship Yet remains unchanged — this amendment only adds the schema stub.</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MA-SEC-001 / MA-SEC-002</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Security Additions + Checklist</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Add friction_events to Object Controls table. Main risks: re-identification via field combination. Required control: minimum field set enforced at write time, no PII fields permitted in schema. Add to Security Checklist as Priority 21 (post-launch, gates Phase 3 publication).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MA-SEO-002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12 Month SEO Map</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Add Phase 3+ content category: Data Intelligence Pages. Reference thresholds from MA-SUP-DAT-001 Section 4. Note insurer-naming content requires attorney review before publication.</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MA-ARC-001</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Autonomous Ops Architecture</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Update Data Intelligence Layer section to reference MA-SUP-DAT-001 as the canonical governing document for this capability. Existing language in this doc is directionally correct but informal.</w:t>
            </w:r>
          </w:p>
        </w:tc>
      </w:tr>
    </w:tbl>
    <w:p>
      <w:r>
        <w:br w:type="page"/>
      </w:r>
    </w:p>
    <w:p>
      <w:pPr>
        <w:pStyle w:val="Heading1"/>
        <w:spacing w:before="360" w:after="160"/>
      </w:pPr>
      <w:r>
        <w:rPr>
          <w:rFonts w:ascii="Arial" w:cs="Arial" w:eastAsia="Arial" w:hAnsi="Arial"/>
          <w:b/>
          <w:bCs/>
          <w:color w:val="1F4E79"/>
          <w:sz w:val="32"/>
          <w:szCs w:val="32"/>
        </w:rPr>
        <w:t xml:space="preserve">8. Phase and Sprint Task Plan</w:t>
      </w:r>
    </w:p>
    <w:p>
      <w:pPr>
        <w:spacing w:before="60" w:after="100"/>
      </w:pPr>
      <w:r>
        <w:rPr>
          <w:rFonts w:ascii="Arial" w:cs="Arial" w:eastAsia="Arial" w:hAnsi="Arial"/>
          <w:color w:val="404040"/>
          <w:sz w:val="22"/>
          <w:szCs w:val="22"/>
        </w:rPr>
        <w:t xml:space="preserve">The following tasks are organized by phase and sprint for integration into Notion via Cowork. Each task includes the owning role, the dependency chain, and the success signal. Tasks marked BLOCK must be completed before dependent tasks can begin.</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Phase 1 — Foundation Sprint (Pre-Launch)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8"/>
              <w:bottom w:val="single" w:color="CCCCCC" w:sz="1"/>
              <w:right w:val="single" w:color="CCCCCC" w:sz="1"/>
            </w:tcBorders>
            <w:shd w:fill="D6E4F0" w:val="clear"/>
            <w:tcMar>
              <w:top w:type="dxa" w:w="120"/>
              <w:left w:type="dxa" w:w="180"/>
              <w:bottom w:type="dxa" w:w="120"/>
              <w:right w:type="dxa" w:w="180"/>
            </w:tcMar>
          </w:tcPr>
          <w:p>
            <w:pPr>
              <w:spacing w:before="0" w:after="0"/>
            </w:pPr>
            <w:r>
              <w:rPr>
                <w:rFonts w:ascii="Arial" w:cs="Arial" w:eastAsia="Arial" w:hAnsi="Arial"/>
                <w:color w:val="404040"/>
                <w:sz w:val="20"/>
                <w:szCs w:val="20"/>
              </w:rPr>
              <w:t xml:space="preserve">Objective: Stub the friction_events table into the data model and get the schema right before launch. No user-facing surface. No data published. Zero scope creep.</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3200"/>
        <w:gridCol w:w="1600"/>
        <w:gridCol w:w="1600"/>
        <w:gridCol w:w="2680"/>
      </w:tblGrid>
      <w:tr>
        <w:trPr>
          <w:tblHeader/>
        </w:trPr>
        <w:tc>
          <w:tcPr>
            <w:tcW w:type="dxa" w:w="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Success Signal</w:t>
            </w:r>
          </w:p>
        </w:tc>
      </w:tr>
      <w:tr>
        <w:tc>
          <w:tcPr>
            <w:tcW w:type="dxa" w:w="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Add friction_events table to Supabase schema with all fields from Section 2C. Outcome columns nullable. No UI.</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Founder / Claude Code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P0 — BLOCK</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Migration exists, validates against MA-DAT-001 spec, passes RLS policy check</w:t>
            </w:r>
          </w:p>
        </w:tc>
      </w:tr>
      <w:tr>
        <w:tc>
          <w:tcPr>
            <w:tcW w:type="dxa" w:w="2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Add friction event write to Denial Decoder: on code lookup, write anonymized record (denial_code, insurer if provided, state, tool_used). No opt-in required — anonymous aggregate data.</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Founder / Claude Code</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P0</w:t>
            </w:r>
          </w:p>
        </w:tc>
        <w:tc>
          <w:tcPr>
            <w:tcW w:type="dxa" w:w="2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Record appears in friction_events on each decoder usage; no PII fields present</w:t>
            </w:r>
          </w:p>
        </w:tc>
      </w:tr>
      <w:tr>
        <w:tc>
          <w:tcPr>
            <w:tcW w:type="dxa" w:w="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Add friction event write to Appeal Letter tool: on letter generation, write record (denial_code, procedure_type, insurer, state, claim_amount_range if provided).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Founder / Claude Code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P0</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Record written on each letter generation; claim_amount_range is null if user skips</w:t>
            </w:r>
          </w:p>
        </w:tc>
      </w:tr>
      <w:tr>
        <w:tc>
          <w:tcPr>
            <w:tcW w:type="dxa" w:w="2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Add friction event write to Medical Bill Dispute tool: on dispute letter generation, write record (billing_error_type, provider_category, charge_amount_range, state).</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Founder / Claude Code</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P0</w:t>
            </w:r>
          </w:p>
        </w:tc>
        <w:tc>
          <w:tcPr>
            <w:tcW w:type="dxa" w:w="2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Record written on each dispute tool usage</w:t>
            </w:r>
          </w:p>
        </w:tc>
      </w:tr>
      <w:tr>
        <w:tc>
          <w:tcPr>
            <w:tcW w:type="dxa" w:w="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Nurse co-founder review: review claim_amount_range prompt language for YMYL compliance before deploying the optional question to users.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Co-Founder (Nurse)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P1 — BLOCK for prompt</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Written sign-off on prompt language</w:t>
            </w:r>
          </w:p>
        </w:tc>
      </w:tr>
      <w:tr>
        <w:tc>
          <w:tcPr>
            <w:tcW w:type="dxa" w:w="2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6</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Add optional claim_amount_range range selector to appeal and dispute tools post-letter-generation. Framing: ‘Help future patients — how much is at stake?’ Optional, skippable.</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Founder / Claude Code</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P1</w:t>
            </w:r>
          </w:p>
        </w:tc>
        <w:tc>
          <w:tcPr>
            <w:tcW w:type="dxa" w:w="2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Selector appears post-generation; skip path works; null stored when skipped</w:t>
            </w:r>
          </w:p>
        </w:tc>
      </w:tr>
      <w:tr>
        <w:tc>
          <w:tcPr>
            <w:tcW w:type="dxa" w:w="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Amend MA-DAT-001 to add friction_events to MVP Object Map (stub entry, Phase 1 build, outcome fields deferred).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Founder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P1</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friction_events present in data model doc with correct fields and phase notes</w:t>
            </w:r>
          </w:p>
        </w:tc>
      </w:tr>
      <w:tr>
        <w:tc>
          <w:tcPr>
            <w:tcW w:type="dxa" w:w="2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8</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Amend MA-LCH-004 to explicitly name friction_events schema stub as a Phase 1 launch item.</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Founder</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P1</w:t>
            </w:r>
          </w:p>
        </w:tc>
        <w:tc>
          <w:tcPr>
            <w:tcW w:type="dxa" w:w="2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Launch Truth doc references friction_events stub in Priority list</w:t>
            </w:r>
          </w:p>
        </w:tc>
      </w:tr>
      <w:tr>
        <w:tc>
          <w:tcPr>
            <w:tcW w:type="dxa" w:w="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Add friction_events to Security Checklist Object Controls (MA-SEC-002). Define re-identification as primary risk; add minimum-field enforcement as required control.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Founder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P1</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Object Controls table includes friction_events row with controls defined</w:t>
            </w:r>
          </w:p>
        </w:tc>
      </w:tr>
      <w:tr>
        <w:tc>
          <w:tcPr>
            <w:tcW w:type="dxa" w:w="2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10</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Pre-launch legal review addendum: add friction_events field combination re-identification assessment to the existing HIPAA assessment scope (MA-PMP-001 Section 16G).</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Attorney (pre-launch review)</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P1 — BLOCK for Phase 3 pub</w:t>
            </w:r>
          </w:p>
        </w:tc>
        <w:tc>
          <w:tcPr>
            <w:tcW w:type="dxa" w:w="2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Attorney confirms field set does not create HIPAA-adjacent risk at scale</w:t>
            </w:r>
          </w:p>
        </w:tc>
      </w:tr>
    </w:tbl>
    <w:p>
      <w:pPr>
        <w:spacing w:before="200" w:after="0"/>
      </w:pPr>
      <w:r>
        <w:t xml:space="preserve"/>
      </w:r>
    </w:p>
    <w:p>
      <w:pPr>
        <w:pStyle w:val="Heading2"/>
        <w:spacing w:before="280" w:after="120"/>
      </w:pPr>
      <w:r>
        <w:rPr>
          <w:rFonts w:ascii="Arial" w:cs="Arial" w:eastAsia="Arial" w:hAnsi="Arial"/>
          <w:b/>
          <w:bCs/>
          <w:color w:val="2E75B6"/>
          <w:sz w:val="26"/>
          <w:szCs w:val="26"/>
        </w:rPr>
        <w:t xml:space="preserve">Phase 2 — Outcome Tracking Sprint (Month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8"/>
              <w:bottom w:val="single" w:color="CCCCCC" w:sz="1"/>
              <w:right w:val="single" w:color="CCCCCC" w:sz="1"/>
            </w:tcBorders>
            <w:shd w:fill="D6E4F0" w:val="clear"/>
            <w:tcMar>
              <w:top w:type="dxa" w:w="120"/>
              <w:left w:type="dxa" w:w="180"/>
              <w:bottom w:type="dxa" w:w="120"/>
              <w:right w:type="dxa" w:w="180"/>
            </w:tcMar>
          </w:tcPr>
          <w:p>
            <w:pPr>
              <w:spacing w:before="0" w:after="0"/>
            </w:pPr>
            <w:r>
              <w:rPr>
                <w:rFonts w:ascii="Arial" w:cs="Arial" w:eastAsia="Arial" w:hAnsi="Arial"/>
                <w:color w:val="404040"/>
                <w:sz w:val="20"/>
                <w:szCs w:val="20"/>
              </w:rPr>
              <w:t xml:space="preserve">Objective: Activate the follow-up flow to begin populating outcome fields. Unlock in-product success rate display. Dataset becomes a live two-layer system.</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3200"/>
        <w:gridCol w:w="1600"/>
        <w:gridCol w:w="1600"/>
        <w:gridCol w:w="2680"/>
      </w:tblGrid>
      <w:tr>
        <w:trPr>
          <w:tblHeader/>
        </w:trPr>
        <w:tc>
          <w:tcPr>
            <w:tcW w:type="dxa" w:w="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Success Signal</w:t>
            </w:r>
          </w:p>
        </w:tc>
      </w:tr>
      <w:tr>
        <w:tc>
          <w:tcPr>
            <w:tcW w:type="dxa" w:w="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Activate Beehiiv 30-day outcome follow-up sequence. Email 1 at 21 days: ‘Has your insurer responded?’ Email 2 at 45 days: ‘Did your appeal succeed?’ Email 3 at 90 days: final outcome request.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Founder / Beehiiv</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P0</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Sequence fires correctly on 30-day cohort; unsubscribe works; outcome link routes to update form</w:t>
            </w:r>
          </w:p>
        </w:tc>
      </w:tr>
      <w:tr>
        <w:tc>
          <w:tcPr>
            <w:tcW w:type="dxa" w:w="2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12</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Build outcome update form: simple 4-option selector (approved / partially approved / denied / pending) + optional days-to-resolution field. Links back to user’s case.</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Founder / Claude Code</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P0</w:t>
            </w:r>
          </w:p>
        </w:tc>
        <w:tc>
          <w:tcPr>
            <w:tcW w:type="dxa" w:w="2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Form submits and updates appeal_outcome field on correct friction_events record</w:t>
            </w:r>
          </w:p>
        </w:tc>
      </w:tr>
      <w:tr>
        <w:tc>
          <w:tcPr>
            <w:tcW w:type="dxa" w:w="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13</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In-product success rate display: show users real aggregate success rate for their denial code at the point of appeal letter generation. Minimum 50 outcomes for a code before displaying rate; below threshold show ‘limited data.’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Founder / Claude Code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P1</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Rate displays correctly for codes with sufficient data; suppressed for codes with &lt;50 outcomes</w:t>
            </w:r>
          </w:p>
        </w:tc>
      </w:tr>
      <w:tr>
        <w:tc>
          <w:tcPr>
            <w:tcW w:type="dxa" w:w="2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14</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Community framing copy: write the ‘help future patients’ messaging for outcome request emails and the optional claim_amount prompt. Nurse co-founder sign-off required.</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Co-Founder (Nurse)</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P1</w:t>
            </w:r>
          </w:p>
        </w:tc>
        <w:tc>
          <w:tcPr>
            <w:tcW w:type="dxa" w:w="2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Final copy approved; deployed in Beehiiv sequence and in-product prompts</w:t>
            </w:r>
          </w:p>
        </w:tc>
      </w:tr>
      <w:tr>
        <w:tc>
          <w:tcPr>
            <w:tcW w:type="dxa" w:w="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15</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First MPR data cut: include friction_events row counts, outcome completion rate, and claim_amount_range distribution in Monthly Performance Review template.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Founder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P1</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MPR template updated; first data cut present in Month 4 MPR</w:t>
            </w:r>
          </w:p>
        </w:tc>
      </w:tr>
      <w:tr>
        <w:tc>
          <w:tcPr>
            <w:tcW w:type="dxa" w:w="2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16</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Shareable outcome card: generate a simple share card on approved outcomes. ‘My CO16 appeal was approved.’ Framed as user’s self-reported outcome, not MyAdvocate-endorsed result. Nurse co-founder reviews language. Share buttons: Reddit, Twitter, copy link.</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Founder / Claude Code</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P2</w:t>
            </w:r>
          </w:p>
        </w:tc>
        <w:tc>
          <w:tcPr>
            <w:tcW w:type="dxa" w:w="2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Card generates on approved outcome; language reviewed and approved; share buttons functional</w:t>
            </w:r>
          </w:p>
        </w:tc>
      </w:tr>
    </w:tbl>
    <w:p>
      <w:pPr>
        <w:spacing w:before="200" w:after="0"/>
      </w:pPr>
      <w:r>
        <w:t xml:space="preserve"/>
      </w:r>
    </w:p>
    <w:p>
      <w:pPr>
        <w:pStyle w:val="Heading2"/>
        <w:spacing w:before="280" w:after="120"/>
      </w:pPr>
      <w:r>
        <w:rPr>
          <w:rFonts w:ascii="Arial" w:cs="Arial" w:eastAsia="Arial" w:hAnsi="Arial"/>
          <w:b/>
          <w:bCs/>
          <w:color w:val="2E75B6"/>
          <w:sz w:val="26"/>
          <w:szCs w:val="26"/>
        </w:rPr>
        <w:t xml:space="preserve">Phase 3 — Data Intelligence Publication (Month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8"/>
              <w:bottom w:val="single" w:color="CCCCCC" w:sz="1"/>
              <w:right w:val="single" w:color="CCCCCC" w:sz="1"/>
            </w:tcBorders>
            <w:shd w:fill="F5CBA7" w:val="clear"/>
            <w:tcMar>
              <w:top w:type="dxa" w:w="120"/>
              <w:left w:type="dxa" w:w="180"/>
              <w:bottom w:type="dxa" w:w="120"/>
              <w:right w:type="dxa" w:w="180"/>
            </w:tcMar>
          </w:tcPr>
          <w:p>
            <w:pPr>
              <w:spacing w:before="0" w:after="0"/>
            </w:pPr>
            <w:r>
              <w:rPr>
                <w:rFonts w:ascii="Arial" w:cs="Arial" w:eastAsia="Arial" w:hAnsi="Arial"/>
                <w:color w:val="404040"/>
                <w:sz w:val="20"/>
                <w:szCs w:val="20"/>
              </w:rPr>
              <w:t xml:space="preserve">Gate: Minimum sample thresholds from Section 4 must be met. Attorney review of insurer-naming content required before any publication. Do not begin Phase 3 publication tasks until both gates are cleared.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3200"/>
        <w:gridCol w:w="1600"/>
        <w:gridCol w:w="1600"/>
        <w:gridCol w:w="2680"/>
      </w:tblGrid>
      <w:tr>
        <w:trPr>
          <w:tblHeader/>
        </w:trPr>
        <w:tc>
          <w:tcPr>
            <w:tcW w:type="dxa" w:w="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Success Signal</w:t>
            </w:r>
          </w:p>
        </w:tc>
      </w:tr>
      <w:tr>
        <w:tc>
          <w:tcPr>
            <w:tcW w:type="dxa" w:w="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17</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Attorney review: submit insurer-naming publication framing for legal review. Confirm defensible approach for publishing denial frequency comparisons by insurer name.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Attorney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P0 — BLOCK for pub</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Written legal clearance on publication framing approach</w:t>
            </w:r>
          </w:p>
        </w:tc>
      </w:tr>
      <w:tr>
        <w:tc>
          <w:tcPr>
            <w:tcW w:type="dxa" w:w="2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18</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First data intelligence article: ‘The Most Common Insurance Denial Codes in [Year].’ Aggregate denial_code frequency from friction_events. No insurer names in first publication.</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Founder / Co-Founder</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P0</w:t>
            </w:r>
          </w:p>
        </w:tc>
        <w:tc>
          <w:tcPr>
            <w:tcW w:type="dxa" w:w="2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Article published, indexed, includes methodology disclosure, attorney-reviewed</w:t>
            </w:r>
          </w:p>
        </w:tc>
      </w:tr>
      <w:tr>
        <w:tc>
          <w:tcPr>
            <w:tcW w:type="dxa" w:w="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19</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Financial impact stat: once legal clearance obtained, add ‘$X in disputed claims reported to MyAdvocate’ to homepage and press kit. Update monthly.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Founder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P0</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Stat live on homepage; updates automatically from claim_amount_range aggregation</w:t>
            </w:r>
          </w:p>
        </w:tc>
      </w:tr>
      <w:tr>
        <w:tc>
          <w:tcPr>
            <w:tcW w:type="dxa" w:w="2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20</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Appeal success rate pages: for the top 20 denial codes with 50+ outcomes, publish individual pages showing aggregate success rate, average resolution time, and next-step guidance.</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Founder / Co-Founder</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P1</w:t>
            </w:r>
          </w:p>
        </w:tc>
        <w:tc>
          <w:tcPr>
            <w:tcW w:type="dxa" w:w="2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20 pages published; structured data markup present; no PII; methodology footnote on each page</w:t>
            </w:r>
          </w:p>
        </w:tc>
      </w:tr>
      <w:tr>
        <w:tc>
          <w:tcPr>
            <w:tcW w:type="dxa" w:w="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21</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PR outreach to health journalists: pitch MyAdvocate dataset to 10 health/consumer journalists who cover insurance denial stories. Offer data access for stories.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Founder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P1</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At least 3 journalist responses; at least 1 citation in published article</w:t>
            </w:r>
          </w:p>
        </w:tc>
      </w:tr>
      <w:tr>
        <w:tc>
          <w:tcPr>
            <w:tcW w:type="dxa" w:w="2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22</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Data methodology page: publish a public methodology page explaining how data is collected, anonymized, and aggregated. Required for journalist and researcher credibility.</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Founder / Attorney review</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P1</w:t>
            </w:r>
          </w:p>
        </w:tc>
        <w:tc>
          <w:tcPr>
            <w:tcW w:type="dxa" w:w="2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Methodology page live; linked from all data intelligence articles</w:t>
            </w:r>
          </w:p>
        </w:tc>
      </w:tr>
      <w:tr>
        <w:tc>
          <w:tcPr>
            <w:tcW w:type="dxa" w:w="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23</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Add insurer comparison data (post attorney clearance): publish denial frequency rankings by insurer. Position as patient transparency, not insurer attack.</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Founder / Attorney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P2</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Attorney-approved insurer comparison page published; includes sample size and methodology</w:t>
            </w:r>
          </w:p>
        </w:tc>
      </w:tr>
    </w:tbl>
    <w:p>
      <w:pPr>
        <w:spacing w:before="200" w:after="0"/>
      </w:pPr>
      <w:r>
        <w:t xml:space="preserve"/>
      </w:r>
    </w:p>
    <w:p>
      <w:pPr>
        <w:pStyle w:val="Heading2"/>
        <w:spacing w:before="280" w:after="120"/>
      </w:pPr>
      <w:r>
        <w:rPr>
          <w:rFonts w:ascii="Arial" w:cs="Arial" w:eastAsia="Arial" w:hAnsi="Arial"/>
          <w:b/>
          <w:bCs/>
          <w:color w:val="2E75B6"/>
          <w:sz w:val="26"/>
          <w:szCs w:val="26"/>
        </w:rPr>
        <w:t xml:space="preserve">Phase 4 — Annual Report and Research Authority (Month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8"/>
              <w:bottom w:val="single" w:color="CCCCCC" w:sz="1"/>
              <w:right w:val="single" w:color="CCCCCC" w:sz="1"/>
            </w:tcBorders>
            <w:shd w:fill="F5CBA7" w:val="clear"/>
            <w:tcMar>
              <w:top w:type="dxa" w:w="120"/>
              <w:left w:type="dxa" w:w="180"/>
              <w:bottom w:type="dxa" w:w="120"/>
              <w:right w:type="dxa" w:w="180"/>
            </w:tcMar>
          </w:tcPr>
          <w:p>
            <w:pPr>
              <w:spacing w:before="0" w:after="0"/>
            </w:pPr>
            <w:r>
              <w:rPr>
                <w:rFonts w:ascii="Arial" w:cs="Arial" w:eastAsia="Arial" w:hAnsi="Arial"/>
                <w:color w:val="404040"/>
                <w:sz w:val="20"/>
                <w:szCs w:val="20"/>
              </w:rPr>
              <w:t xml:space="preserve">Gate: 5,000+ combined friction and outcome events. Full PR distribution only after attorney review of complete report.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3200"/>
        <w:gridCol w:w="1600"/>
        <w:gridCol w:w="1600"/>
        <w:gridCol w:w="2680"/>
      </w:tblGrid>
      <w:tr>
        <w:trPr>
          <w:tblHeader/>
        </w:trPr>
        <w:tc>
          <w:tcPr>
            <w:tcW w:type="dxa" w:w="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Success Signal</w:t>
            </w:r>
          </w:p>
        </w:tc>
      </w:tr>
      <w:tr>
        <w:tc>
          <w:tcPr>
            <w:tcW w:type="dxa" w:w="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24</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First Annual MyAdvocate Insurance Denial Report: full data publication covering denial frequency, appeal outcomes, financial impact, state breakdowns, and insurer comparisons.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Founder / Co-Founder / Attorney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P0</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Report published as PDF and web version; PR distribution completed; at least 5 press mentions</w:t>
            </w:r>
          </w:p>
        </w:tc>
      </w:tr>
      <w:tr>
        <w:tc>
          <w:tcPr>
            <w:tcW w:type="dxa" w:w="2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25</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Academic and advocacy outreach: share dataset (anonymized, aggregated) with patient advocacy organizations and academic researchers. Builds citation network.</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Founder</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P1</w:t>
            </w:r>
          </w:p>
        </w:tc>
        <w:tc>
          <w:tcPr>
            <w:tcW w:type="dxa" w:w="2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At least 2 formal partnerships or data-sharing agreements with advocacy orgs</w:t>
            </w:r>
          </w:p>
        </w:tc>
      </w:tr>
      <w:tr>
        <w:tc>
          <w:tcPr>
            <w:tcW w:type="dxa" w:w="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26</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B2B data layer consideration: assess whether aggregate data reports can serve as a B2B asset for union and employer health plan negotiations. Requires formal legal assessment of data commercialization.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Founder / Attorney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P2</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Legal memo on data commercialization viability delivered; decision logged in PMP</w:t>
            </w:r>
          </w:p>
        </w:tc>
      </w:tr>
    </w:tbl>
    <w:p>
      <w:r>
        <w:br w:type="page"/>
      </w:r>
    </w:p>
    <w:p>
      <w:pPr>
        <w:pStyle w:val="Heading1"/>
        <w:spacing w:before="360" w:after="160"/>
      </w:pPr>
      <w:r>
        <w:rPr>
          <w:rFonts w:ascii="Arial" w:cs="Arial" w:eastAsia="Arial" w:hAnsi="Arial"/>
          <w:b/>
          <w:bCs/>
          <w:color w:val="1F4E79"/>
          <w:sz w:val="32"/>
          <w:szCs w:val="32"/>
        </w:rPr>
        <w:t xml:space="preserve">9. Notion / Cowork Integration Notes</w:t>
      </w:r>
    </w:p>
    <w:p>
      <w:pPr>
        <w:spacing w:before="60" w:after="100"/>
      </w:pPr>
      <w:r>
        <w:rPr>
          <w:rFonts w:ascii="Arial" w:cs="Arial" w:eastAsia="Arial" w:hAnsi="Arial"/>
          <w:color w:val="404040"/>
          <w:sz w:val="22"/>
          <w:szCs w:val="22"/>
        </w:rPr>
        <w:t xml:space="preserve">The following structure is recommended for Cowork task ingestion into Notion. Each phase above maps to a Notion project. Tasks map to database entries with the fields defined below.</w:t>
      </w:r>
    </w:p>
    <w:p>
      <w:pPr>
        <w:spacing w:before="80" w:after="0"/>
      </w:pPr>
      <w:r>
        <w:t xml:space="preserve"/>
      </w:r>
    </w:p>
    <w:p>
      <w:pPr>
        <w:spacing w:before="200" w:after="80"/>
      </w:pPr>
      <w:r>
        <w:rPr>
          <w:rFonts w:ascii="Arial" w:cs="Arial" w:eastAsia="Arial" w:hAnsi="Arial"/>
          <w:b/>
          <w:bCs/>
          <w:color w:val="404040"/>
          <w:sz w:val="22"/>
          <w:szCs w:val="22"/>
        </w:rPr>
        <w:t xml:space="preserve">Recommended Notion database fields:</w:t>
      </w:r>
    </w:p>
    <w:p>
      <w:pPr>
        <w:pStyle w:val="ListParagraph"/>
        <w:numPr>
          <w:ilvl w:val="0"/>
          <w:numId w:val="2"/>
        </w:numPr>
        <w:spacing w:before="40" w:after="60"/>
      </w:pPr>
      <w:r>
        <w:rPr>
          <w:rFonts w:ascii="Arial" w:cs="Arial" w:eastAsia="Arial" w:hAnsi="Arial"/>
          <w:color w:val="404040"/>
          <w:sz w:val="22"/>
          <w:szCs w:val="22"/>
        </w:rPr>
        <w:t xml:space="preserve">Task ID — MA-DAT-ENG-[phase]-[number] (e.g., MA-DAT-ENG-P1-001)</w:t>
      </w:r>
    </w:p>
    <w:p>
      <w:pPr>
        <w:pStyle w:val="ListParagraph"/>
        <w:numPr>
          <w:ilvl w:val="0"/>
          <w:numId w:val="2"/>
        </w:numPr>
        <w:spacing w:before="40" w:after="60"/>
      </w:pPr>
      <w:r>
        <w:rPr>
          <w:rFonts w:ascii="Arial" w:cs="Arial" w:eastAsia="Arial" w:hAnsi="Arial"/>
          <w:color w:val="404040"/>
          <w:sz w:val="22"/>
          <w:szCs w:val="22"/>
        </w:rPr>
        <w:t xml:space="preserve">Task Name — from task table above</w:t>
      </w:r>
    </w:p>
    <w:p>
      <w:pPr>
        <w:pStyle w:val="ListParagraph"/>
        <w:numPr>
          <w:ilvl w:val="0"/>
          <w:numId w:val="2"/>
        </w:numPr>
        <w:spacing w:before="40" w:after="60"/>
      </w:pPr>
      <w:r>
        <w:rPr>
          <w:rFonts w:ascii="Arial" w:cs="Arial" w:eastAsia="Arial" w:hAnsi="Arial"/>
          <w:color w:val="404040"/>
          <w:sz w:val="22"/>
          <w:szCs w:val="22"/>
        </w:rPr>
        <w:t xml:space="preserve">Phase — Phase 1 / Phase 2 / Phase 3 / Phase 4</w:t>
      </w:r>
    </w:p>
    <w:p>
      <w:pPr>
        <w:pStyle w:val="ListParagraph"/>
        <w:numPr>
          <w:ilvl w:val="0"/>
          <w:numId w:val="2"/>
        </w:numPr>
        <w:spacing w:before="40" w:after="60"/>
      </w:pPr>
      <w:r>
        <w:rPr>
          <w:rFonts w:ascii="Arial" w:cs="Arial" w:eastAsia="Arial" w:hAnsi="Arial"/>
          <w:color w:val="404040"/>
          <w:sz w:val="22"/>
          <w:szCs w:val="22"/>
        </w:rPr>
        <w:t xml:space="preserve">Owner — Founder, Co-Founder, Attorney, Claude Code</w:t>
      </w:r>
    </w:p>
    <w:p>
      <w:pPr>
        <w:pStyle w:val="ListParagraph"/>
        <w:numPr>
          <w:ilvl w:val="0"/>
          <w:numId w:val="2"/>
        </w:numPr>
        <w:spacing w:before="40" w:after="60"/>
      </w:pPr>
      <w:r>
        <w:rPr>
          <w:rFonts w:ascii="Arial" w:cs="Arial" w:eastAsia="Arial" w:hAnsi="Arial"/>
          <w:color w:val="404040"/>
          <w:sz w:val="22"/>
          <w:szCs w:val="22"/>
        </w:rPr>
        <w:t xml:space="preserve">Priority — P0 / P1 / P2</w:t>
      </w:r>
    </w:p>
    <w:p>
      <w:pPr>
        <w:pStyle w:val="ListParagraph"/>
        <w:numPr>
          <w:ilvl w:val="0"/>
          <w:numId w:val="2"/>
        </w:numPr>
        <w:spacing w:before="40" w:after="60"/>
      </w:pPr>
      <w:r>
        <w:rPr>
          <w:rFonts w:ascii="Arial" w:cs="Arial" w:eastAsia="Arial" w:hAnsi="Arial"/>
          <w:color w:val="404040"/>
          <w:sz w:val="22"/>
          <w:szCs w:val="22"/>
        </w:rPr>
        <w:t xml:space="preserve">Block Status — BLOCK / Depends On [Task ID] / Independent</w:t>
      </w:r>
    </w:p>
    <w:p>
      <w:pPr>
        <w:pStyle w:val="ListParagraph"/>
        <w:numPr>
          <w:ilvl w:val="0"/>
          <w:numId w:val="2"/>
        </w:numPr>
        <w:spacing w:before="40" w:after="60"/>
      </w:pPr>
      <w:r>
        <w:rPr>
          <w:rFonts w:ascii="Arial" w:cs="Arial" w:eastAsia="Arial" w:hAnsi="Arial"/>
          <w:color w:val="404040"/>
          <w:sz w:val="22"/>
          <w:szCs w:val="22"/>
        </w:rPr>
        <w:t xml:space="preserve">Status — Not Started / In Progress / Review / Done</w:t>
      </w:r>
    </w:p>
    <w:p>
      <w:pPr>
        <w:pStyle w:val="ListParagraph"/>
        <w:numPr>
          <w:ilvl w:val="0"/>
          <w:numId w:val="2"/>
        </w:numPr>
        <w:spacing w:before="40" w:after="60"/>
      </w:pPr>
      <w:r>
        <w:rPr>
          <w:rFonts w:ascii="Arial" w:cs="Arial" w:eastAsia="Arial" w:hAnsi="Arial"/>
          <w:color w:val="404040"/>
          <w:sz w:val="22"/>
          <w:szCs w:val="22"/>
        </w:rPr>
        <w:t xml:space="preserve">Success Signal — from task table above (acceptance criteria)</w:t>
      </w:r>
    </w:p>
    <w:p>
      <w:pPr>
        <w:pStyle w:val="ListParagraph"/>
        <w:numPr>
          <w:ilvl w:val="0"/>
          <w:numId w:val="2"/>
        </w:numPr>
        <w:spacing w:before="40" w:after="60"/>
      </w:pPr>
      <w:r>
        <w:rPr>
          <w:rFonts w:ascii="Arial" w:cs="Arial" w:eastAsia="Arial" w:hAnsi="Arial"/>
          <w:color w:val="404040"/>
          <w:sz w:val="22"/>
          <w:szCs w:val="22"/>
        </w:rPr>
        <w:t xml:space="preserve">Source Document — MA-SUP-DAT-001</w:t>
      </w:r>
    </w:p>
    <w:p>
      <w:pPr>
        <w:pStyle w:val="ListParagraph"/>
        <w:numPr>
          <w:ilvl w:val="0"/>
          <w:numId w:val="2"/>
        </w:numPr>
        <w:spacing w:before="40" w:after="60"/>
      </w:pPr>
      <w:r>
        <w:rPr>
          <w:rFonts w:ascii="Arial" w:cs="Arial" w:eastAsia="Arial" w:hAnsi="Arial"/>
          <w:color w:val="404040"/>
          <w:sz w:val="22"/>
          <w:szCs w:val="22"/>
        </w:rPr>
        <w:t xml:space="preserve">Phase Gate — the unlock condition from Section 4 if applicable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8"/>
              <w:bottom w:val="single" w:color="CCCCCC" w:sz="1"/>
              <w:right w:val="single" w:color="CCCCCC" w:sz="1"/>
            </w:tcBorders>
            <w:shd w:fill="D6E4F0" w:val="clear"/>
            <w:tcMar>
              <w:top w:type="dxa" w:w="120"/>
              <w:left w:type="dxa" w:w="180"/>
              <w:bottom w:type="dxa" w:w="120"/>
              <w:right w:type="dxa" w:w="180"/>
            </w:tcMar>
          </w:tcPr>
          <w:p>
            <w:pPr>
              <w:spacing w:before="0" w:after="0"/>
            </w:pPr>
            <w:r>
              <w:rPr>
                <w:rFonts w:ascii="Arial" w:cs="Arial" w:eastAsia="Arial" w:hAnsi="Arial"/>
                <w:b/>
                <w:bCs/>
                <w:color w:val="1F4E79"/>
                <w:sz w:val="20"/>
                <w:szCs w:val="20"/>
              </w:rPr>
              <w:t xml:space="preserve">COWORK:  </w:t>
            </w:r>
            <w:r>
              <w:rPr>
                <w:rFonts w:ascii="Arial" w:cs="Arial" w:eastAsia="Arial" w:hAnsi="Arial"/>
                <w:color w:val="404040"/>
                <w:sz w:val="20"/>
                <w:szCs w:val="20"/>
              </w:rPr>
              <w:t xml:space="preserve">Cowork instruction: Tasks 1–10 should be ingested as Phase 1 sprint items immediately. Tasks 11–16 should be created but set to ‘Not Started’ with block dependency on Task 10 (attorney assessment). Tasks 17+ should be created as backlog items with Phase Gate field populated.</w:t>
            </w:r>
          </w:p>
        </w:tc>
      </w:tr>
    </w:tbl>
    <w:p>
      <w:pPr>
        <w:spacing w:before="200" w:after="0"/>
      </w:pPr>
      <w:r>
        <w:t xml:space="preserve"/>
      </w:r>
    </w:p>
    <w:p>
      <w:pPr>
        <w:pStyle w:val="Heading1"/>
        <w:spacing w:before="360" w:after="160"/>
      </w:pPr>
      <w:r>
        <w:rPr>
          <w:rFonts w:ascii="Arial" w:cs="Arial" w:eastAsia="Arial" w:hAnsi="Arial"/>
          <w:b/>
          <w:bCs/>
          <w:color w:val="1F4E79"/>
          <w:sz w:val="32"/>
          <w:szCs w:val="32"/>
        </w:rPr>
        <w:t xml:space="preserve">10. Document Registry Entry</w:t>
      </w:r>
    </w:p>
    <w:p>
      <w:pPr>
        <w:spacing w:before="60" w:after="100"/>
      </w:pPr>
      <w:r>
        <w:rPr>
          <w:rFonts w:ascii="Arial" w:cs="Arial" w:eastAsia="Arial" w:hAnsi="Arial"/>
          <w:color w:val="404040"/>
          <w:sz w:val="22"/>
          <w:szCs w:val="22"/>
        </w:rPr>
        <w:t xml:space="preserve">This document should be added to the Master Registry (MA-REG-001) with the following entry: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Permanent ID</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MA-SUP-DAT-001</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Family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MA-SUP (Supplementals) — candidate for promotion to MA-DAT family in next registry pass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Document Title</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Proprietary Data Engine Strategy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Filename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myadvocate_business_supplemental_proprietary_data_engine_v1.docx</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Role</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Supporting Anchor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Authority Status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Supporting</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Canonical Tier</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Supporting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Key Use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Formalizes friction_events and appeal outcome datasets; defines collection schema, publication gates, legal requirements, and phase/sprint task plan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Related IDs</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8"/>
                <w:szCs w:val="18"/>
              </w:rPr>
              <w:t xml:space="preserve">MA-PMP-001, MA-DAT-001, MA-SEC-001, MA-SEC-002, MA-LCH-004, MA-SEO-002, MA-ARC-001</w:t>
            </w:r>
          </w:p>
        </w:tc>
      </w:tr>
    </w:tbl>
    <w:p>
      <w:pPr>
        <w:spacing w:before="200" w:after="0"/>
      </w:pPr>
      <w:r>
        <w:t xml:space="preserve"/>
      </w:r>
    </w:p>
    <w:p>
      <w:pPr>
        <w:pBdr>
          <w:bottom w:val="single" w:color="2E75B6" w:sz="4" w:space="1"/>
        </w:pBdr>
        <w:spacing w:before="160" w:after="160"/>
      </w:pPr>
      <w:r>
        <w:t xml:space="preserve"/>
      </w:r>
    </w:p>
    <w:p>
      <w:pPr>
        <w:spacing w:before="120" w:after="40"/>
      </w:pPr>
      <w:r>
        <w:rPr>
          <w:rFonts w:ascii="Arial" w:cs="Arial" w:eastAsia="Arial" w:hAnsi="Arial"/>
          <w:i/>
          <w:iCs/>
          <w:color w:val="404040"/>
          <w:sz w:val="18"/>
          <w:szCs w:val="18"/>
        </w:rPr>
        <w:t xml:space="preserve">MyAdvocate — Proprietary Data Engine Strategy  |  MA-SUP-DAT-001 v1.0</w:t>
      </w:r>
    </w:p>
    <w:p>
      <w:pPr>
        <w:spacing w:before="0" w:after="0"/>
      </w:pPr>
      <w:r>
        <w:rPr>
          <w:rFonts w:ascii="Arial" w:cs="Arial" w:eastAsia="Arial" w:hAnsi="Arial"/>
          <w:i/>
          <w:iCs/>
          <w:color w:val="2E75B6"/>
          <w:sz w:val="18"/>
          <w:szCs w:val="18"/>
        </w:rPr>
        <w:t xml:space="preserve">The insurance companies have lawyers. You have MyAdvocate.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2026-03-13T06:04:44.070Z</dcterms:created>
  <dcterms:modified xsi:type="dcterms:W3CDTF">2026-03-13T06:04:44.071Z</dcterms:modified>
</cp:coreProperties>
</file>

<file path=docProps/custom.xml><?xml version="1.0" encoding="utf-8"?>
<Properties xmlns="http://schemas.openxmlformats.org/officeDocument/2006/custom-properties" xmlns:vt="http://schemas.openxmlformats.org/officeDocument/2006/docPropsVTypes"/>
</file>