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60"/>
        <w:jc w:val="center"/>
      </w:pPr>
      <w:r>
        <w:rPr>
          <w:rFonts w:ascii="Arial" w:cs="Arial" w:eastAsia="Arial" w:hAnsi="Arial"/>
          <w:b/>
          <w:bCs/>
          <w:color w:val="1B3A6B"/>
          <w:sz w:val="52"/>
          <w:szCs w:val="52"/>
        </w:rPr>
        <w:t xml:space="preserve">MYADVOCATE</w:t>
      </w:r>
    </w:p>
    <w:p>
      <w:pPr>
        <w:spacing w:before="0" w:after="60"/>
        <w:jc w:val="center"/>
      </w:pPr>
      <w:r>
        <w:rPr>
          <w:rFonts w:ascii="Arial" w:cs="Arial" w:eastAsia="Arial" w:hAnsi="Arial"/>
          <w:b/>
          <w:bCs/>
          <w:color w:val="0E7490"/>
          <w:sz w:val="32"/>
          <w:szCs w:val="32"/>
        </w:rPr>
        <w:t xml:space="preserve">Business Supplemental</w:t>
      </w:r>
    </w:p>
    <w:p>
      <w:pPr>
        <w:pBdr>
          <w:bottom w:val="single" w:color="0E7490" w:sz="8" w:space="6"/>
        </w:pBdr>
        <w:spacing w:before="0" w:after="60"/>
        <w:jc w:val="center"/>
      </w:pPr>
      <w:r>
        <w:rPr>
          <w:rFonts w:ascii="Arial" w:cs="Arial" w:eastAsia="Arial" w:hAnsi="Arial"/>
          <w:color w:val="334155"/>
          <w:sz w:val="26"/>
          <w:szCs w:val="26"/>
        </w:rPr>
        <w:t xml:space="preserve">SEO Authority &amp; Content Infrastructure Strategy</w:t>
      </w:r>
    </w:p>
    <w:p>
      <w:pPr>
        <w:spacing w:before="40" w:after="0"/>
      </w:pPr>
      <w:r>
        <w:t xml:space="preserve"/>
      </w:r>
    </w:p>
    <w:p>
      <w:pPr>
        <w:spacing w:before="40" w:after="20"/>
        <w:jc w:val="center"/>
      </w:pPr>
      <w:r>
        <w:rPr>
          <w:rFonts w:ascii="Arial" w:cs="Arial" w:eastAsia="Arial" w:hAnsi="Arial"/>
          <w:color w:val="334155"/>
          <w:sz w:val="20"/>
          <w:szCs w:val="20"/>
        </w:rPr>
        <w:t xml:space="preserve">Prepared for: MyAdvocate Founder Operations</w:t>
      </w:r>
    </w:p>
    <w:p>
      <w:pPr>
        <w:spacing w:before="20" w:after="20"/>
        <w:jc w:val="center"/>
      </w:pPr>
      <w:r>
        <w:rPr>
          <w:rFonts w:ascii="Arial" w:cs="Arial" w:eastAsia="Arial" w:hAnsi="Arial"/>
          <w:color w:val="334155"/>
          <w:sz w:val="20"/>
          <w:szCs w:val="20"/>
        </w:rPr>
        <w:t xml:space="preserve">Date: March 2026</w:t>
      </w:r>
    </w:p>
    <w:p>
      <w:pPr>
        <w:spacing w:before="20" w:after="20"/>
        <w:jc w:val="center"/>
      </w:pPr>
      <w:r>
        <w:rPr>
          <w:rFonts w:ascii="Arial" w:cs="Arial" w:eastAsia="Arial" w:hAnsi="Arial"/>
          <w:color w:val="334155"/>
          <w:sz w:val="20"/>
          <w:szCs w:val="20"/>
        </w:rPr>
        <w:t xml:space="preserve">Document Type: Official Business Supplemental</w:t>
      </w:r>
    </w:p>
    <w:p>
      <w:pPr>
        <w:spacing w:before="20" w:after="20"/>
        <w:jc w:val="center"/>
      </w:pPr>
      <w:r>
        <w:rPr>
          <w:rFonts w:ascii="Arial" w:cs="Arial" w:eastAsia="Arial" w:hAnsi="Arial"/>
          <w:b/>
          <w:bCs/>
          <w:color w:val="B45309"/>
          <w:sz w:val="20"/>
          <w:szCs w:val="20"/>
        </w:rPr>
        <w:t xml:space="preserve">Authority: MA-SEO Family | Supporting Anchor</w:t>
      </w:r>
    </w:p>
    <w:p>
      <w:pPr>
        <w:spacing w:before="200" w:after="0"/>
      </w:pPr>
      <w:r>
        <w:t xml:space="preserve"/>
      </w:r>
    </w:p>
    <w:p>
      <w:r>
        <w:br w:type="page"/>
      </w:r>
    </w:p>
    <w:p>
      <w:pPr>
        <w:pStyle w:val="Heading1"/>
        <w:pBdr>
          <w:bottom w:val="single" w:color="0E7490" w:sz="6" w:space="1"/>
        </w:pBdr>
        <w:spacing w:before="360" w:after="120"/>
      </w:pPr>
      <w:r>
        <w:rPr>
          <w:rFonts w:ascii="Arial" w:cs="Arial" w:eastAsia="Arial" w:hAnsi="Arial"/>
          <w:b/>
          <w:bCs/>
          <w:color w:val="1B3A6B"/>
          <w:sz w:val="32"/>
          <w:szCs w:val="32"/>
        </w:rPr>
        <w:t xml:space="preserve">Executive Summary</w:t>
      </w:r>
    </w:p>
    <w:p>
      <w:pPr>
        <w:spacing w:before="60" w:after="100"/>
      </w:pPr>
      <w:r>
        <w:rPr>
          <w:rFonts w:ascii="Arial" w:cs="Arial" w:eastAsia="Arial" w:hAnsi="Arial"/>
          <w:b w:val="false"/>
          <w:bCs w:val="false"/>
          <w:color w:val="334155"/>
          <w:sz w:val="20"/>
          <w:szCs w:val="20"/>
        </w:rPr>
        <w:t xml:space="preserve">This supplemental formalizes nine strategic decisions emerging from the MyAdvocate long-term SEO strategy analysis. It converts analysis into operating doctrine: what gets built, when, how it integrates with existing systems, which agents come online to support it, which metrics track it, and how the gamification system rewards it.</w:t>
      </w:r>
    </w:p>
    <w:p>
      <w:pPr>
        <w:spacing w:before="60" w:after="100"/>
      </w:pPr>
      <w:r>
        <w:rPr>
          <w:rFonts w:ascii="Arial" w:cs="Arial" w:eastAsia="Arial" w:hAnsi="Arial"/>
          <w:b w:val="false"/>
          <w:bCs w:val="false"/>
          <w:color w:val="334155"/>
          <w:sz w:val="20"/>
          <w:szCs w:val="20"/>
        </w:rPr>
        <w:t xml:space="preserve">Each section is phase-assigned and sprint-ready. Nothing in this document expands Phase 1 scope. Everything here is sequenced to compound on the foundation being built.</w:t>
      </w:r>
    </w:p>
    <w:p>
      <w:pPr>
        <w:spacing w:before="80" w:after="0"/>
      </w:pPr>
      <w:r>
        <w:t xml:space="preserve"/>
      </w:r>
    </w:p>
    <w:tbl>
      <w:tblPr>
        <w:tblW w:type="dxa" w:w="9360"/>
      </w:tblPr>
      <w:tblGrid>
        <w:gridCol w:w="1800"/>
        <w:gridCol w:w="5000"/>
        <w:gridCol w:w="2560"/>
      </w:tblGrid>
      <w:tr>
        <w:tc>
          <w:tcPr>
            <w:tcW w:type="dxa" w:w="18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Section</w:t>
            </w:r>
          </w:p>
        </w:tc>
        <w:tc>
          <w:tcPr>
            <w:tcW w:type="dxa" w:w="5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Topic</w:t>
            </w:r>
          </w:p>
        </w:tc>
        <w:tc>
          <w:tcPr>
            <w:tcW w:type="dxa" w:w="25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Phase Gate</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1</w:t>
            </w:r>
          </w:p>
        </w:tc>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Cornerstone Content Architecture</w:t>
            </w:r>
          </w:p>
        </w:tc>
        <w:tc>
          <w:tcPr>
            <w:tcW w:type="dxa" w:w="2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Phase 1 (1 guide) → Phase 4 (full stack)</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2</w:t>
            </w:r>
          </w:p>
        </w:tc>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Anonymous Site Infrastructure &amp; Trust Pages</w:t>
            </w:r>
          </w:p>
        </w:tc>
        <w:tc>
          <w:tcPr>
            <w:tcW w:type="dxa" w:w="2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Phase 1 — Launch Gate</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3</w:t>
            </w:r>
          </w:p>
        </w:tc>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Editorial Board Attribution Model</w:t>
            </w:r>
          </w:p>
        </w:tc>
        <w:tc>
          <w:tcPr>
            <w:tcW w:type="dxa" w:w="2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Phase 1 — Launch Gate</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4</w:t>
            </w:r>
          </w:p>
        </w:tc>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Backlink &amp; Partner Outreach Program</w:t>
            </w:r>
          </w:p>
        </w:tc>
        <w:tc>
          <w:tcPr>
            <w:tcW w:type="dxa" w:w="2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Phase 3 (M4–6 activation)</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5</w:t>
            </w:r>
          </w:p>
        </w:tc>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Policy Interpretation Content Cluster</w:t>
            </w:r>
          </w:p>
        </w:tc>
        <w:tc>
          <w:tcPr>
            <w:tcW w:type="dxa" w:w="2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Phase 4 SEO Engine</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6</w:t>
            </w:r>
          </w:p>
        </w:tc>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Content Refresh Cadence Formalization</w:t>
            </w:r>
          </w:p>
        </w:tc>
        <w:tc>
          <w:tcPr>
            <w:tcW w:type="dxa" w:w="2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Phase 2 activation, Phase 4 operationalized</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7</w:t>
            </w:r>
          </w:p>
        </w:tc>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Annual Outcomes Report — Data Authority Asset</w:t>
            </w:r>
          </w:p>
        </w:tc>
        <w:tc>
          <w:tcPr>
            <w:tcW w:type="dxa" w:w="2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Phase 5 (data gate: Month 12+)</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8</w:t>
            </w:r>
          </w:p>
        </w:tc>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Spanish-Language Content Strategy</w:t>
            </w:r>
          </w:p>
        </w:tc>
        <w:tc>
          <w:tcPr>
            <w:tcW w:type="dxa" w:w="2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Phase 4 pilot → Phase 5 scale</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9</w:t>
            </w:r>
          </w:p>
        </w:tc>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GEO / AI Citation Hardwiring</w:t>
            </w:r>
          </w:p>
        </w:tc>
        <w:tc>
          <w:tcPr>
            <w:tcW w:type="dxa" w:w="2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Phase 1 template standard, ongoing</w:t>
            </w:r>
          </w:p>
        </w:tc>
      </w:tr>
    </w:tbl>
    <w:p>
      <w:pPr>
        <w:spacing w:before="40" w:after="0"/>
      </w:pPr>
      <w:r>
        <w:t xml:space="preserve"/>
      </w:r>
    </w:p>
    <w:p>
      <w:r>
        <w:br w:type="page"/>
      </w:r>
    </w:p>
    <w:p>
      <w:pPr>
        <w:pStyle w:val="Heading1"/>
        <w:pBdr>
          <w:bottom w:val="single" w:color="0E7490" w:sz="6" w:space="1"/>
        </w:pBdr>
        <w:spacing w:before="360" w:after="120"/>
      </w:pPr>
      <w:r>
        <w:rPr>
          <w:rFonts w:ascii="Arial" w:cs="Arial" w:eastAsia="Arial" w:hAnsi="Arial"/>
          <w:b/>
          <w:bCs/>
          <w:color w:val="1B3A6B"/>
          <w:sz w:val="32"/>
          <w:szCs w:val="32"/>
        </w:rPr>
        <w:t xml:space="preserve">Section 1 — Cornerstone Content Architecture</w:t>
      </w:r>
    </w:p>
    <w:p>
      <w:pPr>
        <w:pStyle w:val="Heading2"/>
        <w:spacing w:before="280" w:after="80"/>
      </w:pPr>
      <w:r>
        <w:rPr>
          <w:rFonts w:ascii="Arial" w:cs="Arial" w:eastAsia="Arial" w:hAnsi="Arial"/>
          <w:b/>
          <w:bCs/>
          <w:color w:val="0E7490"/>
          <w:sz w:val="26"/>
          <w:szCs w:val="26"/>
        </w:rPr>
        <w:t xml:space="preserve">Strategic Context</w:t>
      </w:r>
    </w:p>
    <w:p>
      <w:pPr>
        <w:spacing w:before="60" w:after="100"/>
      </w:pPr>
      <w:r>
        <w:rPr>
          <w:rFonts w:ascii="Arial" w:cs="Arial" w:eastAsia="Arial" w:hAnsi="Arial"/>
          <w:b w:val="false"/>
          <w:bCs w:val="false"/>
          <w:color w:val="334155"/>
          <w:sz w:val="20"/>
          <w:szCs w:val="20"/>
        </w:rPr>
        <w:t xml:space="preserve">The Complete Guide to Insurance Claim Denials is already committed as a Phase 1 launch gate. This section formalizes the full cornerstone library, assigns phases, and defines the sequencing rule: cluster pages MUST NOT publish before their parent cornerstone is live. Cornerstones are the authority backbone; clusters inherit their trust signal.</w:t>
      </w:r>
    </w:p>
    <w:p>
      <w:pPr>
        <w:pStyle w:val="Heading2"/>
        <w:spacing w:before="280" w:after="80"/>
      </w:pPr>
      <w:r>
        <w:rPr>
          <w:rFonts w:ascii="Arial" w:cs="Arial" w:eastAsia="Arial" w:hAnsi="Arial"/>
          <w:b/>
          <w:bCs/>
          <w:color w:val="0E7490"/>
          <w:sz w:val="26"/>
          <w:szCs w:val="26"/>
        </w:rPr>
        <w:t xml:space="preserve">Cornerstone Sequencing Rule</w:t>
      </w:r>
    </w:p>
    <w:p>
      <w:pPr>
        <w:pBdr>
          <w:left w:val="single" w:color="0E7490" w:sz="12" w:space="6"/>
        </w:pBdr>
        <w:spacing w:before="120" w:after="120"/>
        <w:ind w:left="360"/>
      </w:pPr>
      <w:r>
        <w:rPr>
          <w:rFonts w:ascii="Arial" w:cs="Arial" w:eastAsia="Arial" w:hAnsi="Arial"/>
          <w:b/>
          <w:bCs/>
          <w:color w:val="1B3A6B"/>
          <w:sz w:val="20"/>
          <w:szCs w:val="20"/>
        </w:rPr>
        <w:t xml:space="preserve">Rule: </w:t>
      </w:r>
      <w:r>
        <w:rPr>
          <w:rFonts w:ascii="Arial" w:cs="Arial" w:eastAsia="Arial" w:hAnsi="Arial"/>
          <w:color w:val="334155"/>
          <w:sz w:val="20"/>
          <w:szCs w:val="20"/>
        </w:rPr>
        <w:t xml:space="preserve">No cluster pages publish before the parent cornerstone is live and indexed. Violating this rule wastes authority signal and can fragment topical trust before it accumulates.</w:t>
      </w:r>
    </w:p>
    <w:p>
      <w:pPr>
        <w:pStyle w:val="Heading2"/>
        <w:spacing w:before="280" w:after="80"/>
      </w:pPr>
      <w:r>
        <w:rPr>
          <w:rFonts w:ascii="Arial" w:cs="Arial" w:eastAsia="Arial" w:hAnsi="Arial"/>
          <w:b/>
          <w:bCs/>
          <w:color w:val="0E7490"/>
          <w:sz w:val="26"/>
          <w:szCs w:val="26"/>
        </w:rPr>
        <w:t xml:space="preserve">Full Cornerstone Library</w:t>
      </w:r>
    </w:p>
    <w:p>
      <w:pPr>
        <w:spacing w:before="40" w:after="0"/>
      </w:pPr>
      <w:r>
        <w:t xml:space="preserve"/>
      </w:r>
    </w:p>
    <w:tbl>
      <w:tblPr>
        <w:tblW w:type="dxa" w:w="9360"/>
      </w:tblPr>
      <w:tblGrid>
        <w:gridCol w:w="200"/>
        <w:gridCol w:w="3600"/>
        <w:gridCol w:w="1800"/>
        <w:gridCol w:w="2000"/>
        <w:gridCol w:w="1760"/>
      </w:tblGrid>
      <w:tr>
        <w:tc>
          <w:tcPr>
            <w:tcW w:type="dxa" w:w="2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6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Cornerstone Title</w:t>
            </w:r>
          </w:p>
        </w:tc>
        <w:tc>
          <w:tcPr>
            <w:tcW w:type="dxa" w:w="18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Cluster It Anchors</w:t>
            </w:r>
          </w:p>
        </w:tc>
        <w:tc>
          <w:tcPr>
            <w:tcW w:type="dxa" w:w="2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17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Launch Gate?</w:t>
            </w:r>
          </w:p>
        </w:tc>
      </w:tr>
      <w:tr>
        <w:tc>
          <w:tcPr>
            <w:tcW w:type="dxa" w:w="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1</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The Complete Guide to Insurance Claim Denials</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Denial codes, prior auth, claim processing</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166534"/>
                <w:sz w:val="18"/>
                <w:szCs w:val="18"/>
              </w:rPr>
              <w:t xml:space="preserve">Phase 1</w:t>
            </w:r>
          </w:p>
        </w:tc>
        <w:tc>
          <w:tcPr>
            <w:tcW w:type="dxa" w:w="1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166534"/>
                <w:sz w:val="18"/>
                <w:szCs w:val="18"/>
              </w:rPr>
              <w:t xml:space="preserve">YES — Required</w:t>
            </w:r>
          </w:p>
        </w:tc>
      </w:tr>
      <w:tr>
        <w:tc>
          <w:tcPr>
            <w:tcW w:type="dxa" w:w="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2</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The Complete Guide to Medical Billing Disputes</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Hospital billing, itemized bills, negotiation</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Phase 4 — Wave 1</w:t>
            </w:r>
          </w:p>
        </w:tc>
        <w:tc>
          <w:tcPr>
            <w:tcW w:type="dxa" w:w="1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No</w:t>
            </w:r>
          </w:p>
        </w:tc>
      </w:tr>
      <w:tr>
        <w:tc>
          <w:tcPr>
            <w:tcW w:type="dxa" w:w="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3</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Patient Rights in Hospitals: The Complete Guide</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Patient bill of rights, discharge rights, EMTALA</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Phase 4 — Wave 1</w:t>
            </w:r>
          </w:p>
        </w:tc>
        <w:tc>
          <w:tcPr>
            <w:tcW w:type="dxa" w:w="1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No</w:t>
            </w:r>
          </w:p>
        </w:tc>
      </w:tr>
      <w:tr>
        <w:tc>
          <w:tcPr>
            <w:tcW w:type="dxa" w:w="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4</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The Complete Guide to Medicaid Appeals</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Medicaid eligibility, policy cluster, immigration</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Phase 4 — Wave 2</w:t>
            </w:r>
          </w:p>
        </w:tc>
        <w:tc>
          <w:tcPr>
            <w:tcW w:type="dxa" w:w="1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No</w:t>
            </w:r>
          </w:p>
        </w:tc>
      </w:tr>
      <w:tr>
        <w:tc>
          <w:tcPr>
            <w:tcW w:type="dxa" w:w="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5</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The Complete Guide to Medicare Appeals</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Medicare denials, prior auth, coverage gaps</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Phase 4 — Wave 2</w:t>
            </w:r>
          </w:p>
        </w:tc>
        <w:tc>
          <w:tcPr>
            <w:tcW w:type="dxa" w:w="1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No</w:t>
            </w:r>
          </w:p>
        </w:tc>
      </w:tr>
      <w:tr>
        <w:tc>
          <w:tcPr>
            <w:tcW w:type="dxa" w:w="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6</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How Prior Authorization Works: A Patient's Guide</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Prior auth denials, appeal workflows</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Phase 4 — Wave 2</w:t>
            </w:r>
          </w:p>
        </w:tc>
        <w:tc>
          <w:tcPr>
            <w:tcW w:type="dxa" w:w="1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No</w:t>
            </w:r>
          </w:p>
        </w:tc>
      </w:tr>
      <w:tr>
        <w:tc>
          <w:tcPr>
            <w:tcW w:type="dxa" w:w="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7</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The No Surprises Act &amp; Surprise Billing: Complete Guide</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Emergency billing, out-of-network, balance billing</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Phase 4 — Wave 3</w:t>
            </w:r>
          </w:p>
        </w:tc>
        <w:tc>
          <w:tcPr>
            <w:tcW w:type="dxa" w:w="1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No</w:t>
            </w:r>
          </w:p>
        </w:tc>
      </w:tr>
      <w:tr>
        <w:tc>
          <w:tcPr>
            <w:tcW w:type="dxa" w:w="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8</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Nursing Home Rights &amp; Abuse Reporting: Complete Guide</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Elder care, neglect reporting, ombudsman</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Phase 4 — Wave 3</w:t>
            </w:r>
          </w:p>
        </w:tc>
        <w:tc>
          <w:tcPr>
            <w:tcW w:type="dxa" w:w="1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No</w:t>
            </w:r>
          </w:p>
        </w:tc>
      </w:tr>
      <w:tr>
        <w:tc>
          <w:tcPr>
            <w:tcW w:type="dxa" w:w="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9</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How to File Complaints Against Hospitals &amp; Insurers</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Regulatory complaints, CMS, state agencies</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Phase 4 — Wave 3</w:t>
            </w:r>
          </w:p>
        </w:tc>
        <w:tc>
          <w:tcPr>
            <w:tcW w:type="dxa" w:w="1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No</w:t>
            </w:r>
          </w:p>
        </w:tc>
      </w:tr>
      <w:tr>
        <w:tc>
          <w:tcPr>
            <w:tcW w:type="dxa" w:w="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10</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Hospital Financial Assistance &amp; Charity Care Guide</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Charity care, financial assistance, medical debt</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Phase 4 — Wave 4</w:t>
            </w:r>
          </w:p>
        </w:tc>
        <w:tc>
          <w:tcPr>
            <w:tcW w:type="dxa" w:w="1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No</w:t>
            </w:r>
          </w:p>
        </w:tc>
      </w:tr>
    </w:tbl>
    <w:p>
      <w:pPr>
        <w:spacing w:before="80" w:after="0"/>
      </w:pPr>
      <w:r>
        <w:t xml:space="preserve"/>
      </w:r>
    </w:p>
    <w:p>
      <w:pPr>
        <w:pStyle w:val="Heading2"/>
        <w:spacing w:before="280" w:after="80"/>
      </w:pPr>
      <w:r>
        <w:rPr>
          <w:rFonts w:ascii="Arial" w:cs="Arial" w:eastAsia="Arial" w:hAnsi="Arial"/>
          <w:b/>
          <w:bCs/>
          <w:color w:val="0E7490"/>
          <w:sz w:val="26"/>
          <w:szCs w:val="26"/>
        </w:rPr>
        <w:t xml:space="preserve">Cornerstone Production Standard</w:t>
      </w:r>
    </w:p>
    <w:p>
      <w:pPr>
        <w:spacing w:before="60" w:after="100"/>
      </w:pPr>
      <w:r>
        <w:rPr>
          <w:rFonts w:ascii="Arial" w:cs="Arial" w:eastAsia="Arial" w:hAnsi="Arial"/>
          <w:b w:val="false"/>
          <w:bCs w:val="false"/>
          <w:color w:val="334155"/>
          <w:sz w:val="20"/>
          <w:szCs w:val="20"/>
        </w:rPr>
        <w:t xml:space="preserve">Each cornerstone guide must meet the following minimum specification before publication:</w:t>
      </w:r>
    </w:p>
    <w:p>
      <w:pPr>
        <w:pStyle w:val="ListParagraph"/>
        <w:numPr>
          <w:ilvl w:val="0"/>
          <w:numId w:val="2"/>
        </w:numPr>
        <w:spacing w:before="40" w:after="40"/>
      </w:pPr>
      <w:r>
        <w:rPr>
          <w:rFonts w:ascii="Arial" w:cs="Arial" w:eastAsia="Arial" w:hAnsi="Arial"/>
          <w:color w:val="334155"/>
          <w:sz w:val="20"/>
          <w:szCs w:val="20"/>
        </w:rPr>
        <w:t xml:space="preserve">Word count: 4,000–6,000 words</w:t>
      </w:r>
    </w:p>
    <w:p>
      <w:pPr>
        <w:pStyle w:val="ListParagraph"/>
        <w:numPr>
          <w:ilvl w:val="0"/>
          <w:numId w:val="2"/>
        </w:numPr>
        <w:spacing w:before="40" w:after="40"/>
      </w:pPr>
      <w:r>
        <w:rPr>
          <w:rFonts w:ascii="Arial" w:cs="Arial" w:eastAsia="Arial" w:hAnsi="Arial"/>
          <w:color w:val="334155"/>
          <w:sz w:val="20"/>
          <w:szCs w:val="20"/>
        </w:rPr>
        <w:t xml:space="preserve">Structure: 8–12 named sections with anchor links</w:t>
      </w:r>
    </w:p>
    <w:p>
      <w:pPr>
        <w:pStyle w:val="ListParagraph"/>
        <w:numPr>
          <w:ilvl w:val="0"/>
          <w:numId w:val="2"/>
        </w:numPr>
        <w:spacing w:before="40" w:after="40"/>
      </w:pPr>
      <w:r>
        <w:rPr>
          <w:rFonts w:ascii="Arial" w:cs="Arial" w:eastAsia="Arial" w:hAnsi="Arial"/>
          <w:color w:val="334155"/>
          <w:sz w:val="20"/>
          <w:szCs w:val="20"/>
        </w:rPr>
        <w:t xml:space="preserve">Citations: minimum 5 authoritative government/regulatory sources</w:t>
      </w:r>
    </w:p>
    <w:p>
      <w:pPr>
        <w:pStyle w:val="ListParagraph"/>
        <w:numPr>
          <w:ilvl w:val="0"/>
          <w:numId w:val="2"/>
        </w:numPr>
        <w:spacing w:before="40" w:after="40"/>
      </w:pPr>
      <w:r>
        <w:rPr>
          <w:rFonts w:ascii="Arial" w:cs="Arial" w:eastAsia="Arial" w:hAnsi="Arial"/>
          <w:color w:val="334155"/>
          <w:sz w:val="20"/>
          <w:szCs w:val="20"/>
        </w:rPr>
        <w:t xml:space="preserve">YMYL review: Kate sign-off required (editorial board attribution applied)</w:t>
      </w:r>
    </w:p>
    <w:p>
      <w:pPr>
        <w:pStyle w:val="ListParagraph"/>
        <w:numPr>
          <w:ilvl w:val="0"/>
          <w:numId w:val="2"/>
        </w:numPr>
        <w:spacing w:before="40" w:after="40"/>
      </w:pPr>
      <w:r>
        <w:rPr>
          <w:rFonts w:ascii="Arial" w:cs="Arial" w:eastAsia="Arial" w:hAnsi="Arial"/>
          <w:color w:val="334155"/>
          <w:sz w:val="20"/>
          <w:szCs w:val="20"/>
        </w:rPr>
        <w:t xml:space="preserve">Internal links: minimum 10 links to supporting cluster pages (can be added post-launch as cluster grows)</w:t>
      </w:r>
    </w:p>
    <w:p>
      <w:pPr>
        <w:pStyle w:val="ListParagraph"/>
        <w:numPr>
          <w:ilvl w:val="0"/>
          <w:numId w:val="2"/>
        </w:numPr>
        <w:spacing w:before="40" w:after="40"/>
      </w:pPr>
      <w:r>
        <w:rPr>
          <w:rFonts w:ascii="Arial" w:cs="Arial" w:eastAsia="Arial" w:hAnsi="Arial"/>
          <w:color w:val="334155"/>
          <w:sz w:val="20"/>
          <w:szCs w:val="20"/>
        </w:rPr>
        <w:t xml:space="preserve">Tool CTA: minimum 1 embedded CTA to a live MyAdvocate tool</w:t>
      </w:r>
    </w:p>
    <w:p>
      <w:pPr>
        <w:pStyle w:val="ListParagraph"/>
        <w:numPr>
          <w:ilvl w:val="0"/>
          <w:numId w:val="2"/>
        </w:numPr>
        <w:spacing w:before="40" w:after="40"/>
      </w:pPr>
      <w:r>
        <w:rPr>
          <w:rFonts w:ascii="Arial" w:cs="Arial" w:eastAsia="Arial" w:hAnsi="Arial"/>
          <w:color w:val="334155"/>
          <w:sz w:val="20"/>
          <w:szCs w:val="20"/>
        </w:rPr>
        <w:t xml:space="preserve">GEO formatting: direct-answer block within first 200 words (see Section 9)</w:t>
      </w:r>
    </w:p>
    <w:p>
      <w:pPr>
        <w:pStyle w:val="ListParagraph"/>
        <w:numPr>
          <w:ilvl w:val="0"/>
          <w:numId w:val="2"/>
        </w:numPr>
        <w:spacing w:before="40" w:after="40"/>
      </w:pPr>
      <w:r>
        <w:rPr>
          <w:rFonts w:ascii="Arial" w:cs="Arial" w:eastAsia="Arial" w:hAnsi="Arial"/>
          <w:color w:val="334155"/>
          <w:sz w:val="20"/>
          <w:szCs w:val="20"/>
        </w:rPr>
        <w:t xml:space="preserve">Disclaimer block: scope-of-guidance language, not legal advice</w:t>
      </w:r>
    </w:p>
    <w:p>
      <w:pPr>
        <w:pStyle w:val="ListParagraph"/>
        <w:numPr>
          <w:ilvl w:val="0"/>
          <w:numId w:val="2"/>
        </w:numPr>
        <w:spacing w:before="40" w:after="40"/>
      </w:pPr>
      <w:r>
        <w:rPr>
          <w:rFonts w:ascii="Arial" w:cs="Arial" w:eastAsia="Arial" w:hAnsi="Arial"/>
          <w:color w:val="334155"/>
          <w:sz w:val="20"/>
          <w:szCs w:val="20"/>
        </w:rPr>
        <w:t xml:space="preserve">Review date: published in page metadata and visible on page</w:t>
      </w:r>
    </w:p>
    <w:p>
      <w:pPr>
        <w:spacing w:before="40" w:after="0"/>
      </w:pPr>
      <w:r>
        <w:t xml:space="preserve"/>
      </w:r>
    </w:p>
    <w:p>
      <w:pPr>
        <w:pStyle w:val="Heading2"/>
        <w:spacing w:before="280" w:after="80"/>
      </w:pPr>
      <w:r>
        <w:rPr>
          <w:rFonts w:ascii="Arial" w:cs="Arial" w:eastAsia="Arial" w:hAnsi="Arial"/>
          <w:b/>
          <w:bCs/>
          <w:color w:val="0E7490"/>
          <w:sz w:val="26"/>
          <w:szCs w:val="26"/>
        </w:rPr>
        <w:t xml:space="preserve">Agent Assignment</w:t>
      </w:r>
    </w:p>
    <w:p>
      <w:pPr>
        <w:pBdr>
          <w:left w:val="single" w:color="0E7490" w:sz="12" w:space="6"/>
        </w:pBdr>
        <w:spacing w:before="120" w:after="120"/>
        <w:ind w:left="360"/>
      </w:pPr>
      <w:r>
        <w:rPr>
          <w:rFonts w:ascii="Arial" w:cs="Arial" w:eastAsia="Arial" w:hAnsi="Arial"/>
          <w:b/>
          <w:bCs/>
          <w:color w:val="1B3A6B"/>
          <w:sz w:val="20"/>
          <w:szCs w:val="20"/>
        </w:rPr>
        <w:t xml:space="preserve">SEO Content Agent: </w:t>
      </w:r>
      <w:r>
        <w:rPr>
          <w:rFonts w:ascii="Arial" w:cs="Arial" w:eastAsia="Arial" w:hAnsi="Arial"/>
          <w:color w:val="334155"/>
          <w:sz w:val="20"/>
          <w:szCs w:val="20"/>
        </w:rPr>
        <w:t xml:space="preserve">Responsible for drafting and maintaining cornerstones. Cornerstones are flagged as Tier 3 content requiring highest review level. Kate editorial board sign-off is mandatory before publication.</w:t>
      </w:r>
    </w:p>
    <w:p>
      <w:pPr>
        <w:pBdr>
          <w:left w:val="single" w:color="0E7490" w:sz="12" w:space="6"/>
        </w:pBdr>
        <w:spacing w:before="120" w:after="120"/>
        <w:ind w:left="360"/>
      </w:pPr>
      <w:r>
        <w:rPr>
          <w:rFonts w:ascii="Arial" w:cs="Arial" w:eastAsia="Arial" w:hAnsi="Arial"/>
          <w:b/>
          <w:bCs/>
          <w:color w:val="1B3A6B"/>
          <w:sz w:val="20"/>
          <w:szCs w:val="20"/>
        </w:rPr>
        <w:t xml:space="preserve">Content Refresh Agent: </w:t>
      </w:r>
      <w:r>
        <w:rPr>
          <w:rFonts w:ascii="Arial" w:cs="Arial" w:eastAsia="Arial" w:hAnsi="Arial"/>
          <w:color w:val="334155"/>
          <w:sz w:val="20"/>
          <w:szCs w:val="20"/>
        </w:rPr>
        <w:t xml:space="preserve">Cornerstones are classified as high-sensitivity review. Annual review cycle minimum. Any linked statute or regulatory change triggers immediate re-review queue.</w:t>
      </w:r>
    </w:p>
    <w:p>
      <w:pPr>
        <w:spacing w:before="40" w:after="0"/>
      </w:pPr>
      <w:r>
        <w:t xml:space="preserve"/>
      </w:r>
    </w:p>
    <w:p>
      <w:pPr>
        <w:pStyle w:val="Heading2"/>
        <w:spacing w:before="280" w:after="80"/>
      </w:pPr>
      <w:r>
        <w:rPr>
          <w:rFonts w:ascii="Arial" w:cs="Arial" w:eastAsia="Arial" w:hAnsi="Arial"/>
          <w:b/>
          <w:bCs/>
          <w:color w:val="0E7490"/>
          <w:sz w:val="26"/>
          <w:szCs w:val="26"/>
        </w:rPr>
        <w:t xml:space="preserve">Metrics Tracked</w:t>
      </w:r>
    </w:p>
    <w:p>
      <w:pPr>
        <w:pStyle w:val="ListParagraph"/>
        <w:numPr>
          <w:ilvl w:val="0"/>
          <w:numId w:val="2"/>
        </w:numPr>
        <w:spacing w:before="40" w:after="40"/>
      </w:pPr>
      <w:r>
        <w:rPr>
          <w:rFonts w:ascii="Arial" w:cs="Arial" w:eastAsia="Arial" w:hAnsi="Arial"/>
          <w:color w:val="334155"/>
          <w:sz w:val="20"/>
          <w:szCs w:val="20"/>
        </w:rPr>
        <w:t xml:space="preserve">Cornerstone indexed count (target: 1 at launch, 4 by Month 6, 10 by Month 12)</w:t>
      </w:r>
    </w:p>
    <w:p>
      <w:pPr>
        <w:pStyle w:val="ListParagraph"/>
        <w:numPr>
          <w:ilvl w:val="0"/>
          <w:numId w:val="2"/>
        </w:numPr>
        <w:spacing w:before="40" w:after="40"/>
      </w:pPr>
      <w:r>
        <w:rPr>
          <w:rFonts w:ascii="Arial" w:cs="Arial" w:eastAsia="Arial" w:hAnsi="Arial"/>
          <w:color w:val="334155"/>
          <w:sz w:val="20"/>
          <w:szCs w:val="20"/>
        </w:rPr>
        <w:t xml:space="preserve">Avg. time-on-page for cornerstone guides (target: 4+ minutes)</w:t>
      </w:r>
    </w:p>
    <w:p>
      <w:pPr>
        <w:pStyle w:val="ListParagraph"/>
        <w:numPr>
          <w:ilvl w:val="0"/>
          <w:numId w:val="2"/>
        </w:numPr>
        <w:spacing w:before="40" w:after="40"/>
      </w:pPr>
      <w:r>
        <w:rPr>
          <w:rFonts w:ascii="Arial" w:cs="Arial" w:eastAsia="Arial" w:hAnsi="Arial"/>
          <w:color w:val="334155"/>
          <w:sz w:val="20"/>
          <w:szCs w:val="20"/>
        </w:rPr>
        <w:t xml:space="preserve">Cluster pages per cornerstone (signals topical depth)</w:t>
      </w:r>
    </w:p>
    <w:p>
      <w:pPr>
        <w:pStyle w:val="ListParagraph"/>
        <w:numPr>
          <w:ilvl w:val="0"/>
          <w:numId w:val="2"/>
        </w:numPr>
        <w:spacing w:before="40" w:after="40"/>
      </w:pPr>
      <w:r>
        <w:rPr>
          <w:rFonts w:ascii="Arial" w:cs="Arial" w:eastAsia="Arial" w:hAnsi="Arial"/>
          <w:color w:val="334155"/>
          <w:sz w:val="20"/>
          <w:szCs w:val="20"/>
        </w:rPr>
        <w:t xml:space="preserve">Backlinks pointing to cornerstone URLs (primary authority signal)</w:t>
      </w:r>
    </w:p>
    <w:p>
      <w:pPr>
        <w:spacing w:before="40" w:after="0"/>
      </w:pPr>
      <w:r>
        <w:t xml:space="preserve"/>
      </w:r>
    </w:p>
    <w:p>
      <w:pPr>
        <w:pStyle w:val="Heading2"/>
        <w:spacing w:before="280" w:after="80"/>
      </w:pPr>
      <w:r>
        <w:rPr>
          <w:rFonts w:ascii="Arial" w:cs="Arial" w:eastAsia="Arial" w:hAnsi="Arial"/>
          <w:b/>
          <w:bCs/>
          <w:color w:val="0E7490"/>
          <w:sz w:val="26"/>
          <w:szCs w:val="26"/>
        </w:rPr>
        <w:t xml:space="preserve">Gamification Integration</w:t>
      </w:r>
    </w:p>
    <w:tbl>
      <w:tblPr>
        <w:tblW w:type="dxa" w:w="9360"/>
      </w:tblPr>
      <w:tblGrid>
        <w:gridCol w:w="2200"/>
        <w:gridCol w:w="2200"/>
        <w:gridCol w:w="2480"/>
        <w:gridCol w:w="2480"/>
      </w:tblGrid>
      <w:tr>
        <w:tc>
          <w:tcPr>
            <w:tcW w:type="dxa" w:w="22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22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XP Type</w:t>
            </w:r>
          </w:p>
        </w:tc>
        <w:tc>
          <w:tcPr>
            <w:tcW w:type="dxa" w:w="248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XP Value</w:t>
            </w:r>
          </w:p>
        </w:tc>
        <w:tc>
          <w:tcPr>
            <w:tcW w:type="dxa" w:w="248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Achievement</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Phase 1 cornerstone live at launch</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Build XP</w:t>
            </w:r>
          </w:p>
        </w:tc>
        <w:tc>
          <w:tcPr>
            <w:tcW w:type="dxa" w:w="24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+400 XP</w:t>
            </w:r>
          </w:p>
        </w:tc>
        <w:tc>
          <w:tcPr>
            <w:tcW w:type="dxa" w:w="24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Foundation Stone</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Each additional cornerstone published</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Compounding XP</w:t>
            </w:r>
          </w:p>
        </w:tc>
        <w:tc>
          <w:tcPr>
            <w:tcW w:type="dxa" w:w="24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+150 XP each</w:t>
            </w:r>
          </w:p>
        </w:tc>
        <w:tc>
          <w:tcPr>
            <w:tcW w:type="dxa" w:w="24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Full Wave 1 complete (3 cornerstones)</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Milestone</w:t>
            </w:r>
          </w:p>
        </w:tc>
        <w:tc>
          <w:tcPr>
            <w:tcW w:type="dxa" w:w="24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+500 XP</w:t>
            </w:r>
          </w:p>
        </w:tc>
        <w:tc>
          <w:tcPr>
            <w:tcW w:type="dxa" w:w="24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Pillar Builder</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All 10 cornerstones live</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Signal XP</w:t>
            </w:r>
          </w:p>
        </w:tc>
        <w:tc>
          <w:tcPr>
            <w:tcW w:type="dxa" w:w="24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+1,200 XP</w:t>
            </w:r>
          </w:p>
        </w:tc>
        <w:tc>
          <w:tcPr>
            <w:tcW w:type="dxa" w:w="24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Authority Architect</w:t>
            </w:r>
          </w:p>
        </w:tc>
      </w:tr>
    </w:tbl>
    <w:p>
      <w:pPr>
        <w:spacing w:before="40" w:after="0"/>
      </w:pPr>
      <w:r>
        <w:t xml:space="preserve"/>
      </w:r>
    </w:p>
    <w:p>
      <w:r>
        <w:br w:type="page"/>
      </w:r>
    </w:p>
    <w:p>
      <w:pPr>
        <w:pStyle w:val="Heading1"/>
        <w:pBdr>
          <w:bottom w:val="single" w:color="0E7490" w:sz="6" w:space="1"/>
        </w:pBdr>
        <w:spacing w:before="360" w:after="120"/>
      </w:pPr>
      <w:r>
        <w:rPr>
          <w:rFonts w:ascii="Arial" w:cs="Arial" w:eastAsia="Arial" w:hAnsi="Arial"/>
          <w:b/>
          <w:bCs/>
          <w:color w:val="1B3A6B"/>
          <w:sz w:val="32"/>
          <w:szCs w:val="32"/>
        </w:rPr>
        <w:t xml:space="preserve">Section 2 — Anonymous Site Infrastructure &amp; Trust Pages</w:t>
      </w:r>
    </w:p>
    <w:p>
      <w:pPr>
        <w:pStyle w:val="Heading2"/>
        <w:spacing w:before="280" w:after="80"/>
      </w:pPr>
      <w:r>
        <w:rPr>
          <w:rFonts w:ascii="Arial" w:cs="Arial" w:eastAsia="Arial" w:hAnsi="Arial"/>
          <w:b/>
          <w:bCs/>
          <w:color w:val="0E7490"/>
          <w:sz w:val="26"/>
          <w:szCs w:val="26"/>
        </w:rPr>
        <w:t xml:space="preserve">Strategic Context</w:t>
      </w:r>
    </w:p>
    <w:p>
      <w:pPr>
        <w:spacing w:before="60" w:after="100"/>
      </w:pPr>
      <w:r>
        <w:rPr>
          <w:rFonts w:ascii="Arial" w:cs="Arial" w:eastAsia="Arial" w:hAnsi="Arial"/>
          <w:b w:val="false"/>
          <w:bCs w:val="false"/>
          <w:color w:val="334155"/>
          <w:sz w:val="20"/>
          <w:szCs w:val="20"/>
        </w:rPr>
        <w:t xml:space="preserve">Sarsh and Kate have elected to remain anonymous. This is a legitimate and defensible choice, but it requires a deliberate infrastructure strategy. Google's E-E-A-T framework expects trust signals. The solution is institutional attribution: the MyAdvocate brand and Editorial Board carry the authority, not named individuals. This section defines exactly what pages must exist, what they say, and what they must never say.</w:t>
      </w:r>
    </w:p>
    <w:p>
      <w:pPr>
        <w:pStyle w:val="Heading2"/>
        <w:spacing w:before="280" w:after="80"/>
      </w:pPr>
      <w:r>
        <w:rPr>
          <w:rFonts w:ascii="Arial" w:cs="Arial" w:eastAsia="Arial" w:hAnsi="Arial"/>
          <w:b/>
          <w:bCs/>
          <w:color w:val="0E7490"/>
          <w:sz w:val="26"/>
          <w:szCs w:val="26"/>
        </w:rPr>
        <w:t xml:space="preserve">Phase 1 Launch Gate Status</w:t>
      </w:r>
    </w:p>
    <w:p>
      <w:pPr>
        <w:pBdr>
          <w:left w:val="single" w:color="0E7490" w:sz="12" w:space="6"/>
        </w:pBdr>
        <w:spacing w:before="120" w:after="120"/>
        <w:ind w:left="360"/>
      </w:pPr>
      <w:r>
        <w:rPr>
          <w:rFonts w:ascii="Arial" w:cs="Arial" w:eastAsia="Arial" w:hAnsi="Arial"/>
          <w:b/>
          <w:bCs/>
          <w:color w:val="1B3A6B"/>
          <w:sz w:val="20"/>
          <w:szCs w:val="20"/>
        </w:rPr>
        <w:t xml:space="preserve">Launch Blocker: </w:t>
      </w:r>
      <w:r>
        <w:rPr>
          <w:rFonts w:ascii="Arial" w:cs="Arial" w:eastAsia="Arial" w:hAnsi="Arial"/>
          <w:color w:val="334155"/>
          <w:sz w:val="20"/>
          <w:szCs w:val="20"/>
        </w:rPr>
        <w:t xml:space="preserve">All trust infrastructure pages below must be live before launch. These are non-negotiable E-E-A-T requirements. Missing pages actively suppress search rankings for YMYL content.</w:t>
      </w:r>
    </w:p>
    <w:p>
      <w:pPr>
        <w:spacing w:before="40" w:after="0"/>
      </w:pPr>
      <w:r>
        <w:t xml:space="preserve"/>
      </w:r>
    </w:p>
    <w:p>
      <w:pPr>
        <w:pStyle w:val="Heading2"/>
        <w:spacing w:before="280" w:after="80"/>
      </w:pPr>
      <w:r>
        <w:rPr>
          <w:rFonts w:ascii="Arial" w:cs="Arial" w:eastAsia="Arial" w:hAnsi="Arial"/>
          <w:b/>
          <w:bCs/>
          <w:color w:val="0E7490"/>
          <w:sz w:val="26"/>
          <w:szCs w:val="26"/>
        </w:rPr>
        <w:t xml:space="preserve">Required Trust Infrastructure Pages</w:t>
      </w:r>
    </w:p>
    <w:p>
      <w:pPr>
        <w:spacing w:before="40" w:after="0"/>
      </w:pPr>
      <w:r>
        <w:t xml:space="preserve"/>
      </w:r>
    </w:p>
    <w:tbl>
      <w:tblPr>
        <w:tblW w:type="dxa" w:w="9360"/>
      </w:tblPr>
      <w:tblGrid>
        <w:gridCol w:w="2200"/>
        <w:gridCol w:w="3200"/>
        <w:gridCol w:w="3960"/>
      </w:tblGrid>
      <w:tr>
        <w:tc>
          <w:tcPr>
            <w:tcW w:type="dxa" w:w="22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Page</w:t>
            </w:r>
          </w:p>
        </w:tc>
        <w:tc>
          <w:tcPr>
            <w:tcW w:type="dxa" w:w="32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39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Anonymous-Safe Approach</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About MyAdvocate</w:t>
            </w:r>
          </w:p>
        </w:tc>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Brand story, mission, why we exist</w:t>
            </w:r>
          </w:p>
        </w:tc>
        <w:tc>
          <w:tcPr>
            <w:tcW w:type="dxa" w:w="3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Institutional voice. Mission-driven. No founder names. Focus on 'our team of advocates.'</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How MyAdvocate Works</w:t>
            </w:r>
          </w:p>
        </w:tc>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Platform explanation, process transparency</w:t>
            </w:r>
          </w:p>
        </w:tc>
        <w:tc>
          <w:tcPr>
            <w:tcW w:type="dxa" w:w="3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Functional description of the tools and review process. No personal attribution needed.</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Editorial Standards</w:t>
            </w:r>
          </w:p>
        </w:tc>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Defines how content is produced and reviewed</w:t>
            </w:r>
          </w:p>
        </w:tc>
        <w:tc>
          <w:tcPr>
            <w:tcW w:type="dxa" w:w="3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References Editorial Board process. States that all healthcare content is reviewed by licensed professionals. No names.</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Medical Review Policy</w:t>
            </w:r>
          </w:p>
        </w:tc>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Explains clinical review process</w:t>
            </w:r>
          </w:p>
        </w:tc>
        <w:tc>
          <w:tcPr>
            <w:tcW w:type="dxa" w:w="3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States: 'All clinical content is reviewed by a licensed medical professional with over 20 years of healthcare experience.' No name required.</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Sources &amp; Citations Policy</w:t>
            </w:r>
          </w:p>
        </w:tc>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Lists authoritative sources used</w:t>
            </w:r>
          </w:p>
        </w:tc>
        <w:tc>
          <w:tcPr>
            <w:tcW w:type="dxa" w:w="3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Institutional. Lists CMS, HHS, state regulators, AMA, etc. No author attribution needed.</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Disclaimer &amp; Scope of Guidance</w:t>
            </w:r>
          </w:p>
        </w:tc>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Legal protection, YMYL compliance</w:t>
            </w:r>
          </w:p>
        </w:tc>
        <w:tc>
          <w:tcPr>
            <w:tcW w:type="dxa" w:w="3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Clear statement: MyAdvocate provides advocacy guidance, not legal or medical advice.</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Privacy Policy</w:t>
            </w:r>
          </w:p>
        </w:tc>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Legal requirement + trust signal</w:t>
            </w:r>
          </w:p>
        </w:tc>
        <w:tc>
          <w:tcPr>
            <w:tcW w:type="dxa" w:w="3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Standard privacy policy. Must reference 4-layer privacy architecture in plain language.</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Terms of Service</w:t>
            </w:r>
          </w:p>
        </w:tc>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Legal requirement</w:t>
            </w:r>
          </w:p>
        </w:tc>
        <w:tc>
          <w:tcPr>
            <w:tcW w:type="dxa" w:w="3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Standard ToS. Attorney review required before launch (existing requirement).</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Contact / Support</w:t>
            </w:r>
          </w:p>
        </w:tc>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Legitimacy signal</w:t>
            </w:r>
          </w:p>
        </w:tc>
        <w:tc>
          <w:tcPr>
            <w:tcW w:type="dxa" w:w="3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Support email or form only. No physical address required. No personal names.</w:t>
            </w:r>
          </w:p>
        </w:tc>
      </w:tr>
    </w:tbl>
    <w:p>
      <w:pPr>
        <w:spacing w:before="80" w:after="0"/>
      </w:pPr>
      <w:r>
        <w:t xml:space="preserve"/>
      </w:r>
    </w:p>
    <w:p>
      <w:pPr>
        <w:pStyle w:val="Heading2"/>
        <w:spacing w:before="280" w:after="80"/>
      </w:pPr>
      <w:r>
        <w:rPr>
          <w:rFonts w:ascii="Arial" w:cs="Arial" w:eastAsia="Arial" w:hAnsi="Arial"/>
          <w:b/>
          <w:bCs/>
          <w:color w:val="0E7490"/>
          <w:sz w:val="26"/>
          <w:szCs w:val="26"/>
        </w:rPr>
        <w:t xml:space="preserve">Anonymous-Safe Content Rules</w:t>
      </w:r>
    </w:p>
    <w:p>
      <w:pPr>
        <w:spacing w:before="60" w:after="100"/>
      </w:pPr>
      <w:r>
        <w:rPr>
          <w:rFonts w:ascii="Arial" w:cs="Arial" w:eastAsia="Arial" w:hAnsi="Arial"/>
          <w:b w:val="false"/>
          <w:bCs w:val="false"/>
          <w:color w:val="334155"/>
          <w:sz w:val="20"/>
          <w:szCs w:val="20"/>
        </w:rPr>
        <w:t xml:space="preserve">Every trust page must follow these rules when drafted:</w:t>
      </w:r>
    </w:p>
    <w:p>
      <w:pPr>
        <w:pStyle w:val="ListParagraph"/>
        <w:numPr>
          <w:ilvl w:val="0"/>
          <w:numId w:val="2"/>
        </w:numPr>
        <w:spacing w:before="40" w:after="40"/>
      </w:pPr>
      <w:r>
        <w:rPr>
          <w:rFonts w:ascii="Arial" w:cs="Arial" w:eastAsia="Arial" w:hAnsi="Arial"/>
          <w:color w:val="334155"/>
          <w:sz w:val="20"/>
          <w:szCs w:val="20"/>
        </w:rPr>
        <w:t xml:space="preserve">NEVER reference Sarsh or Kate by name in any public-facing content</w:t>
      </w:r>
    </w:p>
    <w:p>
      <w:pPr>
        <w:pStyle w:val="ListParagraph"/>
        <w:numPr>
          <w:ilvl w:val="0"/>
          <w:numId w:val="2"/>
        </w:numPr>
        <w:spacing w:before="40" w:after="40"/>
      </w:pPr>
      <w:r>
        <w:rPr>
          <w:rFonts w:ascii="Arial" w:cs="Arial" w:eastAsia="Arial" w:hAnsi="Arial"/>
          <w:color w:val="334155"/>
          <w:sz w:val="20"/>
          <w:szCs w:val="20"/>
        </w:rPr>
        <w:t xml:space="preserve">ALWAYS use institutional language: 'the MyAdvocate team', 'our editorial board', 'our licensed healthcare reviewer'</w:t>
      </w:r>
    </w:p>
    <w:p>
      <w:pPr>
        <w:pStyle w:val="ListParagraph"/>
        <w:numPr>
          <w:ilvl w:val="0"/>
          <w:numId w:val="2"/>
        </w:numPr>
        <w:spacing w:before="40" w:after="40"/>
      </w:pPr>
      <w:r>
        <w:rPr>
          <w:rFonts w:ascii="Arial" w:cs="Arial" w:eastAsia="Arial" w:hAnsi="Arial"/>
          <w:color w:val="334155"/>
          <w:sz w:val="20"/>
          <w:szCs w:val="20"/>
        </w:rPr>
        <w:t xml:space="preserve">NEVER include a physical address — a support email is sufficient for E-E-A-T purposes</w:t>
      </w:r>
    </w:p>
    <w:p>
      <w:pPr>
        <w:pStyle w:val="ListParagraph"/>
        <w:numPr>
          <w:ilvl w:val="0"/>
          <w:numId w:val="2"/>
        </w:numPr>
        <w:spacing w:before="40" w:after="40"/>
      </w:pPr>
      <w:r>
        <w:rPr>
          <w:rFonts w:ascii="Arial" w:cs="Arial" w:eastAsia="Arial" w:hAnsi="Arial"/>
          <w:color w:val="334155"/>
          <w:sz w:val="20"/>
          <w:szCs w:val="20"/>
        </w:rPr>
        <w:t xml:space="preserve">NEVER include personal social profiles or bios that could be traced to founders</w:t>
      </w:r>
    </w:p>
    <w:p>
      <w:pPr>
        <w:pStyle w:val="ListParagraph"/>
        <w:numPr>
          <w:ilvl w:val="0"/>
          <w:numId w:val="2"/>
        </w:numPr>
        <w:spacing w:before="40" w:after="40"/>
      </w:pPr>
      <w:r>
        <w:rPr>
          <w:rFonts w:ascii="Arial" w:cs="Arial" w:eastAsia="Arial" w:hAnsi="Arial"/>
          <w:color w:val="334155"/>
          <w:sz w:val="20"/>
          <w:szCs w:val="20"/>
        </w:rPr>
        <w:t xml:space="preserve">ALWAYS include a founding mission statement in institutional voice</w:t>
      </w:r>
    </w:p>
    <w:p>
      <w:pPr>
        <w:pStyle w:val="ListParagraph"/>
        <w:numPr>
          <w:ilvl w:val="0"/>
          <w:numId w:val="2"/>
        </w:numPr>
        <w:spacing w:before="40" w:after="40"/>
      </w:pPr>
      <w:r>
        <w:rPr>
          <w:rFonts w:ascii="Arial" w:cs="Arial" w:eastAsia="Arial" w:hAnsi="Arial"/>
          <w:color w:val="334155"/>
          <w:sz w:val="20"/>
          <w:szCs w:val="20"/>
        </w:rPr>
        <w:t xml:space="preserve">ALWAYS include the editorial board attribution on every published article (see Section 3)</w:t>
      </w:r>
    </w:p>
    <w:p>
      <w:pPr>
        <w:spacing w:before="40" w:after="0"/>
      </w:pPr>
      <w:r>
        <w:t xml:space="preserve"/>
      </w:r>
    </w:p>
    <w:p>
      <w:pPr>
        <w:pStyle w:val="Heading2"/>
        <w:spacing w:before="280" w:after="80"/>
      </w:pPr>
      <w:r>
        <w:rPr>
          <w:rFonts w:ascii="Arial" w:cs="Arial" w:eastAsia="Arial" w:hAnsi="Arial"/>
          <w:b/>
          <w:bCs/>
          <w:color w:val="0E7490"/>
          <w:sz w:val="26"/>
          <w:szCs w:val="26"/>
        </w:rPr>
        <w:t xml:space="preserve">Content That Can Exist Without Doxxing</w:t>
      </w:r>
    </w:p>
    <w:p>
      <w:pPr>
        <w:pBdr>
          <w:left w:val="single" w:color="0E7490" w:sz="12" w:space="6"/>
        </w:pBdr>
        <w:spacing w:before="120" w:after="120"/>
        <w:ind w:left="360"/>
      </w:pPr>
      <w:r>
        <w:rPr>
          <w:rFonts w:ascii="Arial" w:cs="Arial" w:eastAsia="Arial" w:hAnsi="Arial"/>
          <w:b/>
          <w:bCs/>
          <w:color w:val="1B3A6B"/>
          <w:sz w:val="20"/>
          <w:szCs w:val="20"/>
        </w:rPr>
        <w:t xml:space="preserve">Allowed: </w:t>
      </w:r>
      <w:r>
        <w:rPr>
          <w:rFonts w:ascii="Arial" w:cs="Arial" w:eastAsia="Arial" w:hAnsi="Arial"/>
          <w:color w:val="334155"/>
          <w:sz w:val="20"/>
          <w:szCs w:val="20"/>
        </w:rPr>
        <w:t xml:space="preserve">References to the founding of the platform, the mission, the team's collective experience in healthcare navigation, the platform's review process, and the clinical expertise of the editorial board — all without naming individuals.</w:t>
      </w:r>
    </w:p>
    <w:p>
      <w:pPr>
        <w:pBdr>
          <w:left w:val="single" w:color="0E7490" w:sz="12" w:space="6"/>
        </w:pBdr>
        <w:spacing w:before="120" w:after="120"/>
        <w:ind w:left="360"/>
      </w:pPr>
      <w:r>
        <w:rPr>
          <w:rFonts w:ascii="Arial" w:cs="Arial" w:eastAsia="Arial" w:hAnsi="Arial"/>
          <w:b/>
          <w:bCs/>
          <w:color w:val="1B3A6B"/>
          <w:sz w:val="20"/>
          <w:szCs w:val="20"/>
        </w:rPr>
        <w:t xml:space="preserve">Not Allowed: </w:t>
      </w:r>
      <w:r>
        <w:rPr>
          <w:rFonts w:ascii="Arial" w:cs="Arial" w:eastAsia="Arial" w:hAnsi="Arial"/>
          <w:color w:val="334155"/>
          <w:sz w:val="20"/>
          <w:szCs w:val="20"/>
        </w:rPr>
        <w:t xml:space="preserve">Founder names, bios linking to personal social accounts, location-specific information, photos that could identify founders, or any language that could de-anonymize either founder.</w:t>
      </w:r>
    </w:p>
    <w:p>
      <w:pPr>
        <w:spacing w:before="40" w:after="0"/>
      </w:pPr>
      <w:r>
        <w:t xml:space="preserve"/>
      </w:r>
    </w:p>
    <w:p>
      <w:pPr>
        <w:pStyle w:val="Heading2"/>
        <w:spacing w:before="280" w:after="80"/>
      </w:pPr>
      <w:r>
        <w:rPr>
          <w:rFonts w:ascii="Arial" w:cs="Arial" w:eastAsia="Arial" w:hAnsi="Arial"/>
          <w:b/>
          <w:bCs/>
          <w:color w:val="0E7490"/>
          <w:sz w:val="26"/>
          <w:szCs w:val="26"/>
        </w:rPr>
        <w:t xml:space="preserve">Schema Markup for Anonymous Institutional Attribution</w:t>
      </w:r>
    </w:p>
    <w:p>
      <w:pPr>
        <w:spacing w:before="60" w:after="100"/>
      </w:pPr>
      <w:r>
        <w:rPr>
          <w:rFonts w:ascii="Arial" w:cs="Arial" w:eastAsia="Arial" w:hAnsi="Arial"/>
          <w:b w:val="false"/>
          <w:bCs w:val="false"/>
          <w:color w:val="334155"/>
          <w:sz w:val="20"/>
          <w:szCs w:val="20"/>
        </w:rPr>
        <w:t xml:space="preserve">Site schema should use Organization type (not Person type) to signal institutional authority to search engines without requiring individual attribution. The MyAdvocate Editorial Board should be referenced as the review entity in article schema.</w:t>
      </w:r>
    </w:p>
    <w:p>
      <w:pPr>
        <w:spacing w:before="40" w:after="0"/>
      </w:pPr>
      <w:r>
        <w:t xml:space="preserve"/>
      </w:r>
    </w:p>
    <w:p>
      <w:pPr>
        <w:pStyle w:val="Heading2"/>
        <w:spacing w:before="280" w:after="80"/>
      </w:pPr>
      <w:r>
        <w:rPr>
          <w:rFonts w:ascii="Arial" w:cs="Arial" w:eastAsia="Arial" w:hAnsi="Arial"/>
          <w:b/>
          <w:bCs/>
          <w:color w:val="0E7490"/>
          <w:sz w:val="26"/>
          <w:szCs w:val="26"/>
        </w:rPr>
        <w:t xml:space="preserve">Agent Assignment</w:t>
      </w:r>
    </w:p>
    <w:p>
      <w:pPr>
        <w:pBdr>
          <w:left w:val="single" w:color="0E7490" w:sz="12" w:space="6"/>
        </w:pBdr>
        <w:spacing w:before="120" w:after="120"/>
        <w:ind w:left="360"/>
      </w:pPr>
      <w:r>
        <w:rPr>
          <w:rFonts w:ascii="Arial" w:cs="Arial" w:eastAsia="Arial" w:hAnsi="Arial"/>
          <w:b/>
          <w:bCs/>
          <w:color w:val="1B3A6B"/>
          <w:sz w:val="20"/>
          <w:szCs w:val="20"/>
        </w:rPr>
        <w:t xml:space="preserve">Content Agent: </w:t>
      </w:r>
      <w:r>
        <w:rPr>
          <w:rFonts w:ascii="Arial" w:cs="Arial" w:eastAsia="Arial" w:hAnsi="Arial"/>
          <w:color w:val="334155"/>
          <w:sz w:val="20"/>
          <w:szCs w:val="20"/>
        </w:rPr>
        <w:t xml:space="preserve">All content drafts must include trust page cross-reference check. No article publishes without editorial board attribution block. Trust pages are flagged as permanent Tier 3 — highest refresh priority.</w:t>
      </w:r>
    </w:p>
    <w:p>
      <w:pPr>
        <w:spacing w:before="40" w:after="0"/>
      </w:pPr>
      <w:r>
        <w:t xml:space="preserve"/>
      </w:r>
    </w:p>
    <w:p>
      <w:pPr>
        <w:pStyle w:val="Heading2"/>
        <w:spacing w:before="280" w:after="80"/>
      </w:pPr>
      <w:r>
        <w:rPr>
          <w:rFonts w:ascii="Arial" w:cs="Arial" w:eastAsia="Arial" w:hAnsi="Arial"/>
          <w:b/>
          <w:bCs/>
          <w:color w:val="0E7490"/>
          <w:sz w:val="26"/>
          <w:szCs w:val="26"/>
        </w:rPr>
        <w:t xml:space="preserve">Metrics Tracked</w:t>
      </w:r>
    </w:p>
    <w:p>
      <w:pPr>
        <w:pStyle w:val="ListParagraph"/>
        <w:numPr>
          <w:ilvl w:val="0"/>
          <w:numId w:val="2"/>
        </w:numPr>
        <w:spacing w:before="40" w:after="40"/>
      </w:pPr>
      <w:r>
        <w:rPr>
          <w:rFonts w:ascii="Arial" w:cs="Arial" w:eastAsia="Arial" w:hAnsi="Arial"/>
          <w:color w:val="334155"/>
          <w:sz w:val="20"/>
          <w:szCs w:val="20"/>
        </w:rPr>
        <w:t xml:space="preserve">Trust page completion status (launch gate — all 9 must be live)</w:t>
      </w:r>
    </w:p>
    <w:p>
      <w:pPr>
        <w:pStyle w:val="ListParagraph"/>
        <w:numPr>
          <w:ilvl w:val="0"/>
          <w:numId w:val="2"/>
        </w:numPr>
        <w:spacing w:before="40" w:after="40"/>
      </w:pPr>
      <w:r>
        <w:rPr>
          <w:rFonts w:ascii="Arial" w:cs="Arial" w:eastAsia="Arial" w:hAnsi="Arial"/>
          <w:color w:val="334155"/>
          <w:sz w:val="20"/>
          <w:szCs w:val="20"/>
        </w:rPr>
        <w:t xml:space="preserve">Trust page traffic (low expected; these pages signal legitimacy to Google's crawlers, not users)</w:t>
      </w:r>
    </w:p>
    <w:p>
      <w:pPr>
        <w:pStyle w:val="ListParagraph"/>
        <w:numPr>
          <w:ilvl w:val="0"/>
          <w:numId w:val="2"/>
        </w:numPr>
        <w:spacing w:before="40" w:after="40"/>
      </w:pPr>
      <w:r>
        <w:rPr>
          <w:rFonts w:ascii="Arial" w:cs="Arial" w:eastAsia="Arial" w:hAnsi="Arial"/>
          <w:color w:val="334155"/>
          <w:sz w:val="20"/>
          <w:szCs w:val="20"/>
        </w:rPr>
        <w:t xml:space="preserve">Google Search Console: manual actions or quality warnings (monitored monthly)</w:t>
      </w:r>
    </w:p>
    <w:p>
      <w:pPr>
        <w:spacing w:before="40" w:after="0"/>
      </w:pPr>
      <w:r>
        <w:t xml:space="preserve"/>
      </w:r>
    </w:p>
    <w:p>
      <w:pPr>
        <w:pStyle w:val="Heading2"/>
        <w:spacing w:before="280" w:after="80"/>
      </w:pPr>
      <w:r>
        <w:rPr>
          <w:rFonts w:ascii="Arial" w:cs="Arial" w:eastAsia="Arial" w:hAnsi="Arial"/>
          <w:b/>
          <w:bCs/>
          <w:color w:val="0E7490"/>
          <w:sz w:val="26"/>
          <w:szCs w:val="26"/>
        </w:rPr>
        <w:t xml:space="preserve">Gamification Integration</w:t>
      </w:r>
    </w:p>
    <w:tbl>
      <w:tblPr>
        <w:tblW w:type="dxa" w:w="9360"/>
      </w:tblPr>
      <w:tblGrid>
        <w:gridCol w:w="3200"/>
        <w:gridCol w:w="2000"/>
        <w:gridCol w:w="4160"/>
      </w:tblGrid>
      <w:tr>
        <w:tc>
          <w:tcPr>
            <w:tcW w:type="dxa" w:w="32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2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XP Type</w:t>
            </w:r>
          </w:p>
        </w:tc>
        <w:tc>
          <w:tcPr>
            <w:tcW w:type="dxa" w:w="41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XP + Achievement</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All 9 trust pages live at launch</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Build XP</w:t>
            </w:r>
          </w:p>
        </w:tc>
        <w:tc>
          <w:tcPr>
            <w:tcW w:type="dxa" w:w="4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+350 XP | Achievement: Institutional Foundation</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Privacy policy + ToS live with attorney review</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Build XP</w:t>
            </w:r>
          </w:p>
        </w:tc>
        <w:tc>
          <w:tcPr>
            <w:tcW w:type="dxa" w:w="4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+200 XP (existing requirement)</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Schema markup implemented site-wide</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Build XP</w:t>
            </w:r>
          </w:p>
        </w:tc>
        <w:tc>
          <w:tcPr>
            <w:tcW w:type="dxa" w:w="4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+150 XP</w:t>
            </w:r>
          </w:p>
        </w:tc>
      </w:tr>
    </w:tbl>
    <w:p>
      <w:pPr>
        <w:spacing w:before="40" w:after="0"/>
      </w:pPr>
      <w:r>
        <w:t xml:space="preserve"/>
      </w:r>
    </w:p>
    <w:p>
      <w:r>
        <w:br w:type="page"/>
      </w:r>
    </w:p>
    <w:p>
      <w:pPr>
        <w:pStyle w:val="Heading1"/>
        <w:pBdr>
          <w:bottom w:val="single" w:color="0E7490" w:sz="6" w:space="1"/>
        </w:pBdr>
        <w:spacing w:before="360" w:after="120"/>
      </w:pPr>
      <w:r>
        <w:rPr>
          <w:rFonts w:ascii="Arial" w:cs="Arial" w:eastAsia="Arial" w:hAnsi="Arial"/>
          <w:b/>
          <w:bCs/>
          <w:color w:val="1B3A6B"/>
          <w:sz w:val="32"/>
          <w:szCs w:val="32"/>
        </w:rPr>
        <w:t xml:space="preserve">Section 3 — Editorial Board Attribution Model</w:t>
      </w:r>
    </w:p>
    <w:p>
      <w:pPr>
        <w:pStyle w:val="Heading2"/>
        <w:spacing w:before="280" w:after="80"/>
      </w:pPr>
      <w:r>
        <w:rPr>
          <w:rFonts w:ascii="Arial" w:cs="Arial" w:eastAsia="Arial" w:hAnsi="Arial"/>
          <w:b/>
          <w:bCs/>
          <w:color w:val="0E7490"/>
          <w:sz w:val="26"/>
          <w:szCs w:val="26"/>
        </w:rPr>
        <w:t xml:space="preserve">Strategic Context</w:t>
      </w:r>
    </w:p>
    <w:p>
      <w:pPr>
        <w:spacing w:before="60" w:after="100"/>
      </w:pPr>
      <w:r>
        <w:rPr>
          <w:rFonts w:ascii="Arial" w:cs="Arial" w:eastAsia="Arial" w:hAnsi="Arial"/>
          <w:b w:val="false"/>
          <w:bCs w:val="false"/>
          <w:color w:val="334155"/>
          <w:sz w:val="20"/>
          <w:szCs w:val="20"/>
        </w:rPr>
        <w:t xml:space="preserve">Every published article requires a reviewer attribution block that satisfies Google's E-E-A-T requirements without doxxing Kate or Sarsh. The solution is the MyAdvocate Editorial Board — an institutional construct that carries real credibility (a licensed medical professional with 20+ years of healthcare experience) while protecting individual identities.</w:t>
      </w:r>
    </w:p>
    <w:p>
      <w:pPr>
        <w:pStyle w:val="Heading2"/>
        <w:spacing w:before="280" w:after="80"/>
      </w:pPr>
      <w:r>
        <w:rPr>
          <w:rFonts w:ascii="Arial" w:cs="Arial" w:eastAsia="Arial" w:hAnsi="Arial"/>
          <w:b/>
          <w:bCs/>
          <w:color w:val="0E7490"/>
          <w:sz w:val="26"/>
          <w:szCs w:val="26"/>
        </w:rPr>
        <w:t xml:space="preserve">Official Attribution Statement</w:t>
      </w:r>
    </w:p>
    <w:p>
      <w:pPr>
        <w:pBdr>
          <w:top w:val="single" w:color="0E7490" w:sz="6" w:space="4"/>
          <w:bottom w:val="single" w:color="0E7490" w:sz="6" w:space="4"/>
          <w:left w:val="single" w:color="0E7490" w:sz="6" w:space="4"/>
          <w:right w:val="single" w:color="0E7490" w:sz="6" w:space="4"/>
        </w:pBdr>
        <w:spacing w:before="120" w:after="120"/>
        <w:ind w:left="720" w:right="720"/>
      </w:pPr>
      <w:r>
        <w:rPr>
          <w:rFonts w:ascii="Arial" w:cs="Arial" w:eastAsia="Arial" w:hAnsi="Arial"/>
          <w:color w:val="1B3A6B"/>
          <w:sz w:val="20"/>
          <w:szCs w:val="20"/>
        </w:rPr>
        <w:t xml:space="preserve">Reviewed by the MyAdvocate Editorial Board, which includes a licensed medical professional with over 20 years of clinical healthcare experience.</w:t>
      </w:r>
    </w:p>
    <w:p>
      <w:pPr>
        <w:spacing w:before="60" w:after="0"/>
      </w:pPr>
      <w:r>
        <w:t xml:space="preserve"/>
      </w:r>
    </w:p>
    <w:p>
      <w:pPr>
        <w:pStyle w:val="Heading2"/>
        <w:spacing w:before="280" w:after="80"/>
      </w:pPr>
      <w:r>
        <w:rPr>
          <w:rFonts w:ascii="Arial" w:cs="Arial" w:eastAsia="Arial" w:hAnsi="Arial"/>
          <w:b/>
          <w:bCs/>
          <w:color w:val="0E7490"/>
          <w:sz w:val="26"/>
          <w:szCs w:val="26"/>
        </w:rPr>
        <w:t xml:space="preserve">Attribution Placement Rules</w:t>
      </w:r>
    </w:p>
    <w:p>
      <w:pPr>
        <w:pStyle w:val="ListParagraph"/>
        <w:numPr>
          <w:ilvl w:val="0"/>
          <w:numId w:val="2"/>
        </w:numPr>
        <w:spacing w:before="40" w:after="40"/>
      </w:pPr>
      <w:r>
        <w:rPr>
          <w:rFonts w:ascii="Arial" w:cs="Arial" w:eastAsia="Arial" w:hAnsi="Arial"/>
          <w:color w:val="334155"/>
          <w:sz w:val="20"/>
          <w:szCs w:val="20"/>
        </w:rPr>
        <w:t xml:space="preserve">EVERY published article must include the attribution block</w:t>
      </w:r>
    </w:p>
    <w:p>
      <w:pPr>
        <w:pStyle w:val="ListParagraph"/>
        <w:numPr>
          <w:ilvl w:val="0"/>
          <w:numId w:val="2"/>
        </w:numPr>
        <w:spacing w:before="40" w:after="40"/>
      </w:pPr>
      <w:r>
        <w:rPr>
          <w:rFonts w:ascii="Arial" w:cs="Arial" w:eastAsia="Arial" w:hAnsi="Arial"/>
          <w:color w:val="334155"/>
          <w:sz w:val="20"/>
          <w:szCs w:val="20"/>
        </w:rPr>
        <w:t xml:space="preserve">Placement: below the article title, above the first paragraph</w:t>
      </w:r>
    </w:p>
    <w:p>
      <w:pPr>
        <w:pStyle w:val="ListParagraph"/>
        <w:numPr>
          <w:ilvl w:val="0"/>
          <w:numId w:val="2"/>
        </w:numPr>
        <w:spacing w:before="40" w:after="40"/>
      </w:pPr>
      <w:r>
        <w:rPr>
          <w:rFonts w:ascii="Arial" w:cs="Arial" w:eastAsia="Arial" w:hAnsi="Arial"/>
          <w:color w:val="334155"/>
          <w:sz w:val="20"/>
          <w:szCs w:val="20"/>
        </w:rPr>
        <w:t xml:space="preserve">Secondary placement: bottom of article, above disclaimer</w:t>
      </w:r>
    </w:p>
    <w:p>
      <w:pPr>
        <w:pStyle w:val="ListParagraph"/>
        <w:numPr>
          <w:ilvl w:val="0"/>
          <w:numId w:val="2"/>
        </w:numPr>
        <w:spacing w:before="40" w:after="40"/>
      </w:pPr>
      <w:r>
        <w:rPr>
          <w:rFonts w:ascii="Arial" w:cs="Arial" w:eastAsia="Arial" w:hAnsi="Arial"/>
          <w:color w:val="334155"/>
          <w:sz w:val="20"/>
          <w:szCs w:val="20"/>
        </w:rPr>
        <w:t xml:space="preserve">Format: italicized, visually distinct from body text (gray background box or border)</w:t>
      </w:r>
    </w:p>
    <w:p>
      <w:pPr>
        <w:pStyle w:val="ListParagraph"/>
        <w:numPr>
          <w:ilvl w:val="0"/>
          <w:numId w:val="2"/>
        </w:numPr>
        <w:spacing w:before="40" w:after="40"/>
      </w:pPr>
      <w:r>
        <w:rPr>
          <w:rFonts w:ascii="Arial" w:cs="Arial" w:eastAsia="Arial" w:hAnsi="Arial"/>
          <w:color w:val="334155"/>
          <w:sz w:val="20"/>
          <w:szCs w:val="20"/>
        </w:rPr>
        <w:t xml:space="preserve">Denial code pages (Tier 1 / programmatic): attribution block required — no exceptions</w:t>
      </w:r>
    </w:p>
    <w:p>
      <w:pPr>
        <w:pStyle w:val="ListParagraph"/>
        <w:numPr>
          <w:ilvl w:val="0"/>
          <w:numId w:val="2"/>
        </w:numPr>
        <w:spacing w:before="40" w:after="40"/>
      </w:pPr>
      <w:r>
        <w:rPr>
          <w:rFonts w:ascii="Arial" w:cs="Arial" w:eastAsia="Arial" w:hAnsi="Arial"/>
          <w:color w:val="334155"/>
          <w:sz w:val="20"/>
          <w:szCs w:val="20"/>
        </w:rPr>
        <w:t xml:space="preserve">Cornerstone guides: attribution block + 'Last reviewed: [date]' statement</w:t>
      </w:r>
    </w:p>
    <w:p>
      <w:pPr>
        <w:spacing w:before="40" w:after="0"/>
      </w:pPr>
      <w:r>
        <w:t xml:space="preserve"/>
      </w:r>
    </w:p>
    <w:p>
      <w:pPr>
        <w:pStyle w:val="Heading2"/>
        <w:spacing w:before="280" w:after="80"/>
      </w:pPr>
      <w:r>
        <w:rPr>
          <w:rFonts w:ascii="Arial" w:cs="Arial" w:eastAsia="Arial" w:hAnsi="Arial"/>
          <w:b/>
          <w:bCs/>
          <w:color w:val="0E7490"/>
          <w:sz w:val="26"/>
          <w:szCs w:val="26"/>
        </w:rPr>
        <w:t xml:space="preserve">What the Editorial Board Covers</w:t>
      </w:r>
    </w:p>
    <w:tbl>
      <w:tblPr>
        <w:tblW w:type="dxa" w:w="9360"/>
      </w:tblPr>
      <w:tblGrid>
        <w:gridCol w:w="3600"/>
        <w:gridCol w:w="5760"/>
      </w:tblGrid>
      <w:tr>
        <w:tc>
          <w:tcPr>
            <w:tcW w:type="dxa" w:w="36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Review Responsibility</w:t>
            </w:r>
          </w:p>
        </w:tc>
        <w:tc>
          <w:tcPr>
            <w:tcW w:type="dxa" w:w="57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Scope</w:t>
            </w:r>
          </w:p>
        </w:tc>
      </w:tr>
      <w:tr>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Clinical accuracy</w:t>
            </w:r>
          </w:p>
        </w:tc>
        <w:tc>
          <w:tcPr>
            <w:tcW w:type="dxa" w:w="5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All healthcare terminology, treatment references, condition descriptions</w:t>
            </w:r>
          </w:p>
        </w:tc>
      </w:tr>
      <w:tr>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YMYL sign-off</w:t>
            </w:r>
          </w:p>
        </w:tc>
        <w:tc>
          <w:tcPr>
            <w:tcW w:type="dxa" w:w="5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Any content that could affect a healthcare decision</w:t>
            </w:r>
          </w:p>
        </w:tc>
      </w:tr>
      <w:tr>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Letter template QA</w:t>
            </w:r>
          </w:p>
        </w:tc>
        <w:tc>
          <w:tcPr>
            <w:tcW w:type="dxa" w:w="5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Output quality and clinical appropriateness of generated letters</w:t>
            </w:r>
          </w:p>
        </w:tc>
      </w:tr>
      <w:tr>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Denial code intelligence</w:t>
            </w:r>
          </w:p>
        </w:tc>
        <w:tc>
          <w:tcPr>
            <w:tcW w:type="dxa" w:w="5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Clinical accuracy of denial code explanations</w:t>
            </w:r>
          </w:p>
        </w:tc>
      </w:tr>
      <w:tr>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Policy interpretation</w:t>
            </w:r>
          </w:p>
        </w:tc>
        <w:tc>
          <w:tcPr>
            <w:tcW w:type="dxa" w:w="5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Accuracy of Medicaid, Medicare, and insurance regulatory summaries</w:t>
            </w:r>
          </w:p>
        </w:tc>
      </w:tr>
      <w:tr>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Regulatory freshness</w:t>
            </w:r>
          </w:p>
        </w:tc>
        <w:tc>
          <w:tcPr>
            <w:tcW w:type="dxa" w:w="5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Flagging outdated clinical or policy references</w:t>
            </w:r>
          </w:p>
        </w:tc>
      </w:tr>
    </w:tbl>
    <w:p>
      <w:pPr>
        <w:spacing w:before="80" w:after="0"/>
      </w:pPr>
      <w:r>
        <w:t xml:space="preserve"/>
      </w:r>
    </w:p>
    <w:p>
      <w:pPr>
        <w:pStyle w:val="Heading2"/>
        <w:spacing w:before="280" w:after="80"/>
      </w:pPr>
      <w:r>
        <w:rPr>
          <w:rFonts w:ascii="Arial" w:cs="Arial" w:eastAsia="Arial" w:hAnsi="Arial"/>
          <w:b/>
          <w:bCs/>
          <w:color w:val="0E7490"/>
          <w:sz w:val="26"/>
          <w:szCs w:val="26"/>
        </w:rPr>
        <w:t xml:space="preserve">What the Editorial Board Does NOT Cover</w:t>
      </w:r>
    </w:p>
    <w:p>
      <w:pPr>
        <w:pBdr>
          <w:left w:val="single" w:color="0E7490" w:sz="12" w:space="6"/>
        </w:pBdr>
        <w:spacing w:before="120" w:after="120"/>
        <w:ind w:left="360"/>
      </w:pPr>
      <w:r>
        <w:rPr>
          <w:rFonts w:ascii="Arial" w:cs="Arial" w:eastAsia="Arial" w:hAnsi="Arial"/>
          <w:b/>
          <w:bCs/>
          <w:color w:val="1B3A6B"/>
          <w:sz w:val="20"/>
          <w:szCs w:val="20"/>
        </w:rPr>
        <w:t xml:space="preserve">Not in Scope: </w:t>
      </w:r>
      <w:r>
        <w:rPr>
          <w:rFonts w:ascii="Arial" w:cs="Arial" w:eastAsia="Arial" w:hAnsi="Arial"/>
          <w:color w:val="334155"/>
          <w:sz w:val="20"/>
          <w:szCs w:val="20"/>
        </w:rPr>
        <w:t xml:space="preserve">Legal interpretation of specific statutes (attorney review required), immigration law content (attorney review required), any content advising a specific individual on their personal situation. These require attorney review per existing YMYL doctrine.</w:t>
      </w:r>
    </w:p>
    <w:p>
      <w:pPr>
        <w:spacing w:before="40" w:after="0"/>
      </w:pPr>
      <w:r>
        <w:t xml:space="preserve"/>
      </w:r>
    </w:p>
    <w:p>
      <w:pPr>
        <w:pStyle w:val="Heading2"/>
        <w:spacing w:before="280" w:after="80"/>
      </w:pPr>
      <w:r>
        <w:rPr>
          <w:rFonts w:ascii="Arial" w:cs="Arial" w:eastAsia="Arial" w:hAnsi="Arial"/>
          <w:b/>
          <w:bCs/>
          <w:color w:val="0E7490"/>
          <w:sz w:val="26"/>
          <w:szCs w:val="26"/>
        </w:rPr>
        <w:t xml:space="preserve">Editorial Review Workflow</w:t>
      </w:r>
    </w:p>
    <w:p>
      <w:pPr>
        <w:pStyle w:val="ListParagraph"/>
        <w:numPr>
          <w:ilvl w:val="0"/>
          <w:numId w:val="3"/>
        </w:numPr>
        <w:spacing w:before="40" w:after="40"/>
      </w:pPr>
      <w:r>
        <w:rPr>
          <w:rFonts w:ascii="Arial" w:cs="Arial" w:eastAsia="Arial" w:hAnsi="Arial"/>
          <w:color w:val="334155"/>
          <w:sz w:val="20"/>
          <w:szCs w:val="20"/>
        </w:rPr>
        <w:t xml:space="preserve">Article draft completed by content generation system</w:t>
      </w:r>
    </w:p>
    <w:p>
      <w:pPr>
        <w:pStyle w:val="ListParagraph"/>
        <w:numPr>
          <w:ilvl w:val="0"/>
          <w:numId w:val="3"/>
        </w:numPr>
        <w:spacing w:before="40" w:after="40"/>
      </w:pPr>
      <w:r>
        <w:rPr>
          <w:rFonts w:ascii="Arial" w:cs="Arial" w:eastAsia="Arial" w:hAnsi="Arial"/>
          <w:color w:val="334155"/>
          <w:sz w:val="20"/>
          <w:szCs w:val="20"/>
        </w:rPr>
        <w:t xml:space="preserve">Draft enters Kate review queue (internal — not user-facing)</w:t>
      </w:r>
    </w:p>
    <w:p>
      <w:pPr>
        <w:pStyle w:val="ListParagraph"/>
        <w:numPr>
          <w:ilvl w:val="0"/>
          <w:numId w:val="3"/>
        </w:numPr>
        <w:spacing w:before="40" w:after="40"/>
      </w:pPr>
      <w:r>
        <w:rPr>
          <w:rFonts w:ascii="Arial" w:cs="Arial" w:eastAsia="Arial" w:hAnsi="Arial"/>
          <w:color w:val="334155"/>
          <w:sz w:val="20"/>
          <w:szCs w:val="20"/>
        </w:rPr>
        <w:t xml:space="preserve">Kate reviews for clinical accuracy, YMYL compliance, and appropriate framing</w:t>
      </w:r>
    </w:p>
    <w:p>
      <w:pPr>
        <w:pStyle w:val="ListParagraph"/>
        <w:numPr>
          <w:ilvl w:val="0"/>
          <w:numId w:val="3"/>
        </w:numPr>
        <w:spacing w:before="40" w:after="40"/>
      </w:pPr>
      <w:r>
        <w:rPr>
          <w:rFonts w:ascii="Arial" w:cs="Arial" w:eastAsia="Arial" w:hAnsi="Arial"/>
          <w:color w:val="334155"/>
          <w:sz w:val="20"/>
          <w:szCs w:val="20"/>
        </w:rPr>
        <w:t xml:space="preserve">Kate approves or flags for revision</w:t>
      </w:r>
    </w:p>
    <w:p>
      <w:pPr>
        <w:pStyle w:val="ListParagraph"/>
        <w:numPr>
          <w:ilvl w:val="0"/>
          <w:numId w:val="3"/>
        </w:numPr>
        <w:spacing w:before="40" w:after="40"/>
      </w:pPr>
      <w:r>
        <w:rPr>
          <w:rFonts w:ascii="Arial" w:cs="Arial" w:eastAsia="Arial" w:hAnsi="Arial"/>
          <w:color w:val="334155"/>
          <w:sz w:val="20"/>
          <w:szCs w:val="20"/>
        </w:rPr>
        <w:t xml:space="preserve">Attribution block applied automatically on publish</w:t>
      </w:r>
    </w:p>
    <w:p>
      <w:pPr>
        <w:pStyle w:val="ListParagraph"/>
        <w:numPr>
          <w:ilvl w:val="0"/>
          <w:numId w:val="3"/>
        </w:numPr>
        <w:spacing w:before="40" w:after="40"/>
      </w:pPr>
      <w:r>
        <w:rPr>
          <w:rFonts w:ascii="Arial" w:cs="Arial" w:eastAsia="Arial" w:hAnsi="Arial"/>
          <w:color w:val="334155"/>
          <w:sz w:val="20"/>
          <w:szCs w:val="20"/>
        </w:rPr>
        <w:t xml:space="preserve">Review date stamped in page metadata</w:t>
      </w:r>
    </w:p>
    <w:p>
      <w:pPr>
        <w:spacing w:before="40" w:after="0"/>
      </w:pPr>
      <w:r>
        <w:t xml:space="preserve"/>
      </w:r>
    </w:p>
    <w:p>
      <w:pPr>
        <w:pStyle w:val="Heading2"/>
        <w:spacing w:before="280" w:after="80"/>
      </w:pPr>
      <w:r>
        <w:rPr>
          <w:rFonts w:ascii="Arial" w:cs="Arial" w:eastAsia="Arial" w:hAnsi="Arial"/>
          <w:b/>
          <w:bCs/>
          <w:color w:val="0E7490"/>
          <w:sz w:val="26"/>
          <w:szCs w:val="26"/>
        </w:rPr>
        <w:t xml:space="preserve">Agent Assignment</w:t>
      </w:r>
    </w:p>
    <w:p>
      <w:pPr>
        <w:pBdr>
          <w:left w:val="single" w:color="0E7490" w:sz="12" w:space="6"/>
        </w:pBdr>
        <w:spacing w:before="120" w:after="120"/>
        <w:ind w:left="360"/>
      </w:pPr>
      <w:r>
        <w:rPr>
          <w:rFonts w:ascii="Arial" w:cs="Arial" w:eastAsia="Arial" w:hAnsi="Arial"/>
          <w:b/>
          <w:bCs/>
          <w:color w:val="1B3A6B"/>
          <w:sz w:val="20"/>
          <w:szCs w:val="20"/>
        </w:rPr>
        <w:t xml:space="preserve">Content Agent: </w:t>
      </w:r>
      <w:r>
        <w:rPr>
          <w:rFonts w:ascii="Arial" w:cs="Arial" w:eastAsia="Arial" w:hAnsi="Arial"/>
          <w:color w:val="334155"/>
          <w:sz w:val="20"/>
          <w:szCs w:val="20"/>
        </w:rPr>
        <w:t xml:space="preserve">Attribution block is a mandatory field in the publish pipeline. No article can be published with attribution_status = pending. This is a hard gate, not a soft recommendation.</w:t>
      </w:r>
    </w:p>
    <w:p>
      <w:pPr>
        <w:pBdr>
          <w:left w:val="single" w:color="0E7490" w:sz="12" w:space="6"/>
        </w:pBdr>
        <w:spacing w:before="120" w:after="120"/>
        <w:ind w:left="360"/>
      </w:pPr>
      <w:r>
        <w:rPr>
          <w:rFonts w:ascii="Arial" w:cs="Arial" w:eastAsia="Arial" w:hAnsi="Arial"/>
          <w:b/>
          <w:bCs/>
          <w:color w:val="1B3A6B"/>
          <w:sz w:val="20"/>
          <w:szCs w:val="20"/>
        </w:rPr>
        <w:t xml:space="preserve">Content Refresh Agent: </w:t>
      </w:r>
      <w:r>
        <w:rPr>
          <w:rFonts w:ascii="Arial" w:cs="Arial" w:eastAsia="Arial" w:hAnsi="Arial"/>
          <w:color w:val="334155"/>
          <w:sz w:val="20"/>
          <w:szCs w:val="20"/>
        </w:rPr>
        <w:t xml:space="preserve">Review date field triggers refresh queue when stale threshold is reached (see Section 6).</w:t>
      </w:r>
    </w:p>
    <w:p>
      <w:pPr>
        <w:spacing w:before="40" w:after="0"/>
      </w:pPr>
      <w:r>
        <w:t xml:space="preserve"/>
      </w:r>
    </w:p>
    <w:p>
      <w:pPr>
        <w:pStyle w:val="Heading2"/>
        <w:spacing w:before="280" w:after="80"/>
      </w:pPr>
      <w:r>
        <w:rPr>
          <w:rFonts w:ascii="Arial" w:cs="Arial" w:eastAsia="Arial" w:hAnsi="Arial"/>
          <w:b/>
          <w:bCs/>
          <w:color w:val="0E7490"/>
          <w:sz w:val="26"/>
          <w:szCs w:val="26"/>
        </w:rPr>
        <w:t xml:space="preserve">Metrics Tracked</w:t>
      </w:r>
    </w:p>
    <w:p>
      <w:pPr>
        <w:pStyle w:val="ListParagraph"/>
        <w:numPr>
          <w:ilvl w:val="0"/>
          <w:numId w:val="2"/>
        </w:numPr>
        <w:spacing w:before="40" w:after="40"/>
      </w:pPr>
      <w:r>
        <w:rPr>
          <w:rFonts w:ascii="Arial" w:cs="Arial" w:eastAsia="Arial" w:hAnsi="Arial"/>
          <w:color w:val="334155"/>
          <w:sz w:val="20"/>
          <w:szCs w:val="20"/>
        </w:rPr>
        <w:t xml:space="preserve">Attribution compliance rate: % of published articles with editorial board block (target: 100%)</w:t>
      </w:r>
    </w:p>
    <w:p>
      <w:pPr>
        <w:pStyle w:val="ListParagraph"/>
        <w:numPr>
          <w:ilvl w:val="0"/>
          <w:numId w:val="2"/>
        </w:numPr>
        <w:spacing w:before="40" w:after="40"/>
      </w:pPr>
      <w:r>
        <w:rPr>
          <w:rFonts w:ascii="Arial" w:cs="Arial" w:eastAsia="Arial" w:hAnsi="Arial"/>
          <w:color w:val="334155"/>
          <w:sz w:val="20"/>
          <w:szCs w:val="20"/>
        </w:rPr>
        <w:t xml:space="preserve">Kate review queue depth (weekly — should not exceed 20 pending items)</w:t>
      </w:r>
    </w:p>
    <w:p>
      <w:pPr>
        <w:pStyle w:val="ListParagraph"/>
        <w:numPr>
          <w:ilvl w:val="0"/>
          <w:numId w:val="2"/>
        </w:numPr>
        <w:spacing w:before="40" w:after="40"/>
      </w:pPr>
      <w:r>
        <w:rPr>
          <w:rFonts w:ascii="Arial" w:cs="Arial" w:eastAsia="Arial" w:hAnsi="Arial"/>
          <w:color w:val="334155"/>
          <w:sz w:val="20"/>
          <w:szCs w:val="20"/>
        </w:rPr>
        <w:t xml:space="preserve">Avg. review cycle time (target: under 72 hours)</w:t>
      </w:r>
    </w:p>
    <w:p>
      <w:pPr>
        <w:spacing w:before="40" w:after="0"/>
      </w:pPr>
      <w:r>
        <w:t xml:space="preserve"/>
      </w:r>
    </w:p>
    <w:p>
      <w:pPr>
        <w:pStyle w:val="Heading2"/>
        <w:spacing w:before="280" w:after="80"/>
      </w:pPr>
      <w:r>
        <w:rPr>
          <w:rFonts w:ascii="Arial" w:cs="Arial" w:eastAsia="Arial" w:hAnsi="Arial"/>
          <w:b/>
          <w:bCs/>
          <w:color w:val="0E7490"/>
          <w:sz w:val="26"/>
          <w:szCs w:val="26"/>
        </w:rPr>
        <w:t xml:space="preserve">Gamification Integration</w:t>
      </w:r>
    </w:p>
    <w:tbl>
      <w:tblPr>
        <w:tblW w:type="dxa" w:w="9360"/>
      </w:tblPr>
      <w:tblGrid>
        <w:gridCol w:w="3200"/>
        <w:gridCol w:w="2000"/>
        <w:gridCol w:w="4160"/>
      </w:tblGrid>
      <w:tr>
        <w:tc>
          <w:tcPr>
            <w:tcW w:type="dxa" w:w="32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2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XP Type</w:t>
            </w:r>
          </w:p>
        </w:tc>
        <w:tc>
          <w:tcPr>
            <w:tcW w:type="dxa" w:w="41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XP + Achievement</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Attribution model implemented in publish pipeline</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Build XP</w:t>
            </w:r>
          </w:p>
        </w:tc>
        <w:tc>
          <w:tcPr>
            <w:tcW w:type="dxa" w:w="4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+200 XP | Achievement: Board Certified</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100 articles with attribution live</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Compounding XP</w:t>
            </w:r>
          </w:p>
        </w:tc>
        <w:tc>
          <w:tcPr>
            <w:tcW w:type="dxa" w:w="4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+300 XP | Achievement: Editorial Discipline</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Zero attribution compliance failures in any month</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Discipline XP</w:t>
            </w:r>
          </w:p>
        </w:tc>
        <w:tc>
          <w:tcPr>
            <w:tcW w:type="dxa" w:w="4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+100 XP/month streak</w:t>
            </w:r>
          </w:p>
        </w:tc>
      </w:tr>
    </w:tbl>
    <w:p>
      <w:pPr>
        <w:spacing w:before="40" w:after="0"/>
      </w:pPr>
      <w:r>
        <w:t xml:space="preserve"/>
      </w:r>
    </w:p>
    <w:p>
      <w:r>
        <w:br w:type="page"/>
      </w:r>
    </w:p>
    <w:p>
      <w:pPr>
        <w:pStyle w:val="Heading1"/>
        <w:pBdr>
          <w:bottom w:val="single" w:color="0E7490" w:sz="6" w:space="1"/>
        </w:pBdr>
        <w:spacing w:before="360" w:after="120"/>
      </w:pPr>
      <w:r>
        <w:rPr>
          <w:rFonts w:ascii="Arial" w:cs="Arial" w:eastAsia="Arial" w:hAnsi="Arial"/>
          <w:b/>
          <w:bCs/>
          <w:color w:val="1B3A6B"/>
          <w:sz w:val="32"/>
          <w:szCs w:val="32"/>
        </w:rPr>
        <w:t xml:space="preserve">Section 4 — Backlink &amp; Partner Outreach Program</w:t>
      </w:r>
    </w:p>
    <w:p>
      <w:pPr>
        <w:pStyle w:val="Heading2"/>
        <w:spacing w:before="280" w:after="80"/>
      </w:pPr>
      <w:r>
        <w:rPr>
          <w:rFonts w:ascii="Arial" w:cs="Arial" w:eastAsia="Arial" w:hAnsi="Arial"/>
          <w:b/>
          <w:bCs/>
          <w:color w:val="0E7490"/>
          <w:sz w:val="26"/>
          <w:szCs w:val="26"/>
        </w:rPr>
        <w:t xml:space="preserve">Strategic Context</w:t>
      </w:r>
    </w:p>
    <w:p>
      <w:pPr>
        <w:spacing w:before="60" w:after="100"/>
      </w:pPr>
      <w:r>
        <w:rPr>
          <w:rFonts w:ascii="Arial" w:cs="Arial" w:eastAsia="Arial" w:hAnsi="Arial"/>
          <w:b w:val="false"/>
          <w:bCs w:val="false"/>
          <w:color w:val="334155"/>
          <w:sz w:val="20"/>
          <w:szCs w:val="20"/>
        </w:rPr>
        <w:t xml:space="preserve">Backlinks from healthcare nonprofits, patient advocacy organizations, library systems, and 211 network partners represent the highest-value authority signal available to MyAdvocate. This program formalizes what happens, when it starts, and how it integrates with the partner relationships already being cultivated.</w:t>
      </w:r>
    </w:p>
    <w:p>
      <w:pPr>
        <w:pBdr>
          <w:left w:val="single" w:color="0E7490" w:sz="12" w:space="6"/>
        </w:pBdr>
        <w:spacing w:before="120" w:after="120"/>
        <w:ind w:left="360"/>
      </w:pPr>
      <w:r>
        <w:rPr>
          <w:rFonts w:ascii="Arial" w:cs="Arial" w:eastAsia="Arial" w:hAnsi="Arial"/>
          <w:b/>
          <w:bCs/>
          <w:color w:val="1B3A6B"/>
          <w:sz w:val="20"/>
          <w:szCs w:val="20"/>
        </w:rPr>
        <w:t xml:space="preserve">Phase Assignment: </w:t>
      </w:r>
      <w:r>
        <w:rPr>
          <w:rFonts w:ascii="Arial" w:cs="Arial" w:eastAsia="Arial" w:hAnsi="Arial"/>
          <w:color w:val="334155"/>
          <w:sz w:val="20"/>
          <w:szCs w:val="20"/>
        </w:rPr>
        <w:t xml:space="preserve">Phase 3 formalization | Month 4–6 activation. Do not begin outreach before content library has sufficient depth to demonstrate value (minimum 50 indexed pages targeting advocacy-relevant topics).</w:t>
      </w:r>
    </w:p>
    <w:p>
      <w:pPr>
        <w:spacing w:before="40" w:after="0"/>
      </w:pPr>
      <w:r>
        <w:t xml:space="preserve"/>
      </w:r>
    </w:p>
    <w:p>
      <w:pPr>
        <w:pStyle w:val="Heading2"/>
        <w:spacing w:before="280" w:after="80"/>
      </w:pPr>
      <w:r>
        <w:rPr>
          <w:rFonts w:ascii="Arial" w:cs="Arial" w:eastAsia="Arial" w:hAnsi="Arial"/>
          <w:b/>
          <w:bCs/>
          <w:color w:val="0E7490"/>
          <w:sz w:val="26"/>
          <w:szCs w:val="26"/>
        </w:rPr>
        <w:t xml:space="preserve">Phase 3 Formalization Tasks (pre-outreach)</w:t>
      </w:r>
    </w:p>
    <w:p>
      <w:pPr>
        <w:pStyle w:val="ListParagraph"/>
        <w:numPr>
          <w:ilvl w:val="0"/>
          <w:numId w:val="2"/>
        </w:numPr>
        <w:spacing w:before="40" w:after="40"/>
      </w:pPr>
      <w:r>
        <w:rPr>
          <w:rFonts w:ascii="Arial" w:cs="Arial" w:eastAsia="Arial" w:hAnsi="Arial"/>
          <w:color w:val="334155"/>
          <w:sz w:val="20"/>
          <w:szCs w:val="20"/>
        </w:rPr>
        <w:t xml:space="preserve">Build Partner Target List: minimum 25 organizations across library systems, patient advocacy orgs, 211 network, and healthcare nonprofits</w:t>
      </w:r>
    </w:p>
    <w:p>
      <w:pPr>
        <w:pStyle w:val="ListParagraph"/>
        <w:numPr>
          <w:ilvl w:val="0"/>
          <w:numId w:val="2"/>
        </w:numPr>
        <w:spacing w:before="40" w:after="40"/>
      </w:pPr>
      <w:r>
        <w:rPr>
          <w:rFonts w:ascii="Arial" w:cs="Arial" w:eastAsia="Arial" w:hAnsi="Arial"/>
          <w:color w:val="334155"/>
          <w:sz w:val="20"/>
          <w:szCs w:val="20"/>
        </w:rPr>
        <w:t xml:space="preserve">Create Linkable Asset Inventory: identify which cornerstone guides and resource pages are most likely to attract citations</w:t>
      </w:r>
    </w:p>
    <w:p>
      <w:pPr>
        <w:pStyle w:val="ListParagraph"/>
        <w:numPr>
          <w:ilvl w:val="0"/>
          <w:numId w:val="2"/>
        </w:numPr>
        <w:spacing w:before="40" w:after="40"/>
      </w:pPr>
      <w:r>
        <w:rPr>
          <w:rFonts w:ascii="Arial" w:cs="Arial" w:eastAsia="Arial" w:hAnsi="Arial"/>
          <w:color w:val="334155"/>
          <w:sz w:val="20"/>
          <w:szCs w:val="20"/>
        </w:rPr>
        <w:t xml:space="preserve">Draft outreach email templates (institutional voice — no founder names)</w:t>
      </w:r>
    </w:p>
    <w:p>
      <w:pPr>
        <w:pStyle w:val="ListParagraph"/>
        <w:numPr>
          <w:ilvl w:val="0"/>
          <w:numId w:val="2"/>
        </w:numPr>
        <w:spacing w:before="40" w:after="40"/>
      </w:pPr>
      <w:r>
        <w:rPr>
          <w:rFonts w:ascii="Arial" w:cs="Arial" w:eastAsia="Arial" w:hAnsi="Arial"/>
          <w:color w:val="334155"/>
          <w:sz w:val="20"/>
          <w:szCs w:val="20"/>
        </w:rPr>
        <w:t xml:space="preserve">Define tracking system: which orgs contacted, when, response status, link acquired</w:t>
      </w:r>
    </w:p>
    <w:p>
      <w:pPr>
        <w:pStyle w:val="ListParagraph"/>
        <w:numPr>
          <w:ilvl w:val="0"/>
          <w:numId w:val="2"/>
        </w:numPr>
        <w:spacing w:before="40" w:after="40"/>
      </w:pPr>
      <w:r>
        <w:rPr>
          <w:rFonts w:ascii="Arial" w:cs="Arial" w:eastAsia="Arial" w:hAnsi="Arial"/>
          <w:color w:val="334155"/>
          <w:sz w:val="20"/>
          <w:szCs w:val="20"/>
        </w:rPr>
        <w:t xml:space="preserve">Set Month 4 activation gate: minimum 50 indexed pages must exist before first outreach</w:t>
      </w:r>
    </w:p>
    <w:p>
      <w:pPr>
        <w:spacing w:before="40" w:after="0"/>
      </w:pPr>
      <w:r>
        <w:t xml:space="preserve"/>
      </w:r>
    </w:p>
    <w:p>
      <w:pPr>
        <w:pStyle w:val="Heading2"/>
        <w:spacing w:before="280" w:after="80"/>
      </w:pPr>
      <w:r>
        <w:rPr>
          <w:rFonts w:ascii="Arial" w:cs="Arial" w:eastAsia="Arial" w:hAnsi="Arial"/>
          <w:b/>
          <w:bCs/>
          <w:color w:val="0E7490"/>
          <w:sz w:val="26"/>
          <w:szCs w:val="26"/>
        </w:rPr>
        <w:t xml:space="preserve">Priority Partner Categories</w:t>
      </w:r>
    </w:p>
    <w:tbl>
      <w:tblPr>
        <w:tblW w:type="dxa" w:w="9360"/>
      </w:tblPr>
      <w:tblGrid>
        <w:gridCol w:w="3200"/>
        <w:gridCol w:w="6160"/>
      </w:tblGrid>
      <w:tr>
        <w:tc>
          <w:tcPr>
            <w:tcW w:type="dxa" w:w="32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Partner Category</w:t>
            </w:r>
          </w:p>
        </w:tc>
        <w:tc>
          <w:tcPr>
            <w:tcW w:type="dxa" w:w="61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Why They Link</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211 Network partners</w:t>
            </w:r>
          </w:p>
        </w:tc>
        <w:tc>
          <w:tcPr>
            <w:tcW w:type="dxa" w:w="6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Already in distribution strategy; resource directories link to useful patient guidance</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Library system integrations</w:t>
            </w:r>
          </w:p>
        </w:tc>
        <w:tc>
          <w:tcPr>
            <w:tcW w:type="dxa" w:w="6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Libraries actively refer patrons to healthcare navigation resources</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Patient advocacy nonprofits</w:t>
            </w:r>
          </w:p>
        </w:tc>
        <w:tc>
          <w:tcPr>
            <w:tcW w:type="dxa" w:w="6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Mission-aligned; frequently cite plain-language guides for patients</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Healthcare journalism outlets</w:t>
            </w:r>
          </w:p>
        </w:tc>
        <w:tc>
          <w:tcPr>
            <w:tcW w:type="dxa" w:w="6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Cite data, statistics, and clear policy explanations</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Legal aid organizations</w:t>
            </w:r>
          </w:p>
        </w:tc>
        <w:tc>
          <w:tcPr>
            <w:tcW w:type="dxa" w:w="6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Refer clients to self-help resources; link to billing dispute and rights content</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Union benefit offices</w:t>
            </w:r>
          </w:p>
        </w:tc>
        <w:tc>
          <w:tcPr>
            <w:tcW w:type="dxa" w:w="6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Direct alignment with insured members facing denials; B2B pipeline</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State health departments</w:t>
            </w:r>
          </w:p>
        </w:tc>
        <w:tc>
          <w:tcPr>
            <w:tcW w:type="dxa" w:w="6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Some publish resource lists; good authority signal if achievable</w:t>
            </w:r>
          </w:p>
        </w:tc>
      </w:tr>
    </w:tbl>
    <w:p>
      <w:pPr>
        <w:spacing w:before="80" w:after="0"/>
      </w:pPr>
      <w:r>
        <w:t xml:space="preserve"/>
      </w:r>
    </w:p>
    <w:p>
      <w:pPr>
        <w:pStyle w:val="Heading2"/>
        <w:spacing w:before="280" w:after="80"/>
      </w:pPr>
      <w:r>
        <w:rPr>
          <w:rFonts w:ascii="Arial" w:cs="Arial" w:eastAsia="Arial" w:hAnsi="Arial"/>
          <w:b/>
          <w:bCs/>
          <w:color w:val="0E7490"/>
          <w:sz w:val="26"/>
          <w:szCs w:val="26"/>
        </w:rPr>
        <w:t xml:space="preserve">Linkable Asset Types (Month 4+ Targets)</w:t>
      </w:r>
    </w:p>
    <w:p>
      <w:pPr>
        <w:pStyle w:val="ListParagraph"/>
        <w:numPr>
          <w:ilvl w:val="0"/>
          <w:numId w:val="2"/>
        </w:numPr>
        <w:spacing w:before="40" w:after="40"/>
      </w:pPr>
      <w:r>
        <w:rPr>
          <w:rFonts w:ascii="Arial" w:cs="Arial" w:eastAsia="Arial" w:hAnsi="Arial"/>
          <w:color w:val="334155"/>
          <w:sz w:val="20"/>
          <w:szCs w:val="20"/>
        </w:rPr>
        <w:t xml:space="preserve">Denial code library (200 pages — comprehensive resource, highly citable)</w:t>
      </w:r>
    </w:p>
    <w:p>
      <w:pPr>
        <w:pStyle w:val="ListParagraph"/>
        <w:numPr>
          <w:ilvl w:val="0"/>
          <w:numId w:val="2"/>
        </w:numPr>
        <w:spacing w:before="40" w:after="40"/>
      </w:pPr>
      <w:r>
        <w:rPr>
          <w:rFonts w:ascii="Arial" w:cs="Arial" w:eastAsia="Arial" w:hAnsi="Arial"/>
          <w:color w:val="334155"/>
          <w:sz w:val="20"/>
          <w:szCs w:val="20"/>
        </w:rPr>
        <w:t xml:space="preserve">State patient rights pages (50 pages — libraries and legal aid orgs will reference these)</w:t>
      </w:r>
    </w:p>
    <w:p>
      <w:pPr>
        <w:pStyle w:val="ListParagraph"/>
        <w:numPr>
          <w:ilvl w:val="0"/>
          <w:numId w:val="2"/>
        </w:numPr>
        <w:spacing w:before="40" w:after="40"/>
      </w:pPr>
      <w:r>
        <w:rPr>
          <w:rFonts w:ascii="Arial" w:cs="Arial" w:eastAsia="Arial" w:hAnsi="Arial"/>
          <w:color w:val="334155"/>
          <w:sz w:val="20"/>
          <w:szCs w:val="20"/>
        </w:rPr>
        <w:t xml:space="preserve">Cornerstone guides (10 guides — journalists and nonprofits cite comprehensive guides)</w:t>
      </w:r>
    </w:p>
    <w:p>
      <w:pPr>
        <w:pStyle w:val="ListParagraph"/>
        <w:numPr>
          <w:ilvl w:val="0"/>
          <w:numId w:val="2"/>
        </w:numPr>
        <w:spacing w:before="40" w:after="40"/>
      </w:pPr>
      <w:r>
        <w:rPr>
          <w:rFonts w:ascii="Arial" w:cs="Arial" w:eastAsia="Arial" w:hAnsi="Arial"/>
          <w:color w:val="334155"/>
          <w:sz w:val="20"/>
          <w:szCs w:val="20"/>
        </w:rPr>
        <w:t xml:space="preserve">Annual Outcomes Report (Phase 5+ — becomes the primary citation magnet; see Section 7)</w:t>
      </w:r>
    </w:p>
    <w:p>
      <w:pPr>
        <w:spacing w:before="40" w:after="0"/>
      </w:pPr>
      <w:r>
        <w:t xml:space="preserve"/>
      </w:r>
    </w:p>
    <w:p>
      <w:pPr>
        <w:pStyle w:val="Heading2"/>
        <w:spacing w:before="280" w:after="80"/>
      </w:pPr>
      <w:r>
        <w:rPr>
          <w:rFonts w:ascii="Arial" w:cs="Arial" w:eastAsia="Arial" w:hAnsi="Arial"/>
          <w:b/>
          <w:bCs/>
          <w:color w:val="0E7490"/>
          <w:sz w:val="26"/>
          <w:szCs w:val="26"/>
        </w:rPr>
        <w:t xml:space="preserve">Agent Assignment</w:t>
      </w:r>
    </w:p>
    <w:p>
      <w:pPr>
        <w:pBdr>
          <w:left w:val="single" w:color="0E7490" w:sz="12" w:space="6"/>
        </w:pBdr>
        <w:spacing w:before="120" w:after="120"/>
        <w:ind w:left="360"/>
      </w:pPr>
      <w:r>
        <w:rPr>
          <w:rFonts w:ascii="Arial" w:cs="Arial" w:eastAsia="Arial" w:hAnsi="Arial"/>
          <w:b/>
          <w:bCs/>
          <w:color w:val="1B3A6B"/>
          <w:sz w:val="20"/>
          <w:szCs w:val="20"/>
        </w:rPr>
        <w:t xml:space="preserve">CMO Agent (Phase 3 activation): </w:t>
      </w:r>
      <w:r>
        <w:rPr>
          <w:rFonts w:ascii="Arial" w:cs="Arial" w:eastAsia="Arial" w:hAnsi="Arial"/>
          <w:color w:val="334155"/>
          <w:sz w:val="20"/>
          <w:szCs w:val="20"/>
        </w:rPr>
        <w:t xml:space="preserve">Outreach tracking, partner list management, link acquisition monitoring. CMO Agent should report on outreach pipeline status in monthly performance review.</w:t>
      </w:r>
    </w:p>
    <w:p>
      <w:pPr>
        <w:spacing w:before="40" w:after="0"/>
      </w:pPr>
      <w:r>
        <w:t xml:space="preserve"/>
      </w:r>
    </w:p>
    <w:p>
      <w:pPr>
        <w:pStyle w:val="Heading2"/>
        <w:spacing w:before="280" w:after="80"/>
      </w:pPr>
      <w:r>
        <w:rPr>
          <w:rFonts w:ascii="Arial" w:cs="Arial" w:eastAsia="Arial" w:hAnsi="Arial"/>
          <w:b/>
          <w:bCs/>
          <w:color w:val="0E7490"/>
          <w:sz w:val="26"/>
          <w:szCs w:val="26"/>
        </w:rPr>
        <w:t xml:space="preserve">Metrics Tracked</w:t>
      </w:r>
    </w:p>
    <w:p>
      <w:pPr>
        <w:pStyle w:val="ListParagraph"/>
        <w:numPr>
          <w:ilvl w:val="0"/>
          <w:numId w:val="2"/>
        </w:numPr>
        <w:spacing w:before="40" w:after="40"/>
      </w:pPr>
      <w:r>
        <w:rPr>
          <w:rFonts w:ascii="Arial" w:cs="Arial" w:eastAsia="Arial" w:hAnsi="Arial"/>
          <w:color w:val="334155"/>
          <w:sz w:val="20"/>
          <w:szCs w:val="20"/>
        </w:rPr>
        <w:t xml:space="preserve">Total referring domains (monthly — baseline 0 at launch, target 10 by Month 6, 30 by Month 12)</w:t>
      </w:r>
    </w:p>
    <w:p>
      <w:pPr>
        <w:pStyle w:val="ListParagraph"/>
        <w:numPr>
          <w:ilvl w:val="0"/>
          <w:numId w:val="2"/>
        </w:numPr>
        <w:spacing w:before="40" w:after="40"/>
      </w:pPr>
      <w:r>
        <w:rPr>
          <w:rFonts w:ascii="Arial" w:cs="Arial" w:eastAsia="Arial" w:hAnsi="Arial"/>
          <w:color w:val="334155"/>
          <w:sz w:val="20"/>
          <w:szCs w:val="20"/>
        </w:rPr>
        <w:t xml:space="preserve">Backlinks from DA 40+ domains (quality signal — track separately from total count)</w:t>
      </w:r>
    </w:p>
    <w:p>
      <w:pPr>
        <w:pStyle w:val="ListParagraph"/>
        <w:numPr>
          <w:ilvl w:val="0"/>
          <w:numId w:val="2"/>
        </w:numPr>
        <w:spacing w:before="40" w:after="40"/>
      </w:pPr>
      <w:r>
        <w:rPr>
          <w:rFonts w:ascii="Arial" w:cs="Arial" w:eastAsia="Arial" w:hAnsi="Arial"/>
          <w:color w:val="334155"/>
          <w:sz w:val="20"/>
          <w:szCs w:val="20"/>
        </w:rPr>
        <w:t xml:space="preserve">Partner outreach response rate (target: 15%+ response, 5%+ link acquisition)</w:t>
      </w:r>
    </w:p>
    <w:p>
      <w:pPr>
        <w:pStyle w:val="ListParagraph"/>
        <w:numPr>
          <w:ilvl w:val="0"/>
          <w:numId w:val="2"/>
        </w:numPr>
        <w:spacing w:before="40" w:after="40"/>
      </w:pPr>
      <w:r>
        <w:rPr>
          <w:rFonts w:ascii="Arial" w:cs="Arial" w:eastAsia="Arial" w:hAnsi="Arial"/>
          <w:color w:val="334155"/>
          <w:sz w:val="20"/>
          <w:szCs w:val="20"/>
        </w:rPr>
        <w:t xml:space="preserve">Domain Rating / Domain Authority progression (track monthly via Ahrefs — already connected)</w:t>
      </w:r>
    </w:p>
    <w:p>
      <w:pPr>
        <w:spacing w:before="40" w:after="0"/>
      </w:pPr>
      <w:r>
        <w:t xml:space="preserve"/>
      </w:r>
    </w:p>
    <w:p>
      <w:pPr>
        <w:pStyle w:val="Heading2"/>
        <w:spacing w:before="280" w:after="80"/>
      </w:pPr>
      <w:r>
        <w:rPr>
          <w:rFonts w:ascii="Arial" w:cs="Arial" w:eastAsia="Arial" w:hAnsi="Arial"/>
          <w:b/>
          <w:bCs/>
          <w:color w:val="0E7490"/>
          <w:sz w:val="26"/>
          <w:szCs w:val="26"/>
        </w:rPr>
        <w:t xml:space="preserve">Gamification Integration</w:t>
      </w:r>
    </w:p>
    <w:tbl>
      <w:tblPr>
        <w:tblW w:type="dxa" w:w="9360"/>
      </w:tblPr>
      <w:tblGrid>
        <w:gridCol w:w="3200"/>
        <w:gridCol w:w="2000"/>
        <w:gridCol w:w="4160"/>
      </w:tblGrid>
      <w:tr>
        <w:tc>
          <w:tcPr>
            <w:tcW w:type="dxa" w:w="32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2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XP Type</w:t>
            </w:r>
          </w:p>
        </w:tc>
        <w:tc>
          <w:tcPr>
            <w:tcW w:type="dxa" w:w="41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XP + Achievement</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Partner target list completed</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Build XP</w:t>
            </w:r>
          </w:p>
        </w:tc>
        <w:tc>
          <w:tcPr>
            <w:tcW w:type="dxa" w:w="4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+150 XP</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First backlink from DA 40+ domain</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Signal XP</w:t>
            </w:r>
          </w:p>
        </w:tc>
        <w:tc>
          <w:tcPr>
            <w:tcW w:type="dxa" w:w="4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+400 XP | Achievement: First Citation</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10 referring domains acquired</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Signal XP</w:t>
            </w:r>
          </w:p>
        </w:tc>
        <w:tc>
          <w:tcPr>
            <w:tcW w:type="dxa" w:w="4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+600 XP | Achievement: Link Builder</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First 211 network or library system link</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Signal XP</w:t>
            </w:r>
          </w:p>
        </w:tc>
        <w:tc>
          <w:tcPr>
            <w:tcW w:type="dxa" w:w="4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+300 XP | Achievement: Network Node</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30 referring domains by Month 12</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Milestone</w:t>
            </w:r>
          </w:p>
        </w:tc>
        <w:tc>
          <w:tcPr>
            <w:tcW w:type="dxa" w:w="4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+1,000 XP | Achievement: Authority Network</w:t>
            </w:r>
          </w:p>
        </w:tc>
      </w:tr>
    </w:tbl>
    <w:p>
      <w:pPr>
        <w:spacing w:before="40" w:after="0"/>
      </w:pPr>
      <w:r>
        <w:t xml:space="preserve"/>
      </w:r>
    </w:p>
    <w:p>
      <w:r>
        <w:br w:type="page"/>
      </w:r>
    </w:p>
    <w:p>
      <w:pPr>
        <w:pStyle w:val="Heading1"/>
        <w:pBdr>
          <w:bottom w:val="single" w:color="0E7490" w:sz="6" w:space="1"/>
        </w:pBdr>
        <w:spacing w:before="360" w:after="120"/>
      </w:pPr>
      <w:r>
        <w:rPr>
          <w:rFonts w:ascii="Arial" w:cs="Arial" w:eastAsia="Arial" w:hAnsi="Arial"/>
          <w:b/>
          <w:bCs/>
          <w:color w:val="1B3A6B"/>
          <w:sz w:val="32"/>
          <w:szCs w:val="32"/>
        </w:rPr>
        <w:t xml:space="preserve">Section 5 — Policy Interpretation Content Cluster</w:t>
      </w:r>
    </w:p>
    <w:p>
      <w:pPr>
        <w:pStyle w:val="Heading2"/>
        <w:spacing w:before="280" w:after="80"/>
      </w:pPr>
      <w:r>
        <w:rPr>
          <w:rFonts w:ascii="Arial" w:cs="Arial" w:eastAsia="Arial" w:hAnsi="Arial"/>
          <w:b/>
          <w:bCs/>
          <w:color w:val="0E7490"/>
          <w:sz w:val="26"/>
          <w:szCs w:val="26"/>
        </w:rPr>
        <w:t xml:space="preserve">Strategic Context</w:t>
      </w:r>
    </w:p>
    <w:p>
      <w:pPr>
        <w:spacing w:before="60" w:after="100"/>
      </w:pPr>
      <w:r>
        <w:rPr>
          <w:rFonts w:ascii="Arial" w:cs="Arial" w:eastAsia="Arial" w:hAnsi="Arial"/>
          <w:b w:val="false"/>
          <w:bCs w:val="false"/>
          <w:color w:val="334155"/>
          <w:sz w:val="20"/>
          <w:szCs w:val="20"/>
        </w:rPr>
        <w:t xml:space="preserve">Healthcare policy changes — Medicaid data-sharing rules, Medicare prior authorization changes, public charge rules, ACA regulatory updates — generate high-volume search traffic when they occur. This traffic is underserved. MyAdvocate is structurally positioned to serve it through plain-language policy explanation, without entering immigration law or individual legal advice.</w:t>
      </w:r>
    </w:p>
    <w:p>
      <w:pPr>
        <w:pBdr>
          <w:left w:val="single" w:color="0E7490" w:sz="12" w:space="6"/>
        </w:pBdr>
        <w:spacing w:before="120" w:after="120"/>
        <w:ind w:left="360"/>
      </w:pPr>
      <w:r>
        <w:rPr>
          <w:rFonts w:ascii="Arial" w:cs="Arial" w:eastAsia="Arial" w:hAnsi="Arial"/>
          <w:b/>
          <w:bCs/>
          <w:color w:val="1B3A6B"/>
          <w:sz w:val="20"/>
          <w:szCs w:val="20"/>
        </w:rPr>
        <w:t xml:space="preserve">Phase Assignment: </w:t>
      </w:r>
      <w:r>
        <w:rPr>
          <w:rFonts w:ascii="Arial" w:cs="Arial" w:eastAsia="Arial" w:hAnsi="Arial"/>
          <w:color w:val="334155"/>
          <w:sz w:val="20"/>
          <w:szCs w:val="20"/>
        </w:rPr>
        <w:t xml:space="preserve">Phase 4 SEO Engine. All existing SEO architecture rules apply. Each policy page must pass YMYL compliance review, route into the internal sales funnel, and include appropriate legal scope disclaimers.</w:t>
      </w:r>
    </w:p>
    <w:p>
      <w:pPr>
        <w:spacing w:before="40" w:after="0"/>
      </w:pPr>
      <w:r>
        <w:t xml:space="preserve"/>
      </w:r>
    </w:p>
    <w:p>
      <w:pPr>
        <w:pStyle w:val="Heading2"/>
        <w:spacing w:before="280" w:after="80"/>
      </w:pPr>
      <w:r>
        <w:rPr>
          <w:rFonts w:ascii="Arial" w:cs="Arial" w:eastAsia="Arial" w:hAnsi="Arial"/>
          <w:b/>
          <w:bCs/>
          <w:color w:val="0E7490"/>
          <w:sz w:val="26"/>
          <w:szCs w:val="26"/>
        </w:rPr>
        <w:t xml:space="preserve">Cluster Architecture</w:t>
      </w:r>
    </w:p>
    <w:tbl>
      <w:tblPr>
        <w:tblW w:type="dxa" w:w="9360"/>
      </w:tblPr>
      <w:tblGrid>
        <w:gridCol w:w="2800"/>
        <w:gridCol w:w="6560"/>
      </w:tblGrid>
      <w:tr>
        <w:tc>
          <w:tcPr>
            <w:tcW w:type="dxa" w:w="28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Sub-Cluster</w:t>
            </w:r>
          </w:p>
        </w:tc>
        <w:tc>
          <w:tcPr>
            <w:tcW w:type="dxa" w:w="65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Example Pages</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Medicaid Policy</w:t>
            </w:r>
          </w:p>
        </w:tc>
        <w:tc>
          <w:tcPr>
            <w:tcW w:type="dxa" w:w="6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Medicaid eligibility rules explained | Medicaid appeal process | What Medicaid covers | Medicaid data privacy rules | Medicaid and immigration status (informational only)</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Medicare Policy</w:t>
            </w:r>
          </w:p>
        </w:tc>
        <w:tc>
          <w:tcPr>
            <w:tcW w:type="dxa" w:w="6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Medicare prior authorization rules | Medicare appeal rights | Medicare coverage denials | Medicare coverage gaps explained</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ACA / Marketplace</w:t>
            </w:r>
          </w:p>
        </w:tc>
        <w:tc>
          <w:tcPr>
            <w:tcW w:type="dxa" w:w="6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Marketplace insurance appeals | What ACA plans must cover | Open enrollment explained | Marketplace coverage denials</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Insurance Regulation</w:t>
            </w:r>
          </w:p>
        </w:tc>
        <w:tc>
          <w:tcPr>
            <w:tcW w:type="dxa" w:w="6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What is prior authorization | State laws on insurance appeals | How insurance companies review claims | Balance billing laws by state</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Patient Rights Regulation</w:t>
            </w:r>
          </w:p>
        </w:tc>
        <w:tc>
          <w:tcPr>
            <w:tcW w:type="dxa" w:w="6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EMTALA explained | No Surprises Act explained | Hospital price transparency rules | Emergency billing protections</w:t>
            </w:r>
          </w:p>
        </w:tc>
      </w:tr>
    </w:tbl>
    <w:p>
      <w:pPr>
        <w:spacing w:before="80" w:after="0"/>
      </w:pPr>
      <w:r>
        <w:t xml:space="preserve"/>
      </w:r>
    </w:p>
    <w:p>
      <w:pPr>
        <w:pStyle w:val="Heading2"/>
        <w:spacing w:before="280" w:after="80"/>
      </w:pPr>
      <w:r>
        <w:rPr>
          <w:rFonts w:ascii="Arial" w:cs="Arial" w:eastAsia="Arial" w:hAnsi="Arial"/>
          <w:b/>
          <w:bCs/>
          <w:color w:val="0E7490"/>
          <w:sz w:val="26"/>
          <w:szCs w:val="26"/>
        </w:rPr>
        <w:t xml:space="preserve">Legal &amp; YMYL Compliance Rules — Policy Cluster</w:t>
      </w:r>
    </w:p>
    <w:p>
      <w:pPr>
        <w:spacing w:before="60" w:after="100"/>
      </w:pPr>
      <w:r>
        <w:rPr>
          <w:rFonts w:ascii="Arial" w:cs="Arial" w:eastAsia="Arial" w:hAnsi="Arial"/>
          <w:b w:val="false"/>
          <w:bCs w:val="false"/>
          <w:color w:val="334155"/>
          <w:sz w:val="20"/>
          <w:szCs w:val="20"/>
        </w:rPr>
        <w:t xml:space="preserve">These rules are binding on all policy interpretation content. No exceptions.</w:t>
      </w:r>
    </w:p>
    <w:p>
      <w:pPr>
        <w:pStyle w:val="ListParagraph"/>
        <w:numPr>
          <w:ilvl w:val="0"/>
          <w:numId w:val="2"/>
        </w:numPr>
        <w:spacing w:before="40" w:after="40"/>
      </w:pPr>
      <w:r>
        <w:rPr>
          <w:rFonts w:ascii="Arial" w:cs="Arial" w:eastAsia="Arial" w:hAnsi="Arial"/>
          <w:color w:val="334155"/>
          <w:sz w:val="20"/>
          <w:szCs w:val="20"/>
        </w:rPr>
        <w:t xml:space="preserve">ALLOWED: Explaining policy changes, summarizing government guidance, linking to official sources, directing users to legal aid organizations</w:t>
      </w:r>
    </w:p>
    <w:p>
      <w:pPr>
        <w:pStyle w:val="ListParagraph"/>
        <w:numPr>
          <w:ilvl w:val="0"/>
          <w:numId w:val="2"/>
        </w:numPr>
        <w:spacing w:before="40" w:after="40"/>
      </w:pPr>
      <w:r>
        <w:rPr>
          <w:rFonts w:ascii="Arial" w:cs="Arial" w:eastAsia="Arial" w:hAnsi="Arial"/>
          <w:color w:val="334155"/>
          <w:sz w:val="20"/>
          <w:szCs w:val="20"/>
        </w:rPr>
        <w:t xml:space="preserve">NOT ALLOWED: Advising users whether to enroll or withdraw from any program, interpreting immigration consequences for specific individuals, predicting enforcement outcomes, providing immigration legal strategy of any kind</w:t>
      </w:r>
    </w:p>
    <w:p>
      <w:pPr>
        <w:pStyle w:val="ListParagraph"/>
        <w:numPr>
          <w:ilvl w:val="0"/>
          <w:numId w:val="2"/>
        </w:numPr>
        <w:spacing w:before="40" w:after="40"/>
      </w:pPr>
      <w:r>
        <w:rPr>
          <w:rFonts w:ascii="Arial" w:cs="Arial" w:eastAsia="Arial" w:hAnsi="Arial"/>
          <w:color w:val="334155"/>
          <w:sz w:val="20"/>
          <w:szCs w:val="20"/>
        </w:rPr>
        <w:t xml:space="preserve">REQUIRED on every policy page: 'This page provides general information only. MyAdvocate is not a legal or immigration service. For advice about your specific situation, please consult a licensed attorney.'</w:t>
      </w:r>
    </w:p>
    <w:p>
      <w:pPr>
        <w:pStyle w:val="ListParagraph"/>
        <w:numPr>
          <w:ilvl w:val="0"/>
          <w:numId w:val="2"/>
        </w:numPr>
        <w:spacing w:before="40" w:after="40"/>
      </w:pPr>
      <w:r>
        <w:rPr>
          <w:rFonts w:ascii="Arial" w:cs="Arial" w:eastAsia="Arial" w:hAnsi="Arial"/>
          <w:color w:val="334155"/>
          <w:sz w:val="20"/>
          <w:szCs w:val="20"/>
        </w:rPr>
        <w:t xml:space="preserve">REQUIRED: Attorney review on any page touching immigration-adjacent content before publication</w:t>
      </w:r>
    </w:p>
    <w:p>
      <w:pPr>
        <w:pStyle w:val="ListParagraph"/>
        <w:numPr>
          <w:ilvl w:val="0"/>
          <w:numId w:val="2"/>
        </w:numPr>
        <w:spacing w:before="40" w:after="40"/>
      </w:pPr>
      <w:r>
        <w:rPr>
          <w:rFonts w:ascii="Arial" w:cs="Arial" w:eastAsia="Arial" w:hAnsi="Arial"/>
          <w:color w:val="334155"/>
          <w:sz w:val="20"/>
          <w:szCs w:val="20"/>
        </w:rPr>
        <w:t xml:space="preserve">REQUIRED: Kate editorial board review on all policy pages</w:t>
      </w:r>
    </w:p>
    <w:p>
      <w:pPr>
        <w:pStyle w:val="ListParagraph"/>
        <w:numPr>
          <w:ilvl w:val="0"/>
          <w:numId w:val="2"/>
        </w:numPr>
        <w:spacing w:before="40" w:after="40"/>
      </w:pPr>
      <w:r>
        <w:rPr>
          <w:rFonts w:ascii="Arial" w:cs="Arial" w:eastAsia="Arial" w:hAnsi="Arial"/>
          <w:color w:val="334155"/>
          <w:sz w:val="20"/>
          <w:szCs w:val="20"/>
        </w:rPr>
        <w:t xml:space="preserve">MONITORING: Policy pages are flagged as freshness-sensitive. Regulatory changes trigger immediate re-review.</w:t>
      </w:r>
    </w:p>
    <w:p>
      <w:pPr>
        <w:spacing w:before="40" w:after="0"/>
      </w:pPr>
      <w:r>
        <w:t xml:space="preserve"/>
      </w:r>
    </w:p>
    <w:p>
      <w:pPr>
        <w:pStyle w:val="Heading2"/>
        <w:spacing w:before="280" w:after="80"/>
      </w:pPr>
      <w:r>
        <w:rPr>
          <w:rFonts w:ascii="Arial" w:cs="Arial" w:eastAsia="Arial" w:hAnsi="Arial"/>
          <w:b/>
          <w:bCs/>
          <w:color w:val="0E7490"/>
          <w:sz w:val="26"/>
          <w:szCs w:val="26"/>
        </w:rPr>
        <w:t xml:space="preserve">Sales Funnel Integration</w:t>
      </w:r>
    </w:p>
    <w:p>
      <w:pPr>
        <w:spacing w:before="60" w:after="100"/>
      </w:pPr>
      <w:r>
        <w:rPr>
          <w:rFonts w:ascii="Arial" w:cs="Arial" w:eastAsia="Arial" w:hAnsi="Arial"/>
          <w:b w:val="false"/>
          <w:bCs w:val="false"/>
          <w:color w:val="334155"/>
          <w:sz w:val="20"/>
          <w:szCs w:val="20"/>
        </w:rPr>
        <w:t xml:space="preserve">Policy pages are top-of-funnel. Their job is to educate, establish trust, and route to tools. Every policy page must include:</w:t>
      </w:r>
    </w:p>
    <w:p>
      <w:pPr>
        <w:pStyle w:val="ListParagraph"/>
        <w:numPr>
          <w:ilvl w:val="0"/>
          <w:numId w:val="2"/>
        </w:numPr>
        <w:spacing w:before="40" w:after="40"/>
      </w:pPr>
      <w:r>
        <w:rPr>
          <w:rFonts w:ascii="Arial" w:cs="Arial" w:eastAsia="Arial" w:hAnsi="Arial"/>
          <w:color w:val="334155"/>
          <w:sz w:val="20"/>
          <w:szCs w:val="20"/>
        </w:rPr>
        <w:t xml:space="preserve">Relevant tool CTA: if the policy topic relates to denials → Insurance Denial Fighter; billing → Medical Bill Dispute Tool; complaint → complaint filing resource</w:t>
      </w:r>
    </w:p>
    <w:p>
      <w:pPr>
        <w:pStyle w:val="ListParagraph"/>
        <w:numPr>
          <w:ilvl w:val="0"/>
          <w:numId w:val="2"/>
        </w:numPr>
        <w:spacing w:before="40" w:after="40"/>
      </w:pPr>
      <w:r>
        <w:rPr>
          <w:rFonts w:ascii="Arial" w:cs="Arial" w:eastAsia="Arial" w:hAnsi="Arial"/>
          <w:color w:val="334155"/>
          <w:sz w:val="20"/>
          <w:szCs w:val="20"/>
        </w:rPr>
        <w:t xml:space="preserve">Email capture: 'Get updates when this regulation changes' opt-in module</w:t>
      </w:r>
    </w:p>
    <w:p>
      <w:pPr>
        <w:pStyle w:val="ListParagraph"/>
        <w:numPr>
          <w:ilvl w:val="0"/>
          <w:numId w:val="2"/>
        </w:numPr>
        <w:spacing w:before="40" w:after="40"/>
      </w:pPr>
      <w:r>
        <w:rPr>
          <w:rFonts w:ascii="Arial" w:cs="Arial" w:eastAsia="Arial" w:hAnsi="Arial"/>
          <w:color w:val="334155"/>
          <w:sz w:val="20"/>
          <w:szCs w:val="20"/>
        </w:rPr>
        <w:t xml:space="preserve">Resource Connector link: route to legal aid organizations for topics requiring attorney guidance</w:t>
      </w:r>
    </w:p>
    <w:p>
      <w:pPr>
        <w:pStyle w:val="ListParagraph"/>
        <w:numPr>
          <w:ilvl w:val="0"/>
          <w:numId w:val="2"/>
        </w:numPr>
        <w:spacing w:before="40" w:after="40"/>
      </w:pPr>
      <w:r>
        <w:rPr>
          <w:rFonts w:ascii="Arial" w:cs="Arial" w:eastAsia="Arial" w:hAnsi="Arial"/>
          <w:color w:val="334155"/>
          <w:sz w:val="20"/>
          <w:szCs w:val="20"/>
        </w:rPr>
        <w:t xml:space="preserve">Internal links: minimum 3 links to related cornerstone or cluster pages</w:t>
      </w:r>
    </w:p>
    <w:p>
      <w:pPr>
        <w:spacing w:before="40" w:after="0"/>
      </w:pPr>
      <w:r>
        <w:t xml:space="preserve"/>
      </w:r>
    </w:p>
    <w:p>
      <w:pPr>
        <w:pStyle w:val="Heading2"/>
        <w:spacing w:before="280" w:after="80"/>
      </w:pPr>
      <w:r>
        <w:rPr>
          <w:rFonts w:ascii="Arial" w:cs="Arial" w:eastAsia="Arial" w:hAnsi="Arial"/>
          <w:b/>
          <w:bCs/>
          <w:color w:val="0E7490"/>
          <w:sz w:val="26"/>
          <w:szCs w:val="26"/>
        </w:rPr>
        <w:t xml:space="preserve">Surge Response Protocol</w:t>
      </w:r>
    </w:p>
    <w:p>
      <w:pPr>
        <w:spacing w:before="60" w:after="100"/>
      </w:pPr>
      <w:r>
        <w:rPr>
          <w:rFonts w:ascii="Arial" w:cs="Arial" w:eastAsia="Arial" w:hAnsi="Arial"/>
          <w:b w:val="false"/>
          <w:bCs w:val="false"/>
          <w:color w:val="334155"/>
          <w:sz w:val="20"/>
          <w:szCs w:val="20"/>
        </w:rPr>
        <w:t xml:space="preserve">When a major policy change drives a search traffic spike (e.g., Medicaid rule change, CMS announcement), the following protocol activates:</w:t>
      </w:r>
    </w:p>
    <w:p>
      <w:pPr>
        <w:pStyle w:val="ListParagraph"/>
        <w:numPr>
          <w:ilvl w:val="0"/>
          <w:numId w:val="3"/>
        </w:numPr>
        <w:spacing w:before="40" w:after="40"/>
      </w:pPr>
      <w:r>
        <w:rPr>
          <w:rFonts w:ascii="Arial" w:cs="Arial" w:eastAsia="Arial" w:hAnsi="Arial"/>
          <w:color w:val="334155"/>
          <w:sz w:val="20"/>
          <w:szCs w:val="20"/>
        </w:rPr>
        <w:t xml:space="preserve">CMO Agent flags the policy topic based on Ahrefs keyword movement or news signal</w:t>
      </w:r>
    </w:p>
    <w:p>
      <w:pPr>
        <w:pStyle w:val="ListParagraph"/>
        <w:numPr>
          <w:ilvl w:val="0"/>
          <w:numId w:val="3"/>
        </w:numPr>
        <w:spacing w:before="40" w:after="40"/>
      </w:pPr>
      <w:r>
        <w:rPr>
          <w:rFonts w:ascii="Arial" w:cs="Arial" w:eastAsia="Arial" w:hAnsi="Arial"/>
          <w:color w:val="334155"/>
          <w:sz w:val="20"/>
          <w:szCs w:val="20"/>
        </w:rPr>
        <w:t xml:space="preserve">Topic enters priority publish queue — ahead of standard cadence</w:t>
      </w:r>
    </w:p>
    <w:p>
      <w:pPr>
        <w:pStyle w:val="ListParagraph"/>
        <w:numPr>
          <w:ilvl w:val="0"/>
          <w:numId w:val="3"/>
        </w:numPr>
        <w:spacing w:before="40" w:after="40"/>
      </w:pPr>
      <w:r>
        <w:rPr>
          <w:rFonts w:ascii="Arial" w:cs="Arial" w:eastAsia="Arial" w:hAnsi="Arial"/>
          <w:color w:val="334155"/>
          <w:sz w:val="20"/>
          <w:szCs w:val="20"/>
        </w:rPr>
        <w:t xml:space="preserve">Draft generated using policy page template</w:t>
      </w:r>
    </w:p>
    <w:p>
      <w:pPr>
        <w:pStyle w:val="ListParagraph"/>
        <w:numPr>
          <w:ilvl w:val="0"/>
          <w:numId w:val="3"/>
        </w:numPr>
        <w:spacing w:before="40" w:after="40"/>
      </w:pPr>
      <w:r>
        <w:rPr>
          <w:rFonts w:ascii="Arial" w:cs="Arial" w:eastAsia="Arial" w:hAnsi="Arial"/>
          <w:color w:val="334155"/>
          <w:sz w:val="20"/>
          <w:szCs w:val="20"/>
        </w:rPr>
        <w:t xml:space="preserve">Attorney review requested within 24 hours if immigration-adjacent</w:t>
      </w:r>
    </w:p>
    <w:p>
      <w:pPr>
        <w:pStyle w:val="ListParagraph"/>
        <w:numPr>
          <w:ilvl w:val="0"/>
          <w:numId w:val="3"/>
        </w:numPr>
        <w:spacing w:before="40" w:after="40"/>
      </w:pPr>
      <w:r>
        <w:rPr>
          <w:rFonts w:ascii="Arial" w:cs="Arial" w:eastAsia="Arial" w:hAnsi="Arial"/>
          <w:color w:val="334155"/>
          <w:sz w:val="20"/>
          <w:szCs w:val="20"/>
        </w:rPr>
        <w:t xml:space="preserve">Kate review within 48 hours</w:t>
      </w:r>
    </w:p>
    <w:p>
      <w:pPr>
        <w:pStyle w:val="ListParagraph"/>
        <w:numPr>
          <w:ilvl w:val="0"/>
          <w:numId w:val="3"/>
        </w:numPr>
        <w:spacing w:before="40" w:after="40"/>
      </w:pPr>
      <w:r>
        <w:rPr>
          <w:rFonts w:ascii="Arial" w:cs="Arial" w:eastAsia="Arial" w:hAnsi="Arial"/>
          <w:color w:val="334155"/>
          <w:sz w:val="20"/>
          <w:szCs w:val="20"/>
        </w:rPr>
        <w:t xml:space="preserve">Published with surge-timing tag (tracks whether surge articles outperform standard cadence)</w:t>
      </w:r>
    </w:p>
    <w:p>
      <w:pPr>
        <w:spacing w:before="40" w:after="0"/>
      </w:pPr>
      <w:r>
        <w:t xml:space="preserve"/>
      </w:r>
    </w:p>
    <w:p>
      <w:pPr>
        <w:pStyle w:val="Heading2"/>
        <w:spacing w:before="280" w:after="80"/>
      </w:pPr>
      <w:r>
        <w:rPr>
          <w:rFonts w:ascii="Arial" w:cs="Arial" w:eastAsia="Arial" w:hAnsi="Arial"/>
          <w:b/>
          <w:bCs/>
          <w:color w:val="0E7490"/>
          <w:sz w:val="26"/>
          <w:szCs w:val="26"/>
        </w:rPr>
        <w:t xml:space="preserve">Agent Assignment</w:t>
      </w:r>
    </w:p>
    <w:p>
      <w:pPr>
        <w:pBdr>
          <w:left w:val="single" w:color="0E7490" w:sz="12" w:space="6"/>
        </w:pBdr>
        <w:spacing w:before="120" w:after="120"/>
        <w:ind w:left="360"/>
      </w:pPr>
      <w:r>
        <w:rPr>
          <w:rFonts w:ascii="Arial" w:cs="Arial" w:eastAsia="Arial" w:hAnsi="Arial"/>
          <w:b/>
          <w:bCs/>
          <w:color w:val="1B3A6B"/>
          <w:sz w:val="20"/>
          <w:szCs w:val="20"/>
        </w:rPr>
        <w:t xml:space="preserve">CMO Agent: </w:t>
      </w:r>
      <w:r>
        <w:rPr>
          <w:rFonts w:ascii="Arial" w:cs="Arial" w:eastAsia="Arial" w:hAnsi="Arial"/>
          <w:color w:val="334155"/>
          <w:sz w:val="20"/>
          <w:szCs w:val="20"/>
        </w:rPr>
        <w:t xml:space="preserve">Policy cluster monitoring, surge detection, topic queuing. Should include policy keyword movement in weekly SEO report.</w:t>
      </w:r>
    </w:p>
    <w:p>
      <w:pPr>
        <w:pBdr>
          <w:left w:val="single" w:color="0E7490" w:sz="12" w:space="6"/>
        </w:pBdr>
        <w:spacing w:before="120" w:after="120"/>
        <w:ind w:left="360"/>
      </w:pPr>
      <w:r>
        <w:rPr>
          <w:rFonts w:ascii="Arial" w:cs="Arial" w:eastAsia="Arial" w:hAnsi="Arial"/>
          <w:b/>
          <w:bCs/>
          <w:color w:val="1B3A6B"/>
          <w:sz w:val="20"/>
          <w:szCs w:val="20"/>
        </w:rPr>
        <w:t xml:space="preserve">Content Refresh Agent: </w:t>
      </w:r>
      <w:r>
        <w:rPr>
          <w:rFonts w:ascii="Arial" w:cs="Arial" w:eastAsia="Arial" w:hAnsi="Arial"/>
          <w:color w:val="334155"/>
          <w:sz w:val="20"/>
          <w:szCs w:val="20"/>
        </w:rPr>
        <w:t xml:space="preserve">Policy pages classified as freshness-sensitive. Any government source change triggers re-review. Six-month review cycle minimum.</w:t>
      </w:r>
    </w:p>
    <w:p>
      <w:pPr>
        <w:spacing w:before="40" w:after="0"/>
      </w:pPr>
      <w:r>
        <w:t xml:space="preserve"/>
      </w:r>
    </w:p>
    <w:p>
      <w:pPr>
        <w:pStyle w:val="Heading2"/>
        <w:spacing w:before="280" w:after="80"/>
      </w:pPr>
      <w:r>
        <w:rPr>
          <w:rFonts w:ascii="Arial" w:cs="Arial" w:eastAsia="Arial" w:hAnsi="Arial"/>
          <w:b/>
          <w:bCs/>
          <w:color w:val="0E7490"/>
          <w:sz w:val="26"/>
          <w:szCs w:val="26"/>
        </w:rPr>
        <w:t xml:space="preserve">Metrics Tracked</w:t>
      </w:r>
    </w:p>
    <w:p>
      <w:pPr>
        <w:pStyle w:val="ListParagraph"/>
        <w:numPr>
          <w:ilvl w:val="0"/>
          <w:numId w:val="2"/>
        </w:numPr>
        <w:spacing w:before="40" w:after="40"/>
      </w:pPr>
      <w:r>
        <w:rPr>
          <w:rFonts w:ascii="Arial" w:cs="Arial" w:eastAsia="Arial" w:hAnsi="Arial"/>
          <w:color w:val="334155"/>
          <w:sz w:val="20"/>
          <w:szCs w:val="20"/>
        </w:rPr>
        <w:t xml:space="preserve">Policy cluster page count (target: 30 pages by Month 9, 75 by Month 18)</w:t>
      </w:r>
    </w:p>
    <w:p>
      <w:pPr>
        <w:pStyle w:val="ListParagraph"/>
        <w:numPr>
          <w:ilvl w:val="0"/>
          <w:numId w:val="2"/>
        </w:numPr>
        <w:spacing w:before="40" w:after="40"/>
      </w:pPr>
      <w:r>
        <w:rPr>
          <w:rFonts w:ascii="Arial" w:cs="Arial" w:eastAsia="Arial" w:hAnsi="Arial"/>
          <w:color w:val="334155"/>
          <w:sz w:val="20"/>
          <w:szCs w:val="20"/>
        </w:rPr>
        <w:t xml:space="preserve">Policy page traffic share (% of total organic traffic from policy cluster — track separately)</w:t>
      </w:r>
    </w:p>
    <w:p>
      <w:pPr>
        <w:pStyle w:val="ListParagraph"/>
        <w:numPr>
          <w:ilvl w:val="0"/>
          <w:numId w:val="2"/>
        </w:numPr>
        <w:spacing w:before="40" w:after="40"/>
      </w:pPr>
      <w:r>
        <w:rPr>
          <w:rFonts w:ascii="Arial" w:cs="Arial" w:eastAsia="Arial" w:hAnsi="Arial"/>
          <w:color w:val="334155"/>
          <w:sz w:val="20"/>
          <w:szCs w:val="20"/>
        </w:rPr>
        <w:t xml:space="preserve">Tool CTA conversion rate from policy pages (vs. denial code pages — expect lower; benchmark separately)</w:t>
      </w:r>
    </w:p>
    <w:p>
      <w:pPr>
        <w:pStyle w:val="ListParagraph"/>
        <w:numPr>
          <w:ilvl w:val="0"/>
          <w:numId w:val="2"/>
        </w:numPr>
        <w:spacing w:before="40" w:after="40"/>
      </w:pPr>
      <w:r>
        <w:rPr>
          <w:rFonts w:ascii="Arial" w:cs="Arial" w:eastAsia="Arial" w:hAnsi="Arial"/>
          <w:color w:val="334155"/>
          <w:sz w:val="20"/>
          <w:szCs w:val="20"/>
        </w:rPr>
        <w:t xml:space="preserve">Surge article performance: do surge-timed articles outperform standard cadence? Track 30-day post-publish</w:t>
      </w:r>
    </w:p>
    <w:p>
      <w:pPr>
        <w:spacing w:before="40" w:after="0"/>
      </w:pPr>
      <w:r>
        <w:t xml:space="preserve"/>
      </w:r>
    </w:p>
    <w:p>
      <w:pPr>
        <w:pStyle w:val="Heading2"/>
        <w:spacing w:before="280" w:after="80"/>
      </w:pPr>
      <w:r>
        <w:rPr>
          <w:rFonts w:ascii="Arial" w:cs="Arial" w:eastAsia="Arial" w:hAnsi="Arial"/>
          <w:b/>
          <w:bCs/>
          <w:color w:val="0E7490"/>
          <w:sz w:val="26"/>
          <w:szCs w:val="26"/>
        </w:rPr>
        <w:t xml:space="preserve">Gamification Integration</w:t>
      </w:r>
    </w:p>
    <w:tbl>
      <w:tblPr>
        <w:tblW w:type="dxa" w:w="9360"/>
      </w:tblPr>
      <w:tblGrid>
        <w:gridCol w:w="3200"/>
        <w:gridCol w:w="2000"/>
        <w:gridCol w:w="4160"/>
      </w:tblGrid>
      <w:tr>
        <w:tc>
          <w:tcPr>
            <w:tcW w:type="dxa" w:w="32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2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XP Type</w:t>
            </w:r>
          </w:p>
        </w:tc>
        <w:tc>
          <w:tcPr>
            <w:tcW w:type="dxa" w:w="41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XP + Achievement</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First policy cluster live (10 pages)</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Compounding XP</w:t>
            </w:r>
          </w:p>
        </w:tc>
        <w:tc>
          <w:tcPr>
            <w:tcW w:type="dxa" w:w="4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+300 XP | Achievement: Policy Translator</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First surge article published within 72h of policy change</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Compounding XP</w:t>
            </w:r>
          </w:p>
        </w:tc>
        <w:tc>
          <w:tcPr>
            <w:tcW w:type="dxa" w:w="4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+250 XP | Achievement: Fast Advocate</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Policy cluster reaches 50 pages</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Signal XP</w:t>
            </w:r>
          </w:p>
        </w:tc>
        <w:tc>
          <w:tcPr>
            <w:tcW w:type="dxa" w:w="4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+500 XP | Achievement: Policy Authority</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Zero compliance failures on policy pages</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Discipline XP</w:t>
            </w:r>
          </w:p>
        </w:tc>
        <w:tc>
          <w:tcPr>
            <w:tcW w:type="dxa" w:w="4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+150 XP/quarter streak</w:t>
            </w:r>
          </w:p>
        </w:tc>
      </w:tr>
    </w:tbl>
    <w:p>
      <w:pPr>
        <w:spacing w:before="40" w:after="0"/>
      </w:pPr>
      <w:r>
        <w:t xml:space="preserve"/>
      </w:r>
    </w:p>
    <w:p>
      <w:r>
        <w:br w:type="page"/>
      </w:r>
    </w:p>
    <w:p>
      <w:pPr>
        <w:pStyle w:val="Heading1"/>
        <w:pBdr>
          <w:bottom w:val="single" w:color="0E7490" w:sz="6" w:space="1"/>
        </w:pBdr>
        <w:spacing w:before="360" w:after="120"/>
      </w:pPr>
      <w:r>
        <w:rPr>
          <w:rFonts w:ascii="Arial" w:cs="Arial" w:eastAsia="Arial" w:hAnsi="Arial"/>
          <w:b/>
          <w:bCs/>
          <w:color w:val="1B3A6B"/>
          <w:sz w:val="32"/>
          <w:szCs w:val="32"/>
        </w:rPr>
        <w:t xml:space="preserve">Section 6 — Content Refresh Cadence Formalization</w:t>
      </w:r>
    </w:p>
    <w:p>
      <w:pPr>
        <w:pStyle w:val="Heading2"/>
        <w:spacing w:before="280" w:after="80"/>
      </w:pPr>
      <w:r>
        <w:rPr>
          <w:rFonts w:ascii="Arial" w:cs="Arial" w:eastAsia="Arial" w:hAnsi="Arial"/>
          <w:b/>
          <w:bCs/>
          <w:color w:val="0E7490"/>
          <w:sz w:val="26"/>
          <w:szCs w:val="26"/>
        </w:rPr>
        <w:t xml:space="preserve">Strategic Context</w:t>
      </w:r>
    </w:p>
    <w:p>
      <w:pPr>
        <w:spacing w:before="60" w:after="100"/>
      </w:pPr>
      <w:r>
        <w:rPr>
          <w:rFonts w:ascii="Arial" w:cs="Arial" w:eastAsia="Arial" w:hAnsi="Arial"/>
          <w:b w:val="false"/>
          <w:bCs w:val="false"/>
          <w:color w:val="334155"/>
          <w:sz w:val="20"/>
          <w:szCs w:val="20"/>
        </w:rPr>
        <w:t xml:space="preserve">The content refresh system already exists in the architecture (MA-SEO refresh framework, Content Production Review Framework v2). What has been missing is a single binding formalization of: the tier thresholds, the trigger types, the review cadence, the agent responsible, and the founder dashboard signal. This section locks that in.</w:t>
      </w:r>
    </w:p>
    <w:p>
      <w:pPr>
        <w:pStyle w:val="Heading2"/>
        <w:spacing w:before="280" w:after="80"/>
      </w:pPr>
      <w:r>
        <w:rPr>
          <w:rFonts w:ascii="Arial" w:cs="Arial" w:eastAsia="Arial" w:hAnsi="Arial"/>
          <w:b/>
          <w:bCs/>
          <w:color w:val="0E7490"/>
          <w:sz w:val="26"/>
          <w:szCs w:val="26"/>
        </w:rPr>
        <w:t xml:space="preserve">Content Tier Refresh Thresholds</w:t>
      </w:r>
    </w:p>
    <w:p>
      <w:pPr>
        <w:spacing w:before="40" w:after="0"/>
      </w:pPr>
      <w:r>
        <w:t xml:space="preserve"/>
      </w:r>
    </w:p>
    <w:tbl>
      <w:tblPr>
        <w:tblW w:type="dxa" w:w="9360"/>
      </w:tblPr>
      <w:tblGrid>
        <w:gridCol w:w="1200"/>
        <w:gridCol w:w="2800"/>
        <w:gridCol w:w="2680"/>
        <w:gridCol w:w="2680"/>
      </w:tblGrid>
      <w:tr>
        <w:tc>
          <w:tcPr>
            <w:tcW w:type="dxa" w:w="12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28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Content Type</w:t>
            </w:r>
          </w:p>
        </w:tc>
        <w:tc>
          <w:tcPr>
            <w:tcW w:type="dxa" w:w="268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Standard Review Cycle</w:t>
            </w:r>
          </w:p>
        </w:tc>
        <w:tc>
          <w:tcPr>
            <w:tcW w:type="dxa" w:w="268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Trigger Override</w:t>
            </w:r>
          </w:p>
        </w:tc>
      </w:tr>
      <w:tr>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Tier 1</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Denial codes, programmatic pages</w:t>
            </w:r>
          </w:p>
        </w:tc>
        <w:tc>
          <w:tcPr>
            <w:tcW w:type="dxa" w:w="26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18–24 months</w:t>
            </w:r>
          </w:p>
        </w:tc>
        <w:tc>
          <w:tcPr>
            <w:tcW w:type="dxa" w:w="26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Denial code standard update, AMA/NUCC release</w:t>
            </w:r>
          </w:p>
        </w:tc>
      </w:tr>
      <w:tr>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Tier 2</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Editorial cluster pages, navigation guides</w:t>
            </w:r>
          </w:p>
        </w:tc>
        <w:tc>
          <w:tcPr>
            <w:tcW w:type="dxa" w:w="26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9–12 months</w:t>
            </w:r>
          </w:p>
        </w:tc>
        <w:tc>
          <w:tcPr>
            <w:tcW w:type="dxa" w:w="26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&gt;20% impression drop, &gt;30% CTR drop, source change</w:t>
            </w:r>
          </w:p>
        </w:tc>
      </w:tr>
      <w:tr>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Tier 3</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Cornerstone guides, policy pages, state rights</w:t>
            </w:r>
          </w:p>
        </w:tc>
        <w:tc>
          <w:tcPr>
            <w:tcW w:type="dxa" w:w="26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6 months</w:t>
            </w:r>
          </w:p>
        </w:tc>
        <w:tc>
          <w:tcPr>
            <w:tcW w:type="dxa" w:w="26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Any statute/agency change, attorney flags, &gt;40% traffic drop</w:t>
            </w:r>
          </w:p>
        </w:tc>
      </w:tr>
      <w:tr>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Surge</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Policy surge articles</w:t>
            </w:r>
          </w:p>
        </w:tc>
        <w:tc>
          <w:tcPr>
            <w:tcW w:type="dxa" w:w="26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3 months post-publish</w:t>
            </w:r>
          </w:p>
        </w:tc>
        <w:tc>
          <w:tcPr>
            <w:tcW w:type="dxa" w:w="26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Regulation changes, news cycle shifts</w:t>
            </w:r>
          </w:p>
        </w:tc>
      </w:tr>
    </w:tbl>
    <w:p>
      <w:pPr>
        <w:spacing w:before="80" w:after="0"/>
      </w:pPr>
      <w:r>
        <w:t xml:space="preserve"/>
      </w:r>
    </w:p>
    <w:p>
      <w:pPr>
        <w:pStyle w:val="Heading2"/>
        <w:spacing w:before="280" w:after="80"/>
      </w:pPr>
      <w:r>
        <w:rPr>
          <w:rFonts w:ascii="Arial" w:cs="Arial" w:eastAsia="Arial" w:hAnsi="Arial"/>
          <w:b/>
          <w:bCs/>
          <w:color w:val="0E7490"/>
          <w:sz w:val="26"/>
          <w:szCs w:val="26"/>
        </w:rPr>
        <w:t xml:space="preserve">Refresh Trigger Types</w:t>
      </w:r>
    </w:p>
    <w:tbl>
      <w:tblPr>
        <w:tblW w:type="dxa" w:w="9360"/>
      </w:tblPr>
      <w:tblGrid>
        <w:gridCol w:w="3600"/>
        <w:gridCol w:w="5760"/>
      </w:tblGrid>
      <w:tr>
        <w:tc>
          <w:tcPr>
            <w:tcW w:type="dxa" w:w="36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57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Action</w:t>
            </w:r>
          </w:p>
        </w:tc>
      </w:tr>
      <w:tr>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Stale age threshold reached (per tier)</w:t>
            </w:r>
          </w:p>
        </w:tc>
        <w:tc>
          <w:tcPr>
            <w:tcW w:type="dxa" w:w="5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Auto-flag to refresh queue</w:t>
            </w:r>
          </w:p>
        </w:tc>
      </w:tr>
      <w:tr>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&gt;20% impression drop over 30 days</w:t>
            </w:r>
          </w:p>
        </w:tc>
        <w:tc>
          <w:tcPr>
            <w:tcW w:type="dxa" w:w="5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Content + CTA audit — enter refresh queue</w:t>
            </w:r>
          </w:p>
        </w:tc>
      </w:tr>
      <w:tr>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&gt;30% CTR drop vs 90-day baseline</w:t>
            </w:r>
          </w:p>
        </w:tc>
        <w:tc>
          <w:tcPr>
            <w:tcW w:type="dxa" w:w="5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Title/meta review — medium priority</w:t>
            </w:r>
          </w:p>
        </w:tc>
      </w:tr>
      <w:tr>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&gt;40% traffic drop vs 90-day baseline</w:t>
            </w:r>
          </w:p>
        </w:tc>
        <w:tc>
          <w:tcPr>
            <w:tcW w:type="dxa" w:w="5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Investigate + refresh — high priority</w:t>
            </w:r>
          </w:p>
        </w:tc>
      </w:tr>
      <w:tr>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Statute/agency source cited on page changes</w:t>
            </w:r>
          </w:p>
        </w:tc>
        <w:tc>
          <w:tcPr>
            <w:tcW w:type="dxa" w:w="5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Immediate re-review — tier escalation</w:t>
            </w:r>
          </w:p>
        </w:tc>
      </w:tr>
      <w:tr>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Linked tool CTA version changes</w:t>
            </w:r>
          </w:p>
        </w:tc>
        <w:tc>
          <w:tcPr>
            <w:tcW w:type="dxa" w:w="5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Re-check routing + CTA language</w:t>
            </w:r>
          </w:p>
        </w:tc>
      </w:tr>
      <w:tr>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Denial code standard update (AMA/NUCC)</w:t>
            </w:r>
          </w:p>
        </w:tc>
        <w:tc>
          <w:tcPr>
            <w:tcW w:type="dxa" w:w="5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Batch update affected code pages</w:t>
            </w:r>
          </w:p>
        </w:tc>
      </w:tr>
      <w:tr>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Attorney feedback post-publish</w:t>
            </w:r>
          </w:p>
        </w:tc>
        <w:tc>
          <w:tcPr>
            <w:tcW w:type="dxa" w:w="5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Immediate de-prioritize, re-review, update or unpublish</w:t>
            </w:r>
          </w:p>
        </w:tc>
      </w:tr>
      <w:tr>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Kate flags clinical accuracy concern</w:t>
            </w:r>
          </w:p>
        </w:tc>
        <w:tc>
          <w:tcPr>
            <w:tcW w:type="dxa" w:w="5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Immediate — page goes to draft status pending correction</w:t>
            </w:r>
          </w:p>
        </w:tc>
      </w:tr>
    </w:tbl>
    <w:p>
      <w:pPr>
        <w:spacing w:before="80" w:after="0"/>
      </w:pPr>
      <w:r>
        <w:t xml:space="preserve"/>
      </w:r>
    </w:p>
    <w:p>
      <w:pPr>
        <w:pStyle w:val="Heading2"/>
        <w:spacing w:before="280" w:after="80"/>
      </w:pPr>
      <w:r>
        <w:rPr>
          <w:rFonts w:ascii="Arial" w:cs="Arial" w:eastAsia="Arial" w:hAnsi="Arial"/>
          <w:b/>
          <w:bCs/>
          <w:color w:val="0E7490"/>
          <w:sz w:val="26"/>
          <w:szCs w:val="26"/>
        </w:rPr>
        <w:t xml:space="preserve">Refresh Priority Score</w:t>
      </w:r>
    </w:p>
    <w:p>
      <w:pPr>
        <w:spacing w:before="60" w:after="100"/>
      </w:pPr>
      <w:r>
        <w:rPr>
          <w:rFonts w:ascii="Arial" w:cs="Arial" w:eastAsia="Arial" w:hAnsi="Arial"/>
          <w:b w:val="false"/>
          <w:bCs w:val="false"/>
          <w:color w:val="334155"/>
          <w:sz w:val="20"/>
          <w:szCs w:val="20"/>
        </w:rPr>
        <w:t xml:space="preserve">Every page carries a refresh_priority_score (0–100). Pages scoring above 70 enter the refresh queue automatically. Pages above 90 are escalated to the founder dashboard as urgent. Score is calculated from:</w:t>
      </w:r>
    </w:p>
    <w:p>
      <w:pPr>
        <w:pStyle w:val="ListParagraph"/>
        <w:numPr>
          <w:ilvl w:val="0"/>
          <w:numId w:val="2"/>
        </w:numPr>
        <w:spacing w:before="40" w:after="40"/>
      </w:pPr>
      <w:r>
        <w:rPr>
          <w:rFonts w:ascii="Arial" w:cs="Arial" w:eastAsia="Arial" w:hAnsi="Arial"/>
          <w:color w:val="334155"/>
          <w:sz w:val="20"/>
          <w:szCs w:val="20"/>
        </w:rPr>
        <w:t xml:space="preserve">Stale age vs tier threshold: 30% weight</w:t>
      </w:r>
    </w:p>
    <w:p>
      <w:pPr>
        <w:pStyle w:val="ListParagraph"/>
        <w:numPr>
          <w:ilvl w:val="0"/>
          <w:numId w:val="2"/>
        </w:numPr>
        <w:spacing w:before="40" w:after="40"/>
      </w:pPr>
      <w:r>
        <w:rPr>
          <w:rFonts w:ascii="Arial" w:cs="Arial" w:eastAsia="Arial" w:hAnsi="Arial"/>
          <w:color w:val="334155"/>
          <w:sz w:val="20"/>
          <w:szCs w:val="20"/>
        </w:rPr>
        <w:t xml:space="preserve">Performance decay (ranking + CTR + traffic composite): 25% weight</w:t>
      </w:r>
    </w:p>
    <w:p>
      <w:pPr>
        <w:pStyle w:val="ListParagraph"/>
        <w:numPr>
          <w:ilvl w:val="0"/>
          <w:numId w:val="2"/>
        </w:numPr>
        <w:spacing w:before="40" w:after="40"/>
      </w:pPr>
      <w:r>
        <w:rPr>
          <w:rFonts w:ascii="Arial" w:cs="Arial" w:eastAsia="Arial" w:hAnsi="Arial"/>
          <w:color w:val="334155"/>
          <w:sz w:val="20"/>
          <w:szCs w:val="20"/>
        </w:rPr>
        <w:t xml:space="preserve">Source dependency risk (statute-backed pages score higher): 20% weight</w:t>
      </w:r>
    </w:p>
    <w:p>
      <w:pPr>
        <w:pStyle w:val="ListParagraph"/>
        <w:numPr>
          <w:ilvl w:val="0"/>
          <w:numId w:val="2"/>
        </w:numPr>
        <w:spacing w:before="40" w:after="40"/>
      </w:pPr>
      <w:r>
        <w:rPr>
          <w:rFonts w:ascii="Arial" w:cs="Arial" w:eastAsia="Arial" w:hAnsi="Arial"/>
          <w:color w:val="334155"/>
          <w:sz w:val="20"/>
          <w:szCs w:val="20"/>
        </w:rPr>
        <w:t xml:space="preserve">Tier 3 multiplier (1.5x score): 15% weight</w:t>
      </w:r>
    </w:p>
    <w:p>
      <w:pPr>
        <w:pStyle w:val="ListParagraph"/>
        <w:numPr>
          <w:ilvl w:val="0"/>
          <w:numId w:val="2"/>
        </w:numPr>
        <w:spacing w:before="40" w:after="40"/>
      </w:pPr>
      <w:r>
        <w:rPr>
          <w:rFonts w:ascii="Arial" w:cs="Arial" w:eastAsia="Arial" w:hAnsi="Arial"/>
          <w:color w:val="334155"/>
          <w:sz w:val="20"/>
          <w:szCs w:val="20"/>
        </w:rPr>
        <w:t xml:space="preserve">Tool CTA integrity: 10% weight</w:t>
      </w:r>
    </w:p>
    <w:p>
      <w:pPr>
        <w:spacing w:before="40" w:after="0"/>
      </w:pPr>
      <w:r>
        <w:t xml:space="preserve"/>
      </w:r>
    </w:p>
    <w:p>
      <w:pPr>
        <w:pStyle w:val="Heading2"/>
        <w:spacing w:before="280" w:after="80"/>
      </w:pPr>
      <w:r>
        <w:rPr>
          <w:rFonts w:ascii="Arial" w:cs="Arial" w:eastAsia="Arial" w:hAnsi="Arial"/>
          <w:b/>
          <w:bCs/>
          <w:color w:val="0E7490"/>
          <w:sz w:val="26"/>
          <w:szCs w:val="26"/>
        </w:rPr>
        <w:t xml:space="preserve">Refresh Workflow</w:t>
      </w:r>
    </w:p>
    <w:p>
      <w:pPr>
        <w:pStyle w:val="ListParagraph"/>
        <w:numPr>
          <w:ilvl w:val="0"/>
          <w:numId w:val="3"/>
        </w:numPr>
        <w:spacing w:before="40" w:after="40"/>
      </w:pPr>
      <w:r>
        <w:rPr>
          <w:rFonts w:ascii="Arial" w:cs="Arial" w:eastAsia="Arial" w:hAnsi="Arial"/>
          <w:color w:val="334155"/>
          <w:sz w:val="20"/>
          <w:szCs w:val="20"/>
        </w:rPr>
        <w:t xml:space="preserve">Content Refresh Agent identifies pages meeting trigger criteria</w:t>
      </w:r>
    </w:p>
    <w:p>
      <w:pPr>
        <w:pStyle w:val="ListParagraph"/>
        <w:numPr>
          <w:ilvl w:val="0"/>
          <w:numId w:val="3"/>
        </w:numPr>
        <w:spacing w:before="40" w:after="40"/>
      </w:pPr>
      <w:r>
        <w:rPr>
          <w:rFonts w:ascii="Arial" w:cs="Arial" w:eastAsia="Arial" w:hAnsi="Arial"/>
          <w:color w:val="334155"/>
          <w:sz w:val="20"/>
          <w:szCs w:val="20"/>
        </w:rPr>
        <w:t xml:space="preserve">Page enters refresh queue with priority score</w:t>
      </w:r>
    </w:p>
    <w:p>
      <w:pPr>
        <w:pStyle w:val="ListParagraph"/>
        <w:numPr>
          <w:ilvl w:val="0"/>
          <w:numId w:val="3"/>
        </w:numPr>
        <w:spacing w:before="40" w:after="40"/>
      </w:pPr>
      <w:r>
        <w:rPr>
          <w:rFonts w:ascii="Arial" w:cs="Arial" w:eastAsia="Arial" w:hAnsi="Arial"/>
          <w:color w:val="334155"/>
          <w:sz w:val="20"/>
          <w:szCs w:val="20"/>
        </w:rPr>
        <w:t xml:space="preserve">Agent generates suggested updates (new sections, updated sources, CTA fixes)</w:t>
      </w:r>
    </w:p>
    <w:p>
      <w:pPr>
        <w:pStyle w:val="ListParagraph"/>
        <w:numPr>
          <w:ilvl w:val="0"/>
          <w:numId w:val="3"/>
        </w:numPr>
        <w:spacing w:before="40" w:after="40"/>
      </w:pPr>
      <w:r>
        <w:rPr>
          <w:rFonts w:ascii="Arial" w:cs="Arial" w:eastAsia="Arial" w:hAnsi="Arial"/>
          <w:color w:val="334155"/>
          <w:sz w:val="20"/>
          <w:szCs w:val="20"/>
        </w:rPr>
        <w:t xml:space="preserve">Founder or Kate reviews draft updates (based on tier)</w:t>
      </w:r>
    </w:p>
    <w:p>
      <w:pPr>
        <w:pStyle w:val="ListParagraph"/>
        <w:numPr>
          <w:ilvl w:val="0"/>
          <w:numId w:val="3"/>
        </w:numPr>
        <w:spacing w:before="40" w:after="40"/>
      </w:pPr>
      <w:r>
        <w:rPr>
          <w:rFonts w:ascii="Arial" w:cs="Arial" w:eastAsia="Arial" w:hAnsi="Arial"/>
          <w:color w:val="334155"/>
          <w:sz w:val="20"/>
          <w:szCs w:val="20"/>
        </w:rPr>
        <w:t xml:space="preserve">Updated content published with new last_reviewed_date stamped</w:t>
      </w:r>
    </w:p>
    <w:p>
      <w:pPr>
        <w:pStyle w:val="ListParagraph"/>
        <w:numPr>
          <w:ilvl w:val="0"/>
          <w:numId w:val="3"/>
        </w:numPr>
        <w:spacing w:before="40" w:after="40"/>
      </w:pPr>
      <w:r>
        <w:rPr>
          <w:rFonts w:ascii="Arial" w:cs="Arial" w:eastAsia="Arial" w:hAnsi="Arial"/>
          <w:color w:val="334155"/>
          <w:sz w:val="20"/>
          <w:szCs w:val="20"/>
        </w:rPr>
        <w:t xml:space="preserve">Refresh logged in content audit trail</w:t>
      </w:r>
    </w:p>
    <w:p>
      <w:pPr>
        <w:spacing w:before="40" w:after="0"/>
      </w:pPr>
      <w:r>
        <w:t xml:space="preserve"/>
      </w:r>
    </w:p>
    <w:p>
      <w:pPr>
        <w:pStyle w:val="Heading2"/>
        <w:spacing w:before="280" w:after="80"/>
      </w:pPr>
      <w:r>
        <w:rPr>
          <w:rFonts w:ascii="Arial" w:cs="Arial" w:eastAsia="Arial" w:hAnsi="Arial"/>
          <w:b/>
          <w:bCs/>
          <w:color w:val="0E7490"/>
          <w:sz w:val="26"/>
          <w:szCs w:val="26"/>
        </w:rPr>
        <w:t xml:space="preserve">Phase Activation</w:t>
      </w:r>
    </w:p>
    <w:p>
      <w:pPr>
        <w:pBdr>
          <w:left w:val="single" w:color="0E7490" w:sz="12" w:space="6"/>
        </w:pBdr>
        <w:spacing w:before="120" w:after="120"/>
        <w:ind w:left="360"/>
      </w:pPr>
      <w:r>
        <w:rPr>
          <w:rFonts w:ascii="Arial" w:cs="Arial" w:eastAsia="Arial" w:hAnsi="Arial"/>
          <w:b/>
          <w:bCs/>
          <w:color w:val="1B3A6B"/>
          <w:sz w:val="20"/>
          <w:szCs w:val="20"/>
        </w:rPr>
        <w:t xml:space="preserve">Phase 2: </w:t>
      </w:r>
      <w:r>
        <w:rPr>
          <w:rFonts w:ascii="Arial" w:cs="Arial" w:eastAsia="Arial" w:hAnsi="Arial"/>
          <w:color w:val="334155"/>
          <w:sz w:val="20"/>
          <w:szCs w:val="20"/>
        </w:rPr>
        <w:t xml:space="preserve">Refresh system activates. Content Refresh Agent comes online. Initial refresh queue populated from any content published in Phase 1/Phase 4 Wave 1.</w:t>
      </w:r>
    </w:p>
    <w:p>
      <w:pPr>
        <w:pBdr>
          <w:left w:val="single" w:color="0E7490" w:sz="12" w:space="6"/>
        </w:pBdr>
        <w:spacing w:before="120" w:after="120"/>
        <w:ind w:left="360"/>
      </w:pPr>
      <w:r>
        <w:rPr>
          <w:rFonts w:ascii="Arial" w:cs="Arial" w:eastAsia="Arial" w:hAnsi="Arial"/>
          <w:b/>
          <w:bCs/>
          <w:color w:val="1B3A6B"/>
          <w:sz w:val="20"/>
          <w:szCs w:val="20"/>
        </w:rPr>
        <w:t xml:space="preserve">Phase 4: </w:t>
      </w:r>
      <w:r>
        <w:rPr>
          <w:rFonts w:ascii="Arial" w:cs="Arial" w:eastAsia="Arial" w:hAnsi="Arial"/>
          <w:color w:val="334155"/>
          <w:sz w:val="20"/>
          <w:szCs w:val="20"/>
        </w:rPr>
        <w:t xml:space="preserve">Refresh is fully operationalized as a background process running parallel to new content production. Refresh-before-expand rule enforced: if a cluster has pages with refresh_priority_score &gt; 70, no new pages publish in that cluster until refresh is complete.</w:t>
      </w:r>
    </w:p>
    <w:p>
      <w:pPr>
        <w:spacing w:before="40" w:after="0"/>
      </w:pPr>
      <w:r>
        <w:t xml:space="preserve"/>
      </w:r>
    </w:p>
    <w:p>
      <w:pPr>
        <w:pStyle w:val="Heading2"/>
        <w:spacing w:before="280" w:after="80"/>
      </w:pPr>
      <w:r>
        <w:rPr>
          <w:rFonts w:ascii="Arial" w:cs="Arial" w:eastAsia="Arial" w:hAnsi="Arial"/>
          <w:b/>
          <w:bCs/>
          <w:color w:val="0E7490"/>
          <w:sz w:val="26"/>
          <w:szCs w:val="26"/>
        </w:rPr>
        <w:t xml:space="preserve">Agent Assignment</w:t>
      </w:r>
    </w:p>
    <w:p>
      <w:pPr>
        <w:pBdr>
          <w:left w:val="single" w:color="0E7490" w:sz="12" w:space="6"/>
        </w:pBdr>
        <w:spacing w:before="120" w:after="120"/>
        <w:ind w:left="360"/>
      </w:pPr>
      <w:r>
        <w:rPr>
          <w:rFonts w:ascii="Arial" w:cs="Arial" w:eastAsia="Arial" w:hAnsi="Arial"/>
          <w:b/>
          <w:bCs/>
          <w:color w:val="1B3A6B"/>
          <w:sz w:val="20"/>
          <w:szCs w:val="20"/>
        </w:rPr>
        <w:t xml:space="preserve">Content Refresh Agent: </w:t>
      </w:r>
      <w:r>
        <w:rPr>
          <w:rFonts w:ascii="Arial" w:cs="Arial" w:eastAsia="Arial" w:hAnsi="Arial"/>
          <w:color w:val="334155"/>
          <w:sz w:val="20"/>
          <w:szCs w:val="20"/>
        </w:rPr>
        <w:t xml:space="preserve">Primary owner. Runs refresh detection, populates queue, generates update drafts. Reports refresh queue depth in weekly founder dashboard.</w:t>
      </w:r>
    </w:p>
    <w:p>
      <w:pPr>
        <w:pBdr>
          <w:left w:val="single" w:color="0E7490" w:sz="12" w:space="6"/>
        </w:pBdr>
        <w:spacing w:before="120" w:after="120"/>
        <w:ind w:left="360"/>
      </w:pPr>
      <w:r>
        <w:rPr>
          <w:rFonts w:ascii="Arial" w:cs="Arial" w:eastAsia="Arial" w:hAnsi="Arial"/>
          <w:b/>
          <w:bCs/>
          <w:color w:val="1B3A6B"/>
          <w:sz w:val="20"/>
          <w:szCs w:val="20"/>
        </w:rPr>
        <w:t xml:space="preserve">CMO Agent: </w:t>
      </w:r>
      <w:r>
        <w:rPr>
          <w:rFonts w:ascii="Arial" w:cs="Arial" w:eastAsia="Arial" w:hAnsi="Arial"/>
          <w:color w:val="334155"/>
          <w:sz w:val="20"/>
          <w:szCs w:val="20"/>
        </w:rPr>
        <w:t xml:space="preserve">Reviews refresh priorities in monthly SEO report. Recommends merge/kill/upgrade decisions for underperforming pages.</w:t>
      </w:r>
    </w:p>
    <w:p>
      <w:pPr>
        <w:spacing w:before="40" w:after="0"/>
      </w:pPr>
      <w:r>
        <w:t xml:space="preserve"/>
      </w:r>
    </w:p>
    <w:p>
      <w:pPr>
        <w:pStyle w:val="Heading2"/>
        <w:spacing w:before="280" w:after="80"/>
      </w:pPr>
      <w:r>
        <w:rPr>
          <w:rFonts w:ascii="Arial" w:cs="Arial" w:eastAsia="Arial" w:hAnsi="Arial"/>
          <w:b/>
          <w:bCs/>
          <w:color w:val="0E7490"/>
          <w:sz w:val="26"/>
          <w:szCs w:val="26"/>
        </w:rPr>
        <w:t xml:space="preserve">New Metrics — Formalized Here</w:t>
      </w:r>
    </w:p>
    <w:p>
      <w:pPr>
        <w:pStyle w:val="ListParagraph"/>
        <w:numPr>
          <w:ilvl w:val="0"/>
          <w:numId w:val="2"/>
        </w:numPr>
        <w:spacing w:before="40" w:after="40"/>
      </w:pPr>
      <w:r>
        <w:rPr>
          <w:rFonts w:ascii="Arial" w:cs="Arial" w:eastAsia="Arial" w:hAnsi="Arial"/>
          <w:color w:val="334155"/>
          <w:sz w:val="20"/>
          <w:szCs w:val="20"/>
        </w:rPr>
        <w:t xml:space="preserve">Refresh queue depth (weekly — should not exceed 15 outstanding items in Phase 4)</w:t>
      </w:r>
    </w:p>
    <w:p>
      <w:pPr>
        <w:pStyle w:val="ListParagraph"/>
        <w:numPr>
          <w:ilvl w:val="0"/>
          <w:numId w:val="2"/>
        </w:numPr>
        <w:spacing w:before="40" w:after="40"/>
      </w:pPr>
      <w:r>
        <w:rPr>
          <w:rFonts w:ascii="Arial" w:cs="Arial" w:eastAsia="Arial" w:hAnsi="Arial"/>
          <w:color w:val="334155"/>
          <w:sz w:val="20"/>
          <w:szCs w:val="20"/>
        </w:rPr>
        <w:t xml:space="preserve">Avg. refresh cycle time: from trigger to published update (target: under 14 days for Tier 2/3)</w:t>
      </w:r>
    </w:p>
    <w:p>
      <w:pPr>
        <w:pStyle w:val="ListParagraph"/>
        <w:numPr>
          <w:ilvl w:val="0"/>
          <w:numId w:val="2"/>
        </w:numPr>
        <w:spacing w:before="40" w:after="40"/>
      </w:pPr>
      <w:r>
        <w:rPr>
          <w:rFonts w:ascii="Arial" w:cs="Arial" w:eastAsia="Arial" w:hAnsi="Arial"/>
          <w:color w:val="334155"/>
          <w:sz w:val="20"/>
          <w:szCs w:val="20"/>
        </w:rPr>
        <w:t xml:space="preserve">Pages overdue for refresh: count of pages past tier threshold with no review (target: 0)</w:t>
      </w:r>
    </w:p>
    <w:p>
      <w:pPr>
        <w:pStyle w:val="ListParagraph"/>
        <w:numPr>
          <w:ilvl w:val="0"/>
          <w:numId w:val="2"/>
        </w:numPr>
        <w:spacing w:before="40" w:after="40"/>
      </w:pPr>
      <w:r>
        <w:rPr>
          <w:rFonts w:ascii="Arial" w:cs="Arial" w:eastAsia="Arial" w:hAnsi="Arial"/>
          <w:color w:val="334155"/>
          <w:sz w:val="20"/>
          <w:szCs w:val="20"/>
        </w:rPr>
        <w:t xml:space="preserve">Refresh-to-traffic lift rate: % of refreshed pages that recover or improve within 60 days (validates refresh effectiveness)</w:t>
      </w:r>
    </w:p>
    <w:p>
      <w:pPr>
        <w:spacing w:before="40" w:after="0"/>
      </w:pPr>
      <w:r>
        <w:t xml:space="preserve"/>
      </w:r>
    </w:p>
    <w:p>
      <w:pPr>
        <w:pStyle w:val="Heading2"/>
        <w:spacing w:before="280" w:after="80"/>
      </w:pPr>
      <w:r>
        <w:rPr>
          <w:rFonts w:ascii="Arial" w:cs="Arial" w:eastAsia="Arial" w:hAnsi="Arial"/>
          <w:b/>
          <w:bCs/>
          <w:color w:val="0E7490"/>
          <w:sz w:val="26"/>
          <w:szCs w:val="26"/>
        </w:rPr>
        <w:t xml:space="preserve">Gamification Integration</w:t>
      </w:r>
    </w:p>
    <w:tbl>
      <w:tblPr>
        <w:tblW w:type="dxa" w:w="9360"/>
      </w:tblPr>
      <w:tblGrid>
        <w:gridCol w:w="3200"/>
        <w:gridCol w:w="2000"/>
        <w:gridCol w:w="4160"/>
      </w:tblGrid>
      <w:tr>
        <w:tc>
          <w:tcPr>
            <w:tcW w:type="dxa" w:w="32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2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XP Type</w:t>
            </w:r>
          </w:p>
        </w:tc>
        <w:tc>
          <w:tcPr>
            <w:tcW w:type="dxa" w:w="41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XP + Achievement</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Content Refresh Agent online and processing first queue</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Build XP</w:t>
            </w:r>
          </w:p>
        </w:tc>
        <w:tc>
          <w:tcPr>
            <w:tcW w:type="dxa" w:w="4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+200 XP | Achievement: Refresh Engine Active</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First Tier 3 page refreshed within trigger window</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Compounding XP</w:t>
            </w:r>
          </w:p>
        </w:tc>
        <w:tc>
          <w:tcPr>
            <w:tcW w:type="dxa" w:w="4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+150 XP</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Zero overdue refreshes for full month</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Discipline XP</w:t>
            </w:r>
          </w:p>
        </w:tc>
        <w:tc>
          <w:tcPr>
            <w:tcW w:type="dxa" w:w="4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+200 XP/month streak | Achievement: Library Integrity</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Refresh produces measurable traffic recovery on 5 pages</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Signal XP</w:t>
            </w:r>
          </w:p>
        </w:tc>
        <w:tc>
          <w:tcPr>
            <w:tcW w:type="dxa" w:w="4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+400 XP | Achievement: Content Surgeon</w:t>
            </w:r>
          </w:p>
        </w:tc>
      </w:tr>
    </w:tbl>
    <w:p>
      <w:pPr>
        <w:spacing w:before="40" w:after="0"/>
      </w:pPr>
      <w:r>
        <w:t xml:space="preserve"/>
      </w:r>
    </w:p>
    <w:p>
      <w:r>
        <w:br w:type="page"/>
      </w:r>
    </w:p>
    <w:p>
      <w:pPr>
        <w:pStyle w:val="Heading1"/>
        <w:pBdr>
          <w:bottom w:val="single" w:color="0E7490" w:sz="6" w:space="1"/>
        </w:pBdr>
        <w:spacing w:before="360" w:after="120"/>
      </w:pPr>
      <w:r>
        <w:rPr>
          <w:rFonts w:ascii="Arial" w:cs="Arial" w:eastAsia="Arial" w:hAnsi="Arial"/>
          <w:b/>
          <w:bCs/>
          <w:color w:val="1B3A6B"/>
          <w:sz w:val="32"/>
          <w:szCs w:val="32"/>
        </w:rPr>
        <w:t xml:space="preserve">Section 7 — Annual Outcomes Report: Data Authority Asset</w:t>
      </w:r>
    </w:p>
    <w:p>
      <w:pPr>
        <w:pStyle w:val="Heading2"/>
        <w:spacing w:before="280" w:after="80"/>
      </w:pPr>
      <w:r>
        <w:rPr>
          <w:rFonts w:ascii="Arial" w:cs="Arial" w:eastAsia="Arial" w:hAnsi="Arial"/>
          <w:b/>
          <w:bCs/>
          <w:color w:val="0E7490"/>
          <w:sz w:val="26"/>
          <w:szCs w:val="26"/>
        </w:rPr>
        <w:t xml:space="preserve">Strategic Context</w:t>
      </w:r>
    </w:p>
    <w:p>
      <w:pPr>
        <w:spacing w:before="60" w:after="100"/>
      </w:pPr>
      <w:r>
        <w:rPr>
          <w:rFonts w:ascii="Arial" w:cs="Arial" w:eastAsia="Arial" w:hAnsi="Arial"/>
          <w:b w:val="false"/>
          <w:bCs w:val="false"/>
          <w:color w:val="334155"/>
          <w:sz w:val="20"/>
          <w:szCs w:val="20"/>
        </w:rPr>
        <w:t xml:space="preserve">The MyAdvocate data flywheel — user interactions → anonymized outcome data → research insights → authority content → backlinks → rankings — has been alluded to across multiple supplementals. This section formalizes the Annual Outcomes Report as a real product with a defined data gate, a structure, and a go-live trigger.</w:t>
      </w:r>
    </w:p>
    <w:p>
      <w:pPr>
        <w:pBdr>
          <w:left w:val="single" w:color="0E7490" w:sz="12" w:space="6"/>
        </w:pBdr>
        <w:spacing w:before="120" w:after="120"/>
        <w:ind w:left="360"/>
      </w:pPr>
      <w:r>
        <w:rPr>
          <w:rFonts w:ascii="Arial" w:cs="Arial" w:eastAsia="Arial" w:hAnsi="Arial"/>
          <w:b/>
          <w:bCs/>
          <w:color w:val="1B3A6B"/>
          <w:sz w:val="20"/>
          <w:szCs w:val="20"/>
        </w:rPr>
        <w:t xml:space="preserve">Data Gate: </w:t>
      </w:r>
      <w:r>
        <w:rPr>
          <w:rFonts w:ascii="Arial" w:cs="Arial" w:eastAsia="Arial" w:hAnsi="Arial"/>
          <w:color w:val="334155"/>
          <w:sz w:val="20"/>
          <w:szCs w:val="20"/>
        </w:rPr>
        <w:t xml:space="preserve">The Annual Outcomes Report cannot be published until sufficient anonymized outcome data exists to make the findings statistically meaningful. Preliminary gate: Month 12 review. Publish only when the data is real.</w:t>
      </w:r>
    </w:p>
    <w:p>
      <w:pPr>
        <w:pBdr>
          <w:left w:val="single" w:color="0E7490" w:sz="12" w:space="6"/>
        </w:pBdr>
        <w:spacing w:before="120" w:after="120"/>
        <w:ind w:left="360"/>
      </w:pPr>
      <w:r>
        <w:rPr>
          <w:rFonts w:ascii="Arial" w:cs="Arial" w:eastAsia="Arial" w:hAnsi="Arial"/>
          <w:b/>
          <w:bCs/>
          <w:color w:val="1B3A6B"/>
          <w:sz w:val="20"/>
          <w:szCs w:val="20"/>
        </w:rPr>
        <w:t xml:space="preserve">Privacy Rule: </w:t>
      </w:r>
      <w:r>
        <w:rPr>
          <w:rFonts w:ascii="Arial" w:cs="Arial" w:eastAsia="Arial" w:hAnsi="Arial"/>
          <w:color w:val="334155"/>
          <w:sz w:val="20"/>
          <w:szCs w:val="20"/>
        </w:rPr>
        <w:t xml:space="preserve">All data used in the Annual Report is aggregated and anonymized. Zero PII. Zero individual case data. This is a strict requirement consistent with the four-layer privacy architecture.</w:t>
      </w:r>
    </w:p>
    <w:p>
      <w:pPr>
        <w:spacing w:before="40" w:after="0"/>
      </w:pPr>
      <w:r>
        <w:t xml:space="preserve"/>
      </w:r>
    </w:p>
    <w:p>
      <w:pPr>
        <w:pStyle w:val="Heading2"/>
        <w:spacing w:before="280" w:after="80"/>
      </w:pPr>
      <w:r>
        <w:rPr>
          <w:rFonts w:ascii="Arial" w:cs="Arial" w:eastAsia="Arial" w:hAnsi="Arial"/>
          <w:b/>
          <w:bCs/>
          <w:color w:val="0E7490"/>
          <w:sz w:val="26"/>
          <w:szCs w:val="26"/>
        </w:rPr>
        <w:t xml:space="preserve">What the Report Contains</w:t>
      </w:r>
    </w:p>
    <w:tbl>
      <w:tblPr>
        <w:tblW w:type="dxa" w:w="9360"/>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Section</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Content</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Denial Landscape</w:t>
            </w:r>
          </w:p>
        </w:tc>
        <w:tc>
          <w:tcPr>
            <w:tcW w:type="dxa" w:w="6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Most common denial codes by volume, most common reasons for denial, insurer denial rate patterns (anonymized)</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Appeal Outcomes</w:t>
            </w:r>
          </w:p>
        </w:tc>
        <w:tc>
          <w:tcPr>
            <w:tcW w:type="dxa" w:w="6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Aggregate appeal success rates by denial type, common documentation gaps in failed appeals</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Billing Disputes</w:t>
            </w:r>
          </w:p>
        </w:tc>
        <w:tc>
          <w:tcPr>
            <w:tcW w:type="dxa" w:w="6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Average bill reduction achieved through dispute process, most common billing error types</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Policy Impact</w:t>
            </w:r>
          </w:p>
        </w:tc>
        <w:tc>
          <w:tcPr>
            <w:tcW w:type="dxa" w:w="6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How policy changes affected denial rates (e.g., prior auth rule changes)</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User Geography</w:t>
            </w:r>
          </w:p>
        </w:tc>
        <w:tc>
          <w:tcPr>
            <w:tcW w:type="dxa" w:w="6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State-level patterns in denial rates and appeal success (where data permits)</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Recommendations</w:t>
            </w:r>
          </w:p>
        </w:tc>
        <w:tc>
          <w:tcPr>
            <w:tcW w:type="dxa" w:w="6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MyAdvocate's advocacy recommendations based on data</w:t>
            </w:r>
          </w:p>
        </w:tc>
      </w:tr>
    </w:tbl>
    <w:p>
      <w:pPr>
        <w:spacing w:before="80" w:after="0"/>
      </w:pPr>
      <w:r>
        <w:t xml:space="preserve"/>
      </w:r>
    </w:p>
    <w:p>
      <w:pPr>
        <w:pStyle w:val="Heading2"/>
        <w:spacing w:before="280" w:after="80"/>
      </w:pPr>
      <w:r>
        <w:rPr>
          <w:rFonts w:ascii="Arial" w:cs="Arial" w:eastAsia="Arial" w:hAnsi="Arial"/>
          <w:b/>
          <w:bCs/>
          <w:color w:val="0E7490"/>
          <w:sz w:val="26"/>
          <w:szCs w:val="26"/>
        </w:rPr>
        <w:t xml:space="preserve">Publication &amp; Distribution Strategy</w:t>
      </w:r>
    </w:p>
    <w:p>
      <w:pPr>
        <w:pStyle w:val="ListParagraph"/>
        <w:numPr>
          <w:ilvl w:val="0"/>
          <w:numId w:val="2"/>
        </w:numPr>
        <w:spacing w:before="40" w:after="40"/>
      </w:pPr>
      <w:r>
        <w:rPr>
          <w:rFonts w:ascii="Arial" w:cs="Arial" w:eastAsia="Arial" w:hAnsi="Arial"/>
          <w:color w:val="334155"/>
          <w:sz w:val="20"/>
          <w:szCs w:val="20"/>
        </w:rPr>
        <w:t xml:space="preserve">Published annually as a standalone report page on MyAdvocate (indexed, linkable)</w:t>
      </w:r>
    </w:p>
    <w:p>
      <w:pPr>
        <w:pStyle w:val="ListParagraph"/>
        <w:numPr>
          <w:ilvl w:val="0"/>
          <w:numId w:val="2"/>
        </w:numPr>
        <w:spacing w:before="40" w:after="40"/>
      </w:pPr>
      <w:r>
        <w:rPr>
          <w:rFonts w:ascii="Arial" w:cs="Arial" w:eastAsia="Arial" w:hAnsi="Arial"/>
          <w:color w:val="334155"/>
          <w:sz w:val="20"/>
          <w:szCs w:val="20"/>
        </w:rPr>
        <w:t xml:space="preserve">Distributed as PDF download (email capture gate — high-value lead generation)</w:t>
      </w:r>
    </w:p>
    <w:p>
      <w:pPr>
        <w:pStyle w:val="ListParagraph"/>
        <w:numPr>
          <w:ilvl w:val="0"/>
          <w:numId w:val="2"/>
        </w:numPr>
        <w:spacing w:before="40" w:after="40"/>
      </w:pPr>
      <w:r>
        <w:rPr>
          <w:rFonts w:ascii="Arial" w:cs="Arial" w:eastAsia="Arial" w:hAnsi="Arial"/>
          <w:color w:val="334155"/>
          <w:sz w:val="20"/>
          <w:szCs w:val="20"/>
        </w:rPr>
        <w:t xml:space="preserve">Press release distributed to healthcare journalism outlets</w:t>
      </w:r>
    </w:p>
    <w:p>
      <w:pPr>
        <w:pStyle w:val="ListParagraph"/>
        <w:numPr>
          <w:ilvl w:val="0"/>
          <w:numId w:val="2"/>
        </w:numPr>
        <w:spacing w:before="40" w:after="40"/>
      </w:pPr>
      <w:r>
        <w:rPr>
          <w:rFonts w:ascii="Arial" w:cs="Arial" w:eastAsia="Arial" w:hAnsi="Arial"/>
          <w:color w:val="334155"/>
          <w:sz w:val="20"/>
          <w:szCs w:val="20"/>
        </w:rPr>
        <w:t xml:space="preserve">Shared with patient advocacy nonprofits as a citable resource</w:t>
      </w:r>
    </w:p>
    <w:p>
      <w:pPr>
        <w:pStyle w:val="ListParagraph"/>
        <w:numPr>
          <w:ilvl w:val="0"/>
          <w:numId w:val="2"/>
        </w:numPr>
        <w:spacing w:before="40" w:after="40"/>
      </w:pPr>
      <w:r>
        <w:rPr>
          <w:rFonts w:ascii="Arial" w:cs="Arial" w:eastAsia="Arial" w:hAnsi="Arial"/>
          <w:color w:val="334155"/>
          <w:sz w:val="20"/>
          <w:szCs w:val="20"/>
        </w:rPr>
        <w:t xml:space="preserve">Used as B2B sales material for union and employer partnership conversations</w:t>
      </w:r>
    </w:p>
    <w:p>
      <w:pPr>
        <w:pStyle w:val="ListParagraph"/>
        <w:numPr>
          <w:ilvl w:val="0"/>
          <w:numId w:val="2"/>
        </w:numPr>
        <w:spacing w:before="40" w:after="40"/>
      </w:pPr>
      <w:r>
        <w:rPr>
          <w:rFonts w:ascii="Arial" w:cs="Arial" w:eastAsia="Arial" w:hAnsi="Arial"/>
          <w:color w:val="334155"/>
          <w:sz w:val="20"/>
          <w:szCs w:val="20"/>
        </w:rPr>
        <w:t xml:space="preserve">Referenced in outreach to potential backlink partners (see Section 4)</w:t>
      </w:r>
    </w:p>
    <w:p>
      <w:pPr>
        <w:spacing w:before="40" w:after="0"/>
      </w:pPr>
      <w:r>
        <w:t xml:space="preserve"/>
      </w:r>
    </w:p>
    <w:p>
      <w:pPr>
        <w:pStyle w:val="Heading2"/>
        <w:spacing w:before="280" w:after="80"/>
      </w:pPr>
      <w:r>
        <w:rPr>
          <w:rFonts w:ascii="Arial" w:cs="Arial" w:eastAsia="Arial" w:hAnsi="Arial"/>
          <w:b/>
          <w:bCs/>
          <w:color w:val="0E7490"/>
          <w:sz w:val="26"/>
          <w:szCs w:val="26"/>
        </w:rPr>
        <w:t xml:space="preserve">Phase Timeline</w:t>
      </w:r>
    </w:p>
    <w:tbl>
      <w:tblPr>
        <w:tblW w:type="dxa" w:w="9360"/>
      </w:tblPr>
      <w:tblGrid>
        <w:gridCol w:w="2400"/>
        <w:gridCol w:w="6960"/>
      </w:tblGrid>
      <w:tr>
        <w:tc>
          <w:tcPr>
            <w:tcW w:type="dxa" w:w="24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69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Action</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Phase 3 (Month 6)</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Begin logging anonymized outcome data in structured format. Define data schema for report metrics. Do not publish yet.</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Month 12 Review</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Evaluate whether sufficient data exists for statistically meaningful report. If yes, proceed. If no, set Month 18 gate.</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Phase 5 (Month 12–18)</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Publish first Annual Outcomes Report if data gate is met. Target: before the end of Year 1.</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Annual thereafter</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Publish updated report each year. Prior years archived as historical authority content.</w:t>
            </w:r>
          </w:p>
        </w:tc>
      </w:tr>
    </w:tbl>
    <w:p>
      <w:pPr>
        <w:spacing w:before="80" w:after="0"/>
      </w:pPr>
      <w:r>
        <w:t xml:space="preserve"/>
      </w:r>
    </w:p>
    <w:p>
      <w:pPr>
        <w:pStyle w:val="Heading2"/>
        <w:spacing w:before="280" w:after="80"/>
      </w:pPr>
      <w:r>
        <w:rPr>
          <w:rFonts w:ascii="Arial" w:cs="Arial" w:eastAsia="Arial" w:hAnsi="Arial"/>
          <w:b/>
          <w:bCs/>
          <w:color w:val="0E7490"/>
          <w:sz w:val="26"/>
          <w:szCs w:val="26"/>
        </w:rPr>
        <w:t xml:space="preserve">Agent Assignment</w:t>
      </w:r>
    </w:p>
    <w:p>
      <w:pPr>
        <w:pBdr>
          <w:left w:val="single" w:color="0E7490" w:sz="12" w:space="6"/>
        </w:pBdr>
        <w:spacing w:before="120" w:after="120"/>
        <w:ind w:left="360"/>
      </w:pPr>
      <w:r>
        <w:rPr>
          <w:rFonts w:ascii="Arial" w:cs="Arial" w:eastAsia="Arial" w:hAnsi="Arial"/>
          <w:b/>
          <w:bCs/>
          <w:color w:val="1B3A6B"/>
          <w:sz w:val="20"/>
          <w:szCs w:val="20"/>
        </w:rPr>
        <w:t xml:space="preserve">Data / Insights Agent (Phase 3 activation): </w:t>
      </w:r>
      <w:r>
        <w:rPr>
          <w:rFonts w:ascii="Arial" w:cs="Arial" w:eastAsia="Arial" w:hAnsi="Arial"/>
          <w:color w:val="334155"/>
          <w:sz w:val="20"/>
          <w:szCs w:val="20"/>
        </w:rPr>
        <w:t xml:space="preserve">Responsible for anonymized outcome data aggregation, report metric calculation, and draft generation for founder review. This agent comes online earlier than previously planned due to data preparation requirements.</w:t>
      </w:r>
    </w:p>
    <w:p>
      <w:pPr>
        <w:pBdr>
          <w:left w:val="single" w:color="0E7490" w:sz="12" w:space="6"/>
        </w:pBdr>
        <w:spacing w:before="120" w:after="120"/>
        <w:ind w:left="360"/>
      </w:pPr>
      <w:r>
        <w:rPr>
          <w:rFonts w:ascii="Arial" w:cs="Arial" w:eastAsia="Arial" w:hAnsi="Arial"/>
          <w:b/>
          <w:bCs/>
          <w:color w:val="1B3A6B"/>
          <w:sz w:val="20"/>
          <w:szCs w:val="20"/>
        </w:rPr>
        <w:t xml:space="preserve">CMO Agent: </w:t>
      </w:r>
      <w:r>
        <w:rPr>
          <w:rFonts w:ascii="Arial" w:cs="Arial" w:eastAsia="Arial" w:hAnsi="Arial"/>
          <w:color w:val="334155"/>
          <w:sz w:val="20"/>
          <w:szCs w:val="20"/>
        </w:rPr>
        <w:t xml:space="preserve">Distribution strategy execution, press outreach, partner notification.</w:t>
      </w:r>
    </w:p>
    <w:p>
      <w:pPr>
        <w:spacing w:before="40" w:after="0"/>
      </w:pPr>
      <w:r>
        <w:t xml:space="preserve"/>
      </w:r>
    </w:p>
    <w:p>
      <w:pPr>
        <w:pStyle w:val="Heading2"/>
        <w:spacing w:before="280" w:after="80"/>
      </w:pPr>
      <w:r>
        <w:rPr>
          <w:rFonts w:ascii="Arial" w:cs="Arial" w:eastAsia="Arial" w:hAnsi="Arial"/>
          <w:b/>
          <w:bCs/>
          <w:color w:val="0E7490"/>
          <w:sz w:val="26"/>
          <w:szCs w:val="26"/>
        </w:rPr>
        <w:t xml:space="preserve">New Metrics — Formalized Here</w:t>
      </w:r>
    </w:p>
    <w:p>
      <w:pPr>
        <w:pStyle w:val="ListParagraph"/>
        <w:numPr>
          <w:ilvl w:val="0"/>
          <w:numId w:val="2"/>
        </w:numPr>
        <w:spacing w:before="40" w:after="40"/>
      </w:pPr>
      <w:r>
        <w:rPr>
          <w:rFonts w:ascii="Arial" w:cs="Arial" w:eastAsia="Arial" w:hAnsi="Arial"/>
          <w:color w:val="334155"/>
          <w:sz w:val="20"/>
          <w:szCs w:val="20"/>
        </w:rPr>
        <w:t xml:space="preserve">Outcome data completeness score: % of cases with outcome data captured (email follow-up response rate)</w:t>
      </w:r>
    </w:p>
    <w:p>
      <w:pPr>
        <w:pStyle w:val="ListParagraph"/>
        <w:numPr>
          <w:ilvl w:val="0"/>
          <w:numId w:val="2"/>
        </w:numPr>
        <w:spacing w:before="40" w:after="40"/>
      </w:pPr>
      <w:r>
        <w:rPr>
          <w:rFonts w:ascii="Arial" w:cs="Arial" w:eastAsia="Arial" w:hAnsi="Arial"/>
          <w:color w:val="334155"/>
          <w:sz w:val="20"/>
          <w:szCs w:val="20"/>
        </w:rPr>
        <w:t xml:space="preserve">Report page backlinks (primary authority KPI — tracked annually post-publication)</w:t>
      </w:r>
    </w:p>
    <w:p>
      <w:pPr>
        <w:pStyle w:val="ListParagraph"/>
        <w:numPr>
          <w:ilvl w:val="0"/>
          <w:numId w:val="2"/>
        </w:numPr>
        <w:spacing w:before="40" w:after="40"/>
      </w:pPr>
      <w:r>
        <w:rPr>
          <w:rFonts w:ascii="Arial" w:cs="Arial" w:eastAsia="Arial" w:hAnsi="Arial"/>
          <w:color w:val="334155"/>
          <w:sz w:val="20"/>
          <w:szCs w:val="20"/>
        </w:rPr>
        <w:t xml:space="preserve">Report PDF downloads (email capture conversion from report)</w:t>
      </w:r>
    </w:p>
    <w:p>
      <w:pPr>
        <w:pStyle w:val="ListParagraph"/>
        <w:numPr>
          <w:ilvl w:val="0"/>
          <w:numId w:val="2"/>
        </w:numPr>
        <w:spacing w:before="40" w:after="40"/>
      </w:pPr>
      <w:r>
        <w:rPr>
          <w:rFonts w:ascii="Arial" w:cs="Arial" w:eastAsia="Arial" w:hAnsi="Arial"/>
          <w:color w:val="334155"/>
          <w:sz w:val="20"/>
          <w:szCs w:val="20"/>
        </w:rPr>
        <w:t xml:space="preserve">Media pickups / citations from journalism outlets (tracked manually)</w:t>
      </w:r>
    </w:p>
    <w:p>
      <w:pPr>
        <w:spacing w:before="40" w:after="0"/>
      </w:pPr>
      <w:r>
        <w:t xml:space="preserve"/>
      </w:r>
    </w:p>
    <w:p>
      <w:pPr>
        <w:pStyle w:val="Heading2"/>
        <w:spacing w:before="280" w:after="80"/>
      </w:pPr>
      <w:r>
        <w:rPr>
          <w:rFonts w:ascii="Arial" w:cs="Arial" w:eastAsia="Arial" w:hAnsi="Arial"/>
          <w:b/>
          <w:bCs/>
          <w:color w:val="0E7490"/>
          <w:sz w:val="26"/>
          <w:szCs w:val="26"/>
        </w:rPr>
        <w:t xml:space="preserve">Gamification Integration</w:t>
      </w:r>
    </w:p>
    <w:tbl>
      <w:tblPr>
        <w:tblW w:type="dxa" w:w="9360"/>
      </w:tblPr>
      <w:tblGrid>
        <w:gridCol w:w="3200"/>
        <w:gridCol w:w="2000"/>
        <w:gridCol w:w="4160"/>
      </w:tblGrid>
      <w:tr>
        <w:tc>
          <w:tcPr>
            <w:tcW w:type="dxa" w:w="32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2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XP Type</w:t>
            </w:r>
          </w:p>
        </w:tc>
        <w:tc>
          <w:tcPr>
            <w:tcW w:type="dxa" w:w="41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XP + Achievement</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Outcome data schema implemented</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Build XP</w:t>
            </w:r>
          </w:p>
        </w:tc>
        <w:tc>
          <w:tcPr>
            <w:tcW w:type="dxa" w:w="4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+200 XP</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Month 12 data gate review completed</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Operating XP</w:t>
            </w:r>
          </w:p>
        </w:tc>
        <w:tc>
          <w:tcPr>
            <w:tcW w:type="dxa" w:w="4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+150 XP</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First Annual Report published</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Milestone</w:t>
            </w:r>
          </w:p>
        </w:tc>
        <w:tc>
          <w:tcPr>
            <w:tcW w:type="dxa" w:w="4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+1,500 XP | Achievement: Data Authority</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Report cited by 5+ external sources</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Signal XP</w:t>
            </w:r>
          </w:p>
        </w:tc>
        <w:tc>
          <w:tcPr>
            <w:tcW w:type="dxa" w:w="4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+1,000 XP | Achievement: Citation Magnet</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Second Annual Report (Year 2)</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Compounding XP</w:t>
            </w:r>
          </w:p>
        </w:tc>
        <w:tc>
          <w:tcPr>
            <w:tcW w:type="dxa" w:w="4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+500 XP | Achievement: Annual Advocate</w:t>
            </w:r>
          </w:p>
        </w:tc>
      </w:tr>
    </w:tbl>
    <w:p>
      <w:pPr>
        <w:spacing w:before="40" w:after="0"/>
      </w:pPr>
      <w:r>
        <w:t xml:space="preserve"/>
      </w:r>
    </w:p>
    <w:p>
      <w:r>
        <w:br w:type="page"/>
      </w:r>
    </w:p>
    <w:p>
      <w:pPr>
        <w:pStyle w:val="Heading1"/>
        <w:pBdr>
          <w:bottom w:val="single" w:color="0E7490" w:sz="6" w:space="1"/>
        </w:pBdr>
        <w:spacing w:before="360" w:after="120"/>
      </w:pPr>
      <w:r>
        <w:rPr>
          <w:rFonts w:ascii="Arial" w:cs="Arial" w:eastAsia="Arial" w:hAnsi="Arial"/>
          <w:b/>
          <w:bCs/>
          <w:color w:val="1B3A6B"/>
          <w:sz w:val="32"/>
          <w:szCs w:val="32"/>
        </w:rPr>
        <w:t xml:space="preserve">Section 8 — Spanish-Language Content Strategy</w:t>
      </w:r>
    </w:p>
    <w:p>
      <w:pPr>
        <w:pStyle w:val="Heading2"/>
        <w:spacing w:before="280" w:after="80"/>
      </w:pPr>
      <w:r>
        <w:rPr>
          <w:rFonts w:ascii="Arial" w:cs="Arial" w:eastAsia="Arial" w:hAnsi="Arial"/>
          <w:b/>
          <w:bCs/>
          <w:color w:val="0E7490"/>
          <w:sz w:val="26"/>
          <w:szCs w:val="26"/>
        </w:rPr>
        <w:t xml:space="preserve">Strategic Context</w:t>
      </w:r>
    </w:p>
    <w:p>
      <w:pPr>
        <w:spacing w:before="60" w:after="100"/>
      </w:pPr>
      <w:r>
        <w:rPr>
          <w:rFonts w:ascii="Arial" w:cs="Arial" w:eastAsia="Arial" w:hAnsi="Arial"/>
          <w:b w:val="false"/>
          <w:bCs w:val="false"/>
          <w:color w:val="334155"/>
          <w:sz w:val="20"/>
          <w:szCs w:val="20"/>
        </w:rPr>
        <w:t xml:space="preserve">Spanish-speaking patients are systematically underserved by healthcare navigation resources. The Medicaid and immigration policy cluster (Section 5) is the natural forcing function for Spanish-language content — this is where the need and the search demand intersect most acutely. Spanish-language content is not a translation project; it is a first-mover play in an underserved vertical.</w:t>
      </w:r>
    </w:p>
    <w:p>
      <w:pPr>
        <w:pBdr>
          <w:left w:val="single" w:color="0E7490" w:sz="12" w:space="6"/>
        </w:pBdr>
        <w:spacing w:before="120" w:after="120"/>
        <w:ind w:left="360"/>
      </w:pPr>
      <w:r>
        <w:rPr>
          <w:rFonts w:ascii="Arial" w:cs="Arial" w:eastAsia="Arial" w:hAnsi="Arial"/>
          <w:b/>
          <w:bCs/>
          <w:color w:val="1B3A6B"/>
          <w:sz w:val="20"/>
          <w:szCs w:val="20"/>
        </w:rPr>
        <w:t xml:space="preserve">Phase Assignment: </w:t>
      </w:r>
      <w:r>
        <w:rPr>
          <w:rFonts w:ascii="Arial" w:cs="Arial" w:eastAsia="Arial" w:hAnsi="Arial"/>
          <w:color w:val="334155"/>
          <w:sz w:val="20"/>
          <w:szCs w:val="20"/>
        </w:rPr>
        <w:t xml:space="preserve">Phase 4 pilot (policy cluster only) → Phase 5 scale (full content library Spanish versions). Spanish-language content follows the same YMYL, editorial board, and legal compliance rules as English content. All rules apply equally.</w:t>
      </w:r>
    </w:p>
    <w:p>
      <w:pPr>
        <w:spacing w:before="40" w:after="0"/>
      </w:pPr>
      <w:r>
        <w:t xml:space="preserve"/>
      </w:r>
    </w:p>
    <w:p>
      <w:pPr>
        <w:pStyle w:val="Heading2"/>
        <w:spacing w:before="280" w:after="80"/>
      </w:pPr>
      <w:r>
        <w:rPr>
          <w:rFonts w:ascii="Arial" w:cs="Arial" w:eastAsia="Arial" w:hAnsi="Arial"/>
          <w:b/>
          <w:bCs/>
          <w:color w:val="0E7490"/>
          <w:sz w:val="26"/>
          <w:szCs w:val="26"/>
        </w:rPr>
        <w:t xml:space="preserve">Phase 4 Pilot Scope — Policy Cluster Only</w:t>
      </w:r>
    </w:p>
    <w:p>
      <w:pPr>
        <w:spacing w:before="60" w:after="100"/>
      </w:pPr>
      <w:r>
        <w:rPr>
          <w:rFonts w:ascii="Arial" w:cs="Arial" w:eastAsia="Arial" w:hAnsi="Arial"/>
          <w:b w:val="false"/>
          <w:bCs w:val="false"/>
          <w:color w:val="334155"/>
          <w:sz w:val="20"/>
          <w:szCs w:val="20"/>
        </w:rPr>
        <w:t xml:space="preserve">The pilot is intentionally narrow. The goal is to validate Spanish-language search demand, test translation quality, and confirm the review workflow before scaling.</w:t>
      </w:r>
    </w:p>
    <w:p>
      <w:pPr>
        <w:pStyle w:val="ListParagraph"/>
        <w:numPr>
          <w:ilvl w:val="0"/>
          <w:numId w:val="2"/>
        </w:numPr>
        <w:spacing w:before="40" w:after="40"/>
      </w:pPr>
      <w:r>
        <w:rPr>
          <w:rFonts w:ascii="Arial" w:cs="Arial" w:eastAsia="Arial" w:hAnsi="Arial"/>
          <w:color w:val="334155"/>
          <w:sz w:val="20"/>
          <w:szCs w:val="20"/>
        </w:rPr>
        <w:t xml:space="preserve">Pilot pages: 10–15 pages from the Medicaid policy cluster translated to Spanish</w:t>
      </w:r>
    </w:p>
    <w:p>
      <w:pPr>
        <w:pStyle w:val="ListParagraph"/>
        <w:numPr>
          <w:ilvl w:val="0"/>
          <w:numId w:val="2"/>
        </w:numPr>
        <w:spacing w:before="40" w:after="40"/>
      </w:pPr>
      <w:r>
        <w:rPr>
          <w:rFonts w:ascii="Arial" w:cs="Arial" w:eastAsia="Arial" w:hAnsi="Arial"/>
          <w:color w:val="334155"/>
          <w:sz w:val="20"/>
          <w:szCs w:val="20"/>
        </w:rPr>
        <w:t xml:space="preserve">Priority titles: Medicaid eligibility rules, Medicaid data privacy, public charge rule explained, how to appeal a Medicaid denial</w:t>
      </w:r>
    </w:p>
    <w:p>
      <w:pPr>
        <w:pStyle w:val="ListParagraph"/>
        <w:numPr>
          <w:ilvl w:val="0"/>
          <w:numId w:val="2"/>
        </w:numPr>
        <w:spacing w:before="40" w:after="40"/>
      </w:pPr>
      <w:r>
        <w:rPr>
          <w:rFonts w:ascii="Arial" w:cs="Arial" w:eastAsia="Arial" w:hAnsi="Arial"/>
          <w:color w:val="334155"/>
          <w:sz w:val="20"/>
          <w:szCs w:val="20"/>
        </w:rPr>
        <w:t xml:space="preserve">Translation standard: professional quality — not AI-only output. AI drafts require human fluency review before publication</w:t>
      </w:r>
    </w:p>
    <w:p>
      <w:pPr>
        <w:pStyle w:val="ListParagraph"/>
        <w:numPr>
          <w:ilvl w:val="0"/>
          <w:numId w:val="2"/>
        </w:numPr>
        <w:spacing w:before="40" w:after="40"/>
      </w:pPr>
      <w:r>
        <w:rPr>
          <w:rFonts w:ascii="Arial" w:cs="Arial" w:eastAsia="Arial" w:hAnsi="Arial"/>
          <w:color w:val="334155"/>
          <w:sz w:val="20"/>
          <w:szCs w:val="20"/>
        </w:rPr>
        <w:t xml:space="preserve">Kate review: applies equally to Spanish content (clinical framing, not language fluency)</w:t>
      </w:r>
    </w:p>
    <w:p>
      <w:pPr>
        <w:pStyle w:val="ListParagraph"/>
        <w:numPr>
          <w:ilvl w:val="0"/>
          <w:numId w:val="2"/>
        </w:numPr>
        <w:spacing w:before="40" w:after="40"/>
      </w:pPr>
      <w:r>
        <w:rPr>
          <w:rFonts w:ascii="Arial" w:cs="Arial" w:eastAsia="Arial" w:hAnsi="Arial"/>
          <w:color w:val="334155"/>
          <w:sz w:val="20"/>
          <w:szCs w:val="20"/>
        </w:rPr>
        <w:t xml:space="preserve">Legal review: Spanish policy pages touching immigration-adjacent content require attorney review — same rule as English</w:t>
      </w:r>
    </w:p>
    <w:p>
      <w:pPr>
        <w:pStyle w:val="ListParagraph"/>
        <w:numPr>
          <w:ilvl w:val="0"/>
          <w:numId w:val="2"/>
        </w:numPr>
        <w:spacing w:before="40" w:after="40"/>
      </w:pPr>
      <w:r>
        <w:rPr>
          <w:rFonts w:ascii="Arial" w:cs="Arial" w:eastAsia="Arial" w:hAnsi="Arial"/>
          <w:color w:val="334155"/>
          <w:sz w:val="20"/>
          <w:szCs w:val="20"/>
        </w:rPr>
        <w:t xml:space="preserve">Attribution: same editorial board attribution block, translated</w:t>
      </w:r>
    </w:p>
    <w:p>
      <w:pPr>
        <w:spacing w:before="40" w:after="0"/>
      </w:pPr>
      <w:r>
        <w:t xml:space="preserve"/>
      </w:r>
    </w:p>
    <w:p>
      <w:pPr>
        <w:pStyle w:val="Heading2"/>
        <w:spacing w:before="280" w:after="80"/>
      </w:pPr>
      <w:r>
        <w:rPr>
          <w:rFonts w:ascii="Arial" w:cs="Arial" w:eastAsia="Arial" w:hAnsi="Arial"/>
          <w:b/>
          <w:bCs/>
          <w:color w:val="0E7490"/>
          <w:sz w:val="26"/>
          <w:szCs w:val="26"/>
        </w:rPr>
        <w:t xml:space="preserve">Phase 5 Scale Plan</w:t>
      </w:r>
    </w:p>
    <w:tbl>
      <w:tblPr>
        <w:tblW w:type="dxa" w:w="9360"/>
      </w:tblPr>
      <w:tblGrid>
        <w:gridCol w:w="3600"/>
        <w:gridCol w:w="5760"/>
      </w:tblGrid>
      <w:tr>
        <w:tc>
          <w:tcPr>
            <w:tcW w:type="dxa" w:w="36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Content Category</w:t>
            </w:r>
          </w:p>
        </w:tc>
        <w:tc>
          <w:tcPr>
            <w:tcW w:type="dxa" w:w="57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Spanish Priority</w:t>
            </w:r>
          </w:p>
        </w:tc>
      </w:tr>
      <w:tr>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Denial code pages (top 50 by search volume)</w:t>
            </w:r>
          </w:p>
        </w:tc>
        <w:tc>
          <w:tcPr>
            <w:tcW w:type="dxa" w:w="5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High — denial codes appear on EOBs received by Spanish speakers</w:t>
            </w:r>
          </w:p>
        </w:tc>
      </w:tr>
      <w:tr>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Medical billing dispute guides</w:t>
            </w:r>
          </w:p>
        </w:tc>
        <w:tc>
          <w:tcPr>
            <w:tcW w:type="dxa" w:w="5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High — financial impact content has broad demographic demand</w:t>
            </w:r>
          </w:p>
        </w:tc>
      </w:tr>
      <w:tr>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Patient rights pages (state-specific)</w:t>
            </w:r>
          </w:p>
        </w:tc>
        <w:tc>
          <w:tcPr>
            <w:tcW w:type="dxa" w:w="5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Medium — high value for Spanish-speaking hospital patients</w:t>
            </w:r>
          </w:p>
        </w:tc>
      </w:tr>
      <w:tr>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Cornerstone guides</w:t>
            </w:r>
          </w:p>
        </w:tc>
        <w:tc>
          <w:tcPr>
            <w:tcW w:type="dxa" w:w="5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Medium — begin with Medicaid and Medical Billing cornerstones</w:t>
            </w:r>
          </w:p>
        </w:tc>
      </w:tr>
      <w:tr>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Nursing home rights</w:t>
            </w:r>
          </w:p>
        </w:tc>
        <w:tc>
          <w:tcPr>
            <w:tcW w:type="dxa" w:w="5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High — elder care content is highly searched in Spanish</w:t>
            </w:r>
          </w:p>
        </w:tc>
      </w:tr>
    </w:tbl>
    <w:p>
      <w:pPr>
        <w:spacing w:before="80" w:after="0"/>
      </w:pPr>
      <w:r>
        <w:t xml:space="preserve"/>
      </w:r>
    </w:p>
    <w:p>
      <w:pPr>
        <w:pStyle w:val="Heading2"/>
        <w:spacing w:before="280" w:after="80"/>
      </w:pPr>
      <w:r>
        <w:rPr>
          <w:rFonts w:ascii="Arial" w:cs="Arial" w:eastAsia="Arial" w:hAnsi="Arial"/>
          <w:b/>
          <w:bCs/>
          <w:color w:val="0E7490"/>
          <w:sz w:val="26"/>
          <w:szCs w:val="26"/>
        </w:rPr>
        <w:t xml:space="preserve">Distribution Advantage</w:t>
      </w:r>
    </w:p>
    <w:p>
      <w:pPr>
        <w:spacing w:before="60" w:after="100"/>
      </w:pPr>
      <w:r>
        <w:rPr>
          <w:rFonts w:ascii="Arial" w:cs="Arial" w:eastAsia="Arial" w:hAnsi="Arial"/>
          <w:b w:val="false"/>
          <w:bCs w:val="false"/>
          <w:color w:val="334155"/>
          <w:sz w:val="20"/>
          <w:szCs w:val="20"/>
        </w:rPr>
        <w:t xml:space="preserve">Spanish-language healthcare content distributes differently than English. Key channels:</w:t>
      </w:r>
    </w:p>
    <w:p>
      <w:pPr>
        <w:pStyle w:val="ListParagraph"/>
        <w:numPr>
          <w:ilvl w:val="0"/>
          <w:numId w:val="2"/>
        </w:numPr>
        <w:spacing w:before="40" w:after="40"/>
      </w:pPr>
      <w:r>
        <w:rPr>
          <w:rFonts w:ascii="Arial" w:cs="Arial" w:eastAsia="Arial" w:hAnsi="Arial"/>
          <w:color w:val="334155"/>
          <w:sz w:val="20"/>
          <w:szCs w:val="20"/>
        </w:rPr>
        <w:t xml:space="preserve">WhatsApp networks: community sharing of helpful healthcare guidance is high in Spanish-speaking communities</w:t>
      </w:r>
    </w:p>
    <w:p>
      <w:pPr>
        <w:pStyle w:val="ListParagraph"/>
        <w:numPr>
          <w:ilvl w:val="0"/>
          <w:numId w:val="2"/>
        </w:numPr>
        <w:spacing w:before="40" w:after="40"/>
      </w:pPr>
      <w:r>
        <w:rPr>
          <w:rFonts w:ascii="Arial" w:cs="Arial" w:eastAsia="Arial" w:hAnsi="Arial"/>
          <w:color w:val="334155"/>
          <w:sz w:val="20"/>
          <w:szCs w:val="20"/>
        </w:rPr>
        <w:t xml:space="preserve">Spanish-language media: local TV, radio, and online outlets actively seek accessible healthcare resources</w:t>
      </w:r>
    </w:p>
    <w:p>
      <w:pPr>
        <w:pStyle w:val="ListParagraph"/>
        <w:numPr>
          <w:ilvl w:val="0"/>
          <w:numId w:val="2"/>
        </w:numPr>
        <w:spacing w:before="40" w:after="40"/>
      </w:pPr>
      <w:r>
        <w:rPr>
          <w:rFonts w:ascii="Arial" w:cs="Arial" w:eastAsia="Arial" w:hAnsi="Arial"/>
          <w:color w:val="334155"/>
          <w:sz w:val="20"/>
          <w:szCs w:val="20"/>
        </w:rPr>
        <w:t xml:space="preserve">Community organizations: Spanish-language nonprofits and healthcare navigators will share and link to quality content</w:t>
      </w:r>
    </w:p>
    <w:p>
      <w:pPr>
        <w:pStyle w:val="ListParagraph"/>
        <w:numPr>
          <w:ilvl w:val="0"/>
          <w:numId w:val="2"/>
        </w:numPr>
        <w:spacing w:before="40" w:after="40"/>
      </w:pPr>
      <w:r>
        <w:rPr>
          <w:rFonts w:ascii="Arial" w:cs="Arial" w:eastAsia="Arial" w:hAnsi="Arial"/>
          <w:color w:val="334155"/>
          <w:sz w:val="20"/>
          <w:szCs w:val="20"/>
        </w:rPr>
        <w:t xml:space="preserve">211 network: Spanish-language referrals already route through 211 — being the resource they cite is achievable</w:t>
      </w:r>
    </w:p>
    <w:p>
      <w:pPr>
        <w:spacing w:before="40" w:after="0"/>
      </w:pPr>
      <w:r>
        <w:t xml:space="preserve"/>
      </w:r>
    </w:p>
    <w:p>
      <w:pPr>
        <w:pStyle w:val="Heading2"/>
        <w:spacing w:before="280" w:after="80"/>
      </w:pPr>
      <w:r>
        <w:rPr>
          <w:rFonts w:ascii="Arial" w:cs="Arial" w:eastAsia="Arial" w:hAnsi="Arial"/>
          <w:b/>
          <w:bCs/>
          <w:color w:val="0E7490"/>
          <w:sz w:val="26"/>
          <w:szCs w:val="26"/>
        </w:rPr>
        <w:t xml:space="preserve">Agent Assignment</w:t>
      </w:r>
    </w:p>
    <w:p>
      <w:pPr>
        <w:pBdr>
          <w:left w:val="single" w:color="0E7490" w:sz="12" w:space="6"/>
        </w:pBdr>
        <w:spacing w:before="120" w:after="120"/>
        <w:ind w:left="360"/>
      </w:pPr>
      <w:r>
        <w:rPr>
          <w:rFonts w:ascii="Arial" w:cs="Arial" w:eastAsia="Arial" w:hAnsi="Arial"/>
          <w:b/>
          <w:bCs/>
          <w:color w:val="1B3A6B"/>
          <w:sz w:val="20"/>
          <w:szCs w:val="20"/>
        </w:rPr>
        <w:t xml:space="preserve">Content Agent (Phase 4 pilot): </w:t>
      </w:r>
      <w:r>
        <w:rPr>
          <w:rFonts w:ascii="Arial" w:cs="Arial" w:eastAsia="Arial" w:hAnsi="Arial"/>
          <w:color w:val="334155"/>
          <w:sz w:val="20"/>
          <w:szCs w:val="20"/>
        </w:rPr>
        <w:t xml:space="preserve">Spanish translation workflow added as a production track alongside English content. Separate publish queue for Spanish content with same attribution and YMYL gates.</w:t>
      </w:r>
    </w:p>
    <w:p>
      <w:pPr>
        <w:pBdr>
          <w:left w:val="single" w:color="0E7490" w:sz="12" w:space="6"/>
        </w:pBdr>
        <w:spacing w:before="120" w:after="120"/>
        <w:ind w:left="360"/>
      </w:pPr>
      <w:r>
        <w:rPr>
          <w:rFonts w:ascii="Arial" w:cs="Arial" w:eastAsia="Arial" w:hAnsi="Arial"/>
          <w:b/>
          <w:bCs/>
          <w:color w:val="1B3A6B"/>
          <w:sz w:val="20"/>
          <w:szCs w:val="20"/>
        </w:rPr>
        <w:t xml:space="preserve">CMO Agent (Phase 5): </w:t>
      </w:r>
      <w:r>
        <w:rPr>
          <w:rFonts w:ascii="Arial" w:cs="Arial" w:eastAsia="Arial" w:hAnsi="Arial"/>
          <w:color w:val="334155"/>
          <w:sz w:val="20"/>
          <w:szCs w:val="20"/>
        </w:rPr>
        <w:t xml:space="preserve">Spanish-language SEO keyword tracking added to CMO reporting. Separate keyword set tracked in Ahrefs.</w:t>
      </w:r>
    </w:p>
    <w:p>
      <w:pPr>
        <w:spacing w:before="40" w:after="0"/>
      </w:pPr>
      <w:r>
        <w:t xml:space="preserve"/>
      </w:r>
    </w:p>
    <w:p>
      <w:pPr>
        <w:pStyle w:val="Heading2"/>
        <w:spacing w:before="280" w:after="80"/>
      </w:pPr>
      <w:r>
        <w:rPr>
          <w:rFonts w:ascii="Arial" w:cs="Arial" w:eastAsia="Arial" w:hAnsi="Arial"/>
          <w:b/>
          <w:bCs/>
          <w:color w:val="0E7490"/>
          <w:sz w:val="26"/>
          <w:szCs w:val="26"/>
        </w:rPr>
        <w:t xml:space="preserve">New Metrics — Spanish Track</w:t>
      </w:r>
    </w:p>
    <w:p>
      <w:pPr>
        <w:pStyle w:val="ListParagraph"/>
        <w:numPr>
          <w:ilvl w:val="0"/>
          <w:numId w:val="2"/>
        </w:numPr>
        <w:spacing w:before="40" w:after="40"/>
      </w:pPr>
      <w:r>
        <w:rPr>
          <w:rFonts w:ascii="Arial" w:cs="Arial" w:eastAsia="Arial" w:hAnsi="Arial"/>
          <w:color w:val="334155"/>
          <w:sz w:val="20"/>
          <w:szCs w:val="20"/>
        </w:rPr>
        <w:t xml:space="preserve">Spanish pages published (Phase 4 pilot target: 10–15; Phase 5 target: 100+ by Month 18)</w:t>
      </w:r>
    </w:p>
    <w:p>
      <w:pPr>
        <w:pStyle w:val="ListParagraph"/>
        <w:numPr>
          <w:ilvl w:val="0"/>
          <w:numId w:val="2"/>
        </w:numPr>
        <w:spacing w:before="40" w:after="40"/>
      </w:pPr>
      <w:r>
        <w:rPr>
          <w:rFonts w:ascii="Arial" w:cs="Arial" w:eastAsia="Arial" w:hAnsi="Arial"/>
          <w:color w:val="334155"/>
          <w:sz w:val="20"/>
          <w:szCs w:val="20"/>
        </w:rPr>
        <w:t xml:space="preserve">Spanish organic traffic (tracked as separate segment in Search Console)</w:t>
      </w:r>
    </w:p>
    <w:p>
      <w:pPr>
        <w:pStyle w:val="ListParagraph"/>
        <w:numPr>
          <w:ilvl w:val="0"/>
          <w:numId w:val="2"/>
        </w:numPr>
        <w:spacing w:before="40" w:after="40"/>
      </w:pPr>
      <w:r>
        <w:rPr>
          <w:rFonts w:ascii="Arial" w:cs="Arial" w:eastAsia="Arial" w:hAnsi="Arial"/>
          <w:color w:val="334155"/>
          <w:sz w:val="20"/>
          <w:szCs w:val="20"/>
        </w:rPr>
        <w:t xml:space="preserve">Spanish page conversion rate to tool usage (benchmark vs English pages)</w:t>
      </w:r>
    </w:p>
    <w:p>
      <w:pPr>
        <w:pStyle w:val="ListParagraph"/>
        <w:numPr>
          <w:ilvl w:val="0"/>
          <w:numId w:val="2"/>
        </w:numPr>
        <w:spacing w:before="40" w:after="40"/>
      </w:pPr>
      <w:r>
        <w:rPr>
          <w:rFonts w:ascii="Arial" w:cs="Arial" w:eastAsia="Arial" w:hAnsi="Arial"/>
          <w:color w:val="334155"/>
          <w:sz w:val="20"/>
          <w:szCs w:val="20"/>
        </w:rPr>
        <w:t xml:space="preserve">Community distribution signals (shares via WhatsApp — difficult to track directly; proxy via referral traffic)</w:t>
      </w:r>
    </w:p>
    <w:p>
      <w:pPr>
        <w:spacing w:before="40" w:after="0"/>
      </w:pPr>
      <w:r>
        <w:t xml:space="preserve"/>
      </w:r>
    </w:p>
    <w:p>
      <w:pPr>
        <w:pStyle w:val="Heading2"/>
        <w:spacing w:before="280" w:after="80"/>
      </w:pPr>
      <w:r>
        <w:rPr>
          <w:rFonts w:ascii="Arial" w:cs="Arial" w:eastAsia="Arial" w:hAnsi="Arial"/>
          <w:b/>
          <w:bCs/>
          <w:color w:val="0E7490"/>
          <w:sz w:val="26"/>
          <w:szCs w:val="26"/>
        </w:rPr>
        <w:t xml:space="preserve">Gamification Integration</w:t>
      </w:r>
    </w:p>
    <w:tbl>
      <w:tblPr>
        <w:tblW w:type="dxa" w:w="9360"/>
      </w:tblPr>
      <w:tblGrid>
        <w:gridCol w:w="3200"/>
        <w:gridCol w:w="2000"/>
        <w:gridCol w:w="4160"/>
      </w:tblGrid>
      <w:tr>
        <w:tc>
          <w:tcPr>
            <w:tcW w:type="dxa" w:w="32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2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XP Type</w:t>
            </w:r>
          </w:p>
        </w:tc>
        <w:tc>
          <w:tcPr>
            <w:tcW w:type="dxa" w:w="41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XP + Achievement</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Spanish pilot (10 pages) live</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Build XP</w:t>
            </w:r>
          </w:p>
        </w:tc>
        <w:tc>
          <w:tcPr>
            <w:tcW w:type="dxa" w:w="4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+350 XP | Achievement: Dos Idiomas</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Spanish traffic reaches 10% of total organic</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Signal XP</w:t>
            </w:r>
          </w:p>
        </w:tc>
        <w:tc>
          <w:tcPr>
            <w:tcW w:type="dxa" w:w="4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+500 XP | Achievement: Bilingual Advocate</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First Spanish backlink from community org</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Signal XP</w:t>
            </w:r>
          </w:p>
        </w:tc>
        <w:tc>
          <w:tcPr>
            <w:tcW w:type="dxa" w:w="4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+300 XP</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Spanish content library reaches 100 pages</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Milestone</w:t>
            </w:r>
          </w:p>
        </w:tc>
        <w:tc>
          <w:tcPr>
            <w:tcW w:type="dxa" w:w="4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+800 XP | Achievement: La Voz del Paciente</w:t>
            </w:r>
          </w:p>
        </w:tc>
      </w:tr>
    </w:tbl>
    <w:p>
      <w:pPr>
        <w:spacing w:before="40" w:after="0"/>
      </w:pPr>
      <w:r>
        <w:t xml:space="preserve"/>
      </w:r>
    </w:p>
    <w:p>
      <w:r>
        <w:br w:type="page"/>
      </w:r>
    </w:p>
    <w:p>
      <w:pPr>
        <w:pStyle w:val="Heading1"/>
        <w:pBdr>
          <w:bottom w:val="single" w:color="0E7490" w:sz="6" w:space="1"/>
        </w:pBdr>
        <w:spacing w:before="360" w:after="120"/>
      </w:pPr>
      <w:r>
        <w:rPr>
          <w:rFonts w:ascii="Arial" w:cs="Arial" w:eastAsia="Arial" w:hAnsi="Arial"/>
          <w:b/>
          <w:bCs/>
          <w:color w:val="1B3A6B"/>
          <w:sz w:val="32"/>
          <w:szCs w:val="32"/>
        </w:rPr>
        <w:t xml:space="preserve">Section 9 — GEO / AI Citation Hardwiring</w:t>
      </w:r>
    </w:p>
    <w:p>
      <w:pPr>
        <w:pStyle w:val="Heading2"/>
        <w:spacing w:before="280" w:after="80"/>
      </w:pPr>
      <w:r>
        <w:rPr>
          <w:rFonts w:ascii="Arial" w:cs="Arial" w:eastAsia="Arial" w:hAnsi="Arial"/>
          <w:b/>
          <w:bCs/>
          <w:color w:val="0E7490"/>
          <w:sz w:val="26"/>
          <w:szCs w:val="26"/>
        </w:rPr>
        <w:t xml:space="preserve">Strategic Context</w:t>
      </w:r>
    </w:p>
    <w:p>
      <w:pPr>
        <w:spacing w:before="60" w:after="100"/>
      </w:pPr>
      <w:r>
        <w:rPr>
          <w:rFonts w:ascii="Arial" w:cs="Arial" w:eastAsia="Arial" w:hAnsi="Arial"/>
          <w:b w:val="false"/>
          <w:bCs w:val="false"/>
          <w:color w:val="334155"/>
          <w:sz w:val="20"/>
          <w:szCs w:val="20"/>
        </w:rPr>
        <w:t xml:space="preserve">Generative Engine Optimization (GEO) is the practice of structuring content so AI search systems — Perplexity, ChatGPT Search, Google AI Overviews, Claude — cite it when answering user questions. This is not a separate system from SEO; it is a formatting layer applied to the existing page template. The goal is simple: be the source AI systems quote when someone asks about insurance denials, Medicaid rules, or patient rights.</w:t>
      </w:r>
    </w:p>
    <w:p>
      <w:pPr>
        <w:spacing w:before="60" w:after="100"/>
      </w:pPr>
      <w:r>
        <w:rPr>
          <w:rFonts w:ascii="Arial" w:cs="Arial" w:eastAsia="Arial" w:hAnsi="Arial"/>
          <w:b w:val="false"/>
          <w:bCs w:val="false"/>
          <w:color w:val="334155"/>
          <w:sz w:val="20"/>
          <w:szCs w:val="20"/>
        </w:rPr>
        <w:t xml:space="preserve">Research indicates that pages with clear direct-answer blocks, structured content, and authoritative citations are significantly more likely to appear in AI-generated responses. MyAdvocate's content architecture is already well-positioned. This section hardens the standard.</w:t>
      </w:r>
    </w:p>
    <w:p>
      <w:pPr>
        <w:pBdr>
          <w:left w:val="single" w:color="0E7490" w:sz="12" w:space="6"/>
        </w:pBdr>
        <w:spacing w:before="120" w:after="120"/>
        <w:ind w:left="360"/>
      </w:pPr>
      <w:r>
        <w:rPr>
          <w:rFonts w:ascii="Arial" w:cs="Arial" w:eastAsia="Arial" w:hAnsi="Arial"/>
          <w:b/>
          <w:bCs/>
          <w:color w:val="1B3A6B"/>
          <w:sz w:val="20"/>
          <w:szCs w:val="20"/>
        </w:rPr>
        <w:t xml:space="preserve">Phase Assignment: </w:t>
      </w:r>
      <w:r>
        <w:rPr>
          <w:rFonts w:ascii="Arial" w:cs="Arial" w:eastAsia="Arial" w:hAnsi="Arial"/>
          <w:color w:val="334155"/>
          <w:sz w:val="20"/>
          <w:szCs w:val="20"/>
        </w:rPr>
        <w:t xml:space="preserve">Phase 1 template standard. This is not a Phase 4 project. Every page published from Day 1 must meet GEO formatting requirements. Retroactive compliance required as part of the refresh cycle.</w:t>
      </w:r>
    </w:p>
    <w:p>
      <w:pPr>
        <w:spacing w:before="40" w:after="0"/>
      </w:pPr>
      <w:r>
        <w:t xml:space="preserve"/>
      </w:r>
    </w:p>
    <w:p>
      <w:pPr>
        <w:pStyle w:val="Heading2"/>
        <w:spacing w:before="280" w:after="80"/>
      </w:pPr>
      <w:r>
        <w:rPr>
          <w:rFonts w:ascii="Arial" w:cs="Arial" w:eastAsia="Arial" w:hAnsi="Arial"/>
          <w:b/>
          <w:bCs/>
          <w:color w:val="0E7490"/>
          <w:sz w:val="26"/>
          <w:szCs w:val="26"/>
        </w:rPr>
        <w:t xml:space="preserve">GEO Page Template — Mandatory Formatting Elements</w:t>
      </w:r>
    </w:p>
    <w:p>
      <w:pPr>
        <w:spacing w:before="40" w:after="0"/>
      </w:pPr>
      <w:r>
        <w:t xml:space="preserve"/>
      </w:r>
    </w:p>
    <w:tbl>
      <w:tblPr>
        <w:tblW w:type="dxa" w:w="9360"/>
      </w:tblPr>
      <w:tblGrid>
        <w:gridCol w:w="200"/>
        <w:gridCol w:w="2600"/>
        <w:gridCol w:w="4000"/>
        <w:gridCol w:w="2560"/>
      </w:tblGrid>
      <w:tr>
        <w:tc>
          <w:tcPr>
            <w:tcW w:type="dxa" w:w="2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6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4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25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GEO Purpose</w:t>
            </w:r>
          </w:p>
        </w:tc>
      </w:tr>
      <w:tr>
        <w:tc>
          <w:tcPr>
            <w:tcW w:type="dxa" w:w="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1</w:t>
            </w:r>
          </w:p>
        </w:tc>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334155"/>
                <w:sz w:val="18"/>
                <w:szCs w:val="18"/>
              </w:rPr>
              <w:t xml:space="preserve">Direct Answer Block</w:t>
            </w:r>
          </w:p>
        </w:tc>
        <w:tc>
          <w:tcPr>
            <w:tcW w:type="dxa" w:w="4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Within first 200 words: 2–3 sentences that directly answer the page's core question in plain language.</w:t>
            </w:r>
          </w:p>
        </w:tc>
        <w:tc>
          <w:tcPr>
            <w:tcW w:type="dxa" w:w="2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AI systems pull from opening paragraphs for featured answers</w:t>
            </w:r>
          </w:p>
        </w:tc>
      </w:tr>
      <w:tr>
        <w:tc>
          <w:tcPr>
            <w:tcW w:type="dxa" w:w="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2</w:t>
            </w:r>
          </w:p>
        </w:tc>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334155"/>
                <w:sz w:val="18"/>
                <w:szCs w:val="18"/>
              </w:rPr>
              <w:t xml:space="preserve">H2 Question Headers</w:t>
            </w:r>
          </w:p>
        </w:tc>
        <w:tc>
          <w:tcPr>
            <w:tcW w:type="dxa" w:w="4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Key sub-sections use question format: 'What happens if...', 'How do I...', 'Can I...'</w:t>
            </w:r>
          </w:p>
        </w:tc>
        <w:tc>
          <w:tcPr>
            <w:tcW w:type="dxa" w:w="2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Matches conversational AI query patterns</w:t>
            </w:r>
          </w:p>
        </w:tc>
      </w:tr>
      <w:tr>
        <w:tc>
          <w:tcPr>
            <w:tcW w:type="dxa" w:w="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3</w:t>
            </w:r>
          </w:p>
        </w:tc>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334155"/>
                <w:sz w:val="18"/>
                <w:szCs w:val="18"/>
              </w:rPr>
              <w:t xml:space="preserve">Numbered Step Lists</w:t>
            </w:r>
          </w:p>
        </w:tc>
        <w:tc>
          <w:tcPr>
            <w:tcW w:type="dxa" w:w="4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Process-oriented content uses numbered steps, not prose paragraphs.</w:t>
            </w:r>
          </w:p>
        </w:tc>
        <w:tc>
          <w:tcPr>
            <w:tcW w:type="dxa" w:w="2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AI systems extract structured steps cleanly</w:t>
            </w:r>
          </w:p>
        </w:tc>
      </w:tr>
      <w:tr>
        <w:tc>
          <w:tcPr>
            <w:tcW w:type="dxa" w:w="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4</w:t>
            </w:r>
          </w:p>
        </w:tc>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334155"/>
                <w:sz w:val="18"/>
                <w:szCs w:val="18"/>
              </w:rPr>
              <w:t xml:space="preserve">Definition Boxes</w:t>
            </w:r>
          </w:p>
        </w:tc>
        <w:tc>
          <w:tcPr>
            <w:tcW w:type="dxa" w:w="4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Technical terms (denial codes, regulatory terms) defined in highlighted boxes.</w:t>
            </w:r>
          </w:p>
        </w:tc>
        <w:tc>
          <w:tcPr>
            <w:tcW w:type="dxa" w:w="2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Quoted directly in AI definitions</w:t>
            </w:r>
          </w:p>
        </w:tc>
      </w:tr>
      <w:tr>
        <w:tc>
          <w:tcPr>
            <w:tcW w:type="dxa" w:w="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5</w:t>
            </w:r>
          </w:p>
        </w:tc>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334155"/>
                <w:sz w:val="18"/>
                <w:szCs w:val="18"/>
              </w:rPr>
              <w:t xml:space="preserve">Authoritative Citations</w:t>
            </w:r>
          </w:p>
        </w:tc>
        <w:tc>
          <w:tcPr>
            <w:tcW w:type="dxa" w:w="4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Minimum 5 citations to CMS, HHS, state regulators, or AMA. Linked and visible.</w:t>
            </w:r>
          </w:p>
        </w:tc>
        <w:tc>
          <w:tcPr>
            <w:tcW w:type="dxa" w:w="2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AI systems weight content from well-cited pages higher</w:t>
            </w:r>
          </w:p>
        </w:tc>
      </w:tr>
      <w:tr>
        <w:tc>
          <w:tcPr>
            <w:tcW w:type="dxa" w:w="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6</w:t>
            </w:r>
          </w:p>
        </w:tc>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334155"/>
                <w:sz w:val="18"/>
                <w:szCs w:val="18"/>
              </w:rPr>
              <w:t xml:space="preserve">Schema Markup</w:t>
            </w:r>
          </w:p>
        </w:tc>
        <w:tc>
          <w:tcPr>
            <w:tcW w:type="dxa" w:w="4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FAQPage schema on all articles. HowTo schema on process guides. Article schema with editorial board attribution.</w:t>
            </w:r>
          </w:p>
        </w:tc>
        <w:tc>
          <w:tcPr>
            <w:tcW w:type="dxa" w:w="2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Structured data improves AI indexing and answer extraction</w:t>
            </w:r>
          </w:p>
        </w:tc>
      </w:tr>
      <w:tr>
        <w:tc>
          <w:tcPr>
            <w:tcW w:type="dxa" w:w="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7</w:t>
            </w:r>
          </w:p>
        </w:tc>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334155"/>
                <w:sz w:val="18"/>
                <w:szCs w:val="18"/>
              </w:rPr>
              <w:t xml:space="preserve">Summary Box</w:t>
            </w:r>
          </w:p>
        </w:tc>
        <w:tc>
          <w:tcPr>
            <w:tcW w:type="dxa" w:w="4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Bottom of article: 3–5 bullet summary of key takeaways.</w:t>
            </w:r>
          </w:p>
        </w:tc>
        <w:tc>
          <w:tcPr>
            <w:tcW w:type="dxa" w:w="2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AI uses summaries for response generation</w:t>
            </w:r>
          </w:p>
        </w:tc>
      </w:tr>
      <w:tr>
        <w:tc>
          <w:tcPr>
            <w:tcW w:type="dxa" w:w="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8</w:t>
            </w:r>
          </w:p>
        </w:tc>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334155"/>
                <w:sz w:val="18"/>
                <w:szCs w:val="18"/>
              </w:rPr>
              <w:t xml:space="preserve">Review Date</w:t>
            </w:r>
          </w:p>
        </w:tc>
        <w:tc>
          <w:tcPr>
            <w:tcW w:type="dxa" w:w="4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Visible on-page: 'Last reviewed: [date] by the MyAdvocate Editorial Board'</w:t>
            </w:r>
          </w:p>
        </w:tc>
        <w:tc>
          <w:tcPr>
            <w:tcW w:type="dxa" w:w="2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Freshness signals improve AI source preference</w:t>
            </w:r>
          </w:p>
        </w:tc>
      </w:tr>
    </w:tbl>
    <w:p>
      <w:pPr>
        <w:spacing w:before="80" w:after="0"/>
      </w:pPr>
      <w:r>
        <w:t xml:space="preserve"/>
      </w:r>
    </w:p>
    <w:p>
      <w:pPr>
        <w:pStyle w:val="Heading2"/>
        <w:spacing w:before="280" w:after="80"/>
      </w:pPr>
      <w:r>
        <w:rPr>
          <w:rFonts w:ascii="Arial" w:cs="Arial" w:eastAsia="Arial" w:hAnsi="Arial"/>
          <w:b/>
          <w:bCs/>
          <w:color w:val="0E7490"/>
          <w:sz w:val="26"/>
          <w:szCs w:val="26"/>
        </w:rPr>
        <w:t xml:space="preserve">Schema Markup Implementation Plan</w:t>
      </w:r>
    </w:p>
    <w:p>
      <w:pPr>
        <w:pStyle w:val="ListParagraph"/>
        <w:numPr>
          <w:ilvl w:val="0"/>
          <w:numId w:val="2"/>
        </w:numPr>
        <w:spacing w:before="40" w:after="40"/>
      </w:pPr>
      <w:r>
        <w:rPr>
          <w:rFonts w:ascii="Arial" w:cs="Arial" w:eastAsia="Arial" w:hAnsi="Arial"/>
          <w:color w:val="334155"/>
          <w:sz w:val="20"/>
          <w:szCs w:val="20"/>
        </w:rPr>
        <w:t xml:space="preserve">Organization schema: site-wide, references MyAdvocate Editorial Board as review entity</w:t>
      </w:r>
    </w:p>
    <w:p>
      <w:pPr>
        <w:pStyle w:val="ListParagraph"/>
        <w:numPr>
          <w:ilvl w:val="0"/>
          <w:numId w:val="2"/>
        </w:numPr>
        <w:spacing w:before="40" w:after="40"/>
      </w:pPr>
      <w:r>
        <w:rPr>
          <w:rFonts w:ascii="Arial" w:cs="Arial" w:eastAsia="Arial" w:hAnsi="Arial"/>
          <w:color w:val="334155"/>
          <w:sz w:val="20"/>
          <w:szCs w:val="20"/>
        </w:rPr>
        <w:t xml:space="preserve">Article schema: every article page — includes datePublished, dateModified, reviewedBy (editorial board)</w:t>
      </w:r>
    </w:p>
    <w:p>
      <w:pPr>
        <w:pStyle w:val="ListParagraph"/>
        <w:numPr>
          <w:ilvl w:val="0"/>
          <w:numId w:val="2"/>
        </w:numPr>
        <w:spacing w:before="40" w:after="40"/>
      </w:pPr>
      <w:r>
        <w:rPr>
          <w:rFonts w:ascii="Arial" w:cs="Arial" w:eastAsia="Arial" w:hAnsi="Arial"/>
          <w:color w:val="334155"/>
          <w:sz w:val="20"/>
          <w:szCs w:val="20"/>
        </w:rPr>
        <w:t xml:space="preserve">FAQPage schema: all denial code pages, policy pages, rights pages</w:t>
      </w:r>
    </w:p>
    <w:p>
      <w:pPr>
        <w:pStyle w:val="ListParagraph"/>
        <w:numPr>
          <w:ilvl w:val="0"/>
          <w:numId w:val="2"/>
        </w:numPr>
        <w:spacing w:before="40" w:after="40"/>
      </w:pPr>
      <w:r>
        <w:rPr>
          <w:rFonts w:ascii="Arial" w:cs="Arial" w:eastAsia="Arial" w:hAnsi="Arial"/>
          <w:color w:val="334155"/>
          <w:sz w:val="20"/>
          <w:szCs w:val="20"/>
        </w:rPr>
        <w:t xml:space="preserve">HowTo schema: all process guides (how to appeal, how to dispute, how to file complaint)</w:t>
      </w:r>
    </w:p>
    <w:p>
      <w:pPr>
        <w:pStyle w:val="ListParagraph"/>
        <w:numPr>
          <w:ilvl w:val="0"/>
          <w:numId w:val="2"/>
        </w:numPr>
        <w:spacing w:before="40" w:after="40"/>
      </w:pPr>
      <w:r>
        <w:rPr>
          <w:rFonts w:ascii="Arial" w:cs="Arial" w:eastAsia="Arial" w:hAnsi="Arial"/>
          <w:color w:val="334155"/>
          <w:sz w:val="20"/>
          <w:szCs w:val="20"/>
        </w:rPr>
        <w:t xml:space="preserve">MedicalWebPage schema: where applicable for clinical content</w:t>
      </w:r>
    </w:p>
    <w:p>
      <w:pPr>
        <w:spacing w:before="40" w:after="0"/>
      </w:pPr>
      <w:r>
        <w:t xml:space="preserve"/>
      </w:r>
    </w:p>
    <w:p>
      <w:pPr>
        <w:pStyle w:val="Heading2"/>
        <w:spacing w:before="280" w:after="80"/>
      </w:pPr>
      <w:r>
        <w:rPr>
          <w:rFonts w:ascii="Arial" w:cs="Arial" w:eastAsia="Arial" w:hAnsi="Arial"/>
          <w:b/>
          <w:bCs/>
          <w:color w:val="0E7490"/>
          <w:sz w:val="26"/>
          <w:szCs w:val="26"/>
        </w:rPr>
        <w:t xml:space="preserve">Agent Assignment</w:t>
      </w:r>
    </w:p>
    <w:p>
      <w:pPr>
        <w:pBdr>
          <w:left w:val="single" w:color="0E7490" w:sz="12" w:space="6"/>
        </w:pBdr>
        <w:spacing w:before="120" w:after="120"/>
        <w:ind w:left="360"/>
      </w:pPr>
      <w:r>
        <w:rPr>
          <w:rFonts w:ascii="Arial" w:cs="Arial" w:eastAsia="Arial" w:hAnsi="Arial"/>
          <w:b/>
          <w:bCs/>
          <w:color w:val="1B3A6B"/>
          <w:sz w:val="20"/>
          <w:szCs w:val="20"/>
        </w:rPr>
        <w:t xml:space="preserve">Content Agent: </w:t>
      </w:r>
      <w:r>
        <w:rPr>
          <w:rFonts w:ascii="Arial" w:cs="Arial" w:eastAsia="Arial" w:hAnsi="Arial"/>
          <w:color w:val="334155"/>
          <w:sz w:val="20"/>
          <w:szCs w:val="20"/>
        </w:rPr>
        <w:t xml:space="preserve">GEO template compliance is a publish gate — same level as attribution block. Content generation system must output direct-answer block, structured headers, and schema markup fields as standard outputs.</w:t>
      </w:r>
    </w:p>
    <w:p>
      <w:pPr>
        <w:pBdr>
          <w:left w:val="single" w:color="0E7490" w:sz="12" w:space="6"/>
        </w:pBdr>
        <w:spacing w:before="120" w:after="120"/>
        <w:ind w:left="360"/>
      </w:pPr>
      <w:r>
        <w:rPr>
          <w:rFonts w:ascii="Arial" w:cs="Arial" w:eastAsia="Arial" w:hAnsi="Arial"/>
          <w:b/>
          <w:bCs/>
          <w:color w:val="1B3A6B"/>
          <w:sz w:val="20"/>
          <w:szCs w:val="20"/>
        </w:rPr>
        <w:t xml:space="preserve">Content Refresh Agent: </w:t>
      </w:r>
      <w:r>
        <w:rPr>
          <w:rFonts w:ascii="Arial" w:cs="Arial" w:eastAsia="Arial" w:hAnsi="Arial"/>
          <w:color w:val="334155"/>
          <w:sz w:val="20"/>
          <w:szCs w:val="20"/>
        </w:rPr>
        <w:t xml:space="preserve">Retroactive GEO compliance is added to refresh queue as a standard check. Pages lacking direct-answer blocks or FAQ schema receive geo_compliance = false flag and enter refresh queue at medium priority.</w:t>
      </w:r>
    </w:p>
    <w:p>
      <w:pPr>
        <w:spacing w:before="40" w:after="0"/>
      </w:pPr>
      <w:r>
        <w:t xml:space="preserve"/>
      </w:r>
    </w:p>
    <w:p>
      <w:pPr>
        <w:pStyle w:val="Heading2"/>
        <w:spacing w:before="280" w:after="80"/>
      </w:pPr>
      <w:r>
        <w:rPr>
          <w:rFonts w:ascii="Arial" w:cs="Arial" w:eastAsia="Arial" w:hAnsi="Arial"/>
          <w:b/>
          <w:bCs/>
          <w:color w:val="0E7490"/>
          <w:sz w:val="26"/>
          <w:szCs w:val="26"/>
        </w:rPr>
        <w:t xml:space="preserve">New Metrics — GEO Track</w:t>
      </w:r>
    </w:p>
    <w:p>
      <w:pPr>
        <w:pStyle w:val="ListParagraph"/>
        <w:numPr>
          <w:ilvl w:val="0"/>
          <w:numId w:val="2"/>
        </w:numPr>
        <w:spacing w:before="40" w:after="40"/>
      </w:pPr>
      <w:r>
        <w:rPr>
          <w:rFonts w:ascii="Arial" w:cs="Arial" w:eastAsia="Arial" w:hAnsi="Arial"/>
          <w:color w:val="334155"/>
          <w:sz w:val="20"/>
          <w:szCs w:val="20"/>
        </w:rPr>
        <w:t xml:space="preserve">GEO compliance rate: % of published pages with all 8 elements present (target: 100% on new publishes, 80% retroactive within 6 months)</w:t>
      </w:r>
    </w:p>
    <w:p>
      <w:pPr>
        <w:pStyle w:val="ListParagraph"/>
        <w:numPr>
          <w:ilvl w:val="0"/>
          <w:numId w:val="2"/>
        </w:numPr>
        <w:spacing w:before="40" w:after="40"/>
      </w:pPr>
      <w:r>
        <w:rPr>
          <w:rFonts w:ascii="Arial" w:cs="Arial" w:eastAsia="Arial" w:hAnsi="Arial"/>
          <w:color w:val="334155"/>
          <w:sz w:val="20"/>
          <w:szCs w:val="20"/>
        </w:rPr>
        <w:t xml:space="preserve">AI citation tracking: manual spot-checks monthly — query 10 target questions in Perplexity, ChatGPT Search, and Google AI Overviews; record whether MyAdvocate is cited</w:t>
      </w:r>
    </w:p>
    <w:p>
      <w:pPr>
        <w:pStyle w:val="ListParagraph"/>
        <w:numPr>
          <w:ilvl w:val="0"/>
          <w:numId w:val="2"/>
        </w:numPr>
        <w:spacing w:before="40" w:after="40"/>
      </w:pPr>
      <w:r>
        <w:rPr>
          <w:rFonts w:ascii="Arial" w:cs="Arial" w:eastAsia="Arial" w:hAnsi="Arial"/>
          <w:color w:val="334155"/>
          <w:sz w:val="20"/>
          <w:szCs w:val="20"/>
        </w:rPr>
        <w:t xml:space="preserve">Featured snippet capture rate: % of target keywords where MyAdvocate appears in Google featured snippets (tracked via Ahrefs — already connected)</w:t>
      </w:r>
    </w:p>
    <w:p>
      <w:pPr>
        <w:spacing w:before="40" w:after="0"/>
      </w:pPr>
      <w:r>
        <w:t xml:space="preserve"/>
      </w:r>
    </w:p>
    <w:p>
      <w:pPr>
        <w:pStyle w:val="Heading2"/>
        <w:spacing w:before="280" w:after="80"/>
      </w:pPr>
      <w:r>
        <w:rPr>
          <w:rFonts w:ascii="Arial" w:cs="Arial" w:eastAsia="Arial" w:hAnsi="Arial"/>
          <w:b/>
          <w:bCs/>
          <w:color w:val="0E7490"/>
          <w:sz w:val="26"/>
          <w:szCs w:val="26"/>
        </w:rPr>
        <w:t xml:space="preserve">Gamification Integration</w:t>
      </w:r>
    </w:p>
    <w:tbl>
      <w:tblPr>
        <w:tblW w:type="dxa" w:w="9360"/>
      </w:tblPr>
      <w:tblGrid>
        <w:gridCol w:w="3200"/>
        <w:gridCol w:w="2000"/>
        <w:gridCol w:w="4160"/>
      </w:tblGrid>
      <w:tr>
        <w:tc>
          <w:tcPr>
            <w:tcW w:type="dxa" w:w="32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2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XP Type</w:t>
            </w:r>
          </w:p>
        </w:tc>
        <w:tc>
          <w:tcPr>
            <w:tcW w:type="dxa" w:w="41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XP + Achievement</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GEO template implemented in content pipeline</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Build XP</w:t>
            </w:r>
          </w:p>
        </w:tc>
        <w:tc>
          <w:tcPr>
            <w:tcW w:type="dxa" w:w="4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+250 XP | Achievement: Answer Engine Ready</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First confirmed AI citation (Perplexity/ChatGPT/Google)</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Signal XP</w:t>
            </w:r>
          </w:p>
        </w:tc>
        <w:tc>
          <w:tcPr>
            <w:tcW w:type="dxa" w:w="4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+500 XP | Achievement: AI Source</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GEO compliance rate reaches 90% across library</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Milestone</w:t>
            </w:r>
          </w:p>
        </w:tc>
        <w:tc>
          <w:tcPr>
            <w:tcW w:type="dxa" w:w="4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+600 XP | Achievement: Extraction Ready</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5+ featured snippets captured</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Signal XP</w:t>
            </w:r>
          </w:p>
        </w:tc>
        <w:tc>
          <w:tcPr>
            <w:tcW w:type="dxa" w:w="4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+400 XP | Achievement: Position Zero</w:t>
            </w:r>
          </w:p>
        </w:tc>
      </w:tr>
    </w:tbl>
    <w:p>
      <w:pPr>
        <w:spacing w:before="40" w:after="0"/>
      </w:pPr>
      <w:r>
        <w:t xml:space="preserve"/>
      </w:r>
    </w:p>
    <w:p>
      <w:r>
        <w:br w:type="page"/>
      </w:r>
    </w:p>
    <w:p>
      <w:pPr>
        <w:pStyle w:val="Heading1"/>
        <w:pBdr>
          <w:bottom w:val="single" w:color="0E7490" w:sz="6" w:space="1"/>
        </w:pBdr>
        <w:spacing w:before="360" w:after="120"/>
      </w:pPr>
      <w:r>
        <w:rPr>
          <w:rFonts w:ascii="Arial" w:cs="Arial" w:eastAsia="Arial" w:hAnsi="Arial"/>
          <w:b/>
          <w:bCs/>
          <w:color w:val="1B3A6B"/>
          <w:sz w:val="32"/>
          <w:szCs w:val="32"/>
        </w:rPr>
        <w:t xml:space="preserve">Section 10 — Agent Deployment Schedule Revisions</w:t>
      </w:r>
    </w:p>
    <w:p>
      <w:pPr>
        <w:pStyle w:val="Heading2"/>
        <w:spacing w:before="280" w:after="80"/>
      </w:pPr>
      <w:r>
        <w:rPr>
          <w:rFonts w:ascii="Arial" w:cs="Arial" w:eastAsia="Arial" w:hAnsi="Arial"/>
          <w:b/>
          <w:bCs/>
          <w:color w:val="0E7490"/>
          <w:sz w:val="26"/>
          <w:szCs w:val="26"/>
        </w:rPr>
        <w:t xml:space="preserve">Strategic Context</w:t>
      </w:r>
    </w:p>
    <w:p>
      <w:pPr>
        <w:spacing w:before="60" w:after="100"/>
      </w:pPr>
      <w:r>
        <w:rPr>
          <w:rFonts w:ascii="Arial" w:cs="Arial" w:eastAsia="Arial" w:hAnsi="Arial"/>
          <w:b w:val="false"/>
          <w:bCs w:val="false"/>
          <w:color w:val="334155"/>
          <w:sz w:val="20"/>
          <w:szCs w:val="20"/>
        </w:rPr>
        <w:t xml:space="preserve">This supplemental requires specific agents to come online earlier than their originally planned phase gates, and introduces one new agent function (Surge Detection). The table below documents all revisions to the Board of Agents deployment sequence driven by the decisions in this document.</w:t>
      </w:r>
    </w:p>
    <w:p>
      <w:pPr>
        <w:spacing w:before="40" w:after="0"/>
      </w:pPr>
      <w:r>
        <w:t xml:space="preserve"/>
      </w:r>
    </w:p>
    <w:tbl>
      <w:tblPr>
        <w:tblW w:type="dxa" w:w="9360"/>
      </w:tblPr>
      <w:tblGrid>
        <w:gridCol w:w="2400"/>
        <w:gridCol w:w="1800"/>
        <w:gridCol w:w="1800"/>
        <w:gridCol w:w="3360"/>
      </w:tblGrid>
      <w:tr>
        <w:tc>
          <w:tcPr>
            <w:tcW w:type="dxa" w:w="24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Agent</w:t>
            </w:r>
          </w:p>
        </w:tc>
        <w:tc>
          <w:tcPr>
            <w:tcW w:type="dxa" w:w="18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Original Gate</w:t>
            </w:r>
          </w:p>
        </w:tc>
        <w:tc>
          <w:tcPr>
            <w:tcW w:type="dxa" w:w="18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Revised Gate</w:t>
            </w:r>
          </w:p>
        </w:tc>
        <w:tc>
          <w:tcPr>
            <w:tcW w:type="dxa" w:w="3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Reason for Revision</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334155"/>
                <w:sz w:val="18"/>
                <w:szCs w:val="18"/>
              </w:rPr>
              <w:t xml:space="preserve">Content Refresh Agent</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Phase 4</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B45309"/>
                <w:sz w:val="18"/>
                <w:szCs w:val="18"/>
              </w:rPr>
              <w:t xml:space="preserve">Phase 2</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Refresh system must activate as soon as first content publishes. Phase 4 activation leaves all Phase 1/2 content unmonitored.</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334155"/>
                <w:sz w:val="18"/>
                <w:szCs w:val="18"/>
              </w:rPr>
              <w:t xml:space="preserve">Data / Insights Agent</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Phase 5</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B45309"/>
                <w:sz w:val="18"/>
                <w:szCs w:val="18"/>
              </w:rPr>
              <w:t xml:space="preserve">Phase 3</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Annual Report data schema must be set up at Phase 3 to have 9–12 months of outcome data ready for Month 12 report gate.</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334155"/>
                <w:sz w:val="18"/>
                <w:szCs w:val="18"/>
              </w:rPr>
              <w:t xml:space="preserve">CMO Agent — Outreach Module</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Phase 4</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B45309"/>
                <w:sz w:val="18"/>
                <w:szCs w:val="18"/>
              </w:rPr>
              <w:t xml:space="preserve">Phase 3</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Backlink outreach program (Section 4) requires CMO Agent to track partner pipeline from Month 4.</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334155"/>
                <w:sz w:val="18"/>
                <w:szCs w:val="18"/>
              </w:rPr>
              <w:t xml:space="preserve">CMO Agent — Spanish Track</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Phase 5</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B45309"/>
                <w:sz w:val="18"/>
                <w:szCs w:val="18"/>
              </w:rPr>
              <w:t xml:space="preserve">Phase 4</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Spanish-language keyword tracking needed to validate pilot performance before Phase 5 scale decision.</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334155"/>
                <w:sz w:val="18"/>
                <w:szCs w:val="18"/>
              </w:rPr>
              <w:t xml:space="preserve">Content Agent — GEO Module</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Phase 4</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991B1B"/>
                <w:sz w:val="18"/>
                <w:szCs w:val="18"/>
              </w:rPr>
              <w:t xml:space="preserve">Phase 1</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GEO formatting is a Day 1 template standard. Must be hardwired into content generation from first publish.</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334155"/>
                <w:sz w:val="18"/>
                <w:szCs w:val="18"/>
              </w:rPr>
              <w:t xml:space="preserve">CMO Agent — Surge Detection</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Not previously defined</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166534"/>
                <w:sz w:val="18"/>
                <w:szCs w:val="18"/>
              </w:rPr>
              <w:t xml:space="preserve">Phase 4</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NEW: Policy cluster surge response protocol requires CMO Agent to flag keyword spikes tied to regulatory news events.</w:t>
            </w:r>
          </w:p>
        </w:tc>
      </w:tr>
    </w:tbl>
    <w:p>
      <w:pPr>
        <w:spacing w:before="80" w:after="0"/>
      </w:pPr>
      <w:r>
        <w:t xml:space="preserve"/>
      </w:r>
    </w:p>
    <w:p>
      <w:pPr>
        <w:pStyle w:val="Heading2"/>
        <w:spacing w:before="280" w:after="80"/>
      </w:pPr>
      <w:r>
        <w:rPr>
          <w:rFonts w:ascii="Arial" w:cs="Arial" w:eastAsia="Arial" w:hAnsi="Arial"/>
          <w:b/>
          <w:bCs/>
          <w:color w:val="0E7490"/>
          <w:sz w:val="26"/>
          <w:szCs w:val="26"/>
        </w:rPr>
        <w:t xml:space="preserve">No New Agents Required</w:t>
      </w:r>
    </w:p>
    <w:p>
      <w:pPr>
        <w:spacing w:before="60" w:after="100"/>
      </w:pPr>
      <w:r>
        <w:rPr>
          <w:rFonts w:ascii="Arial" w:cs="Arial" w:eastAsia="Arial" w:hAnsi="Arial"/>
          <w:b w:val="false"/>
          <w:bCs w:val="false"/>
          <w:color w:val="334155"/>
          <w:sz w:val="20"/>
          <w:szCs w:val="20"/>
        </w:rPr>
        <w:t xml:space="preserve">All functions described in this supplemental are handled by existing agents with scope expansion or earlier activation. The Board of Agents count does not increase. Workload additions are absorbed into existing agent responsibilities.</w:t>
      </w:r>
    </w:p>
    <w:p>
      <w:pPr>
        <w:spacing w:before="40" w:after="0"/>
      </w:pPr>
      <w:r>
        <w:t xml:space="preserve"/>
      </w:r>
    </w:p>
    <w:p>
      <w:r>
        <w:br w:type="page"/>
      </w:r>
    </w:p>
    <w:p>
      <w:pPr>
        <w:pStyle w:val="Heading1"/>
        <w:pBdr>
          <w:bottom w:val="single" w:color="0E7490" w:sz="6" w:space="1"/>
        </w:pBdr>
        <w:spacing w:before="360" w:after="120"/>
      </w:pPr>
      <w:r>
        <w:rPr>
          <w:rFonts w:ascii="Arial" w:cs="Arial" w:eastAsia="Arial" w:hAnsi="Arial"/>
          <w:b/>
          <w:bCs/>
          <w:color w:val="1B3A6B"/>
          <w:sz w:val="32"/>
          <w:szCs w:val="32"/>
        </w:rPr>
        <w:t xml:space="preserve">Section 11 — Consolidated Metrics Dashboard Additions</w:t>
      </w:r>
    </w:p>
    <w:p>
      <w:pPr>
        <w:pStyle w:val="Heading2"/>
        <w:spacing w:before="280" w:after="80"/>
      </w:pPr>
      <w:r>
        <w:rPr>
          <w:rFonts w:ascii="Arial" w:cs="Arial" w:eastAsia="Arial" w:hAnsi="Arial"/>
          <w:b/>
          <w:bCs/>
          <w:color w:val="0E7490"/>
          <w:sz w:val="26"/>
          <w:szCs w:val="26"/>
        </w:rPr>
        <w:t xml:space="preserve">New Metrics Introduced by This Supplemental</w:t>
      </w:r>
    </w:p>
    <w:p>
      <w:pPr>
        <w:spacing w:before="60" w:after="100"/>
      </w:pPr>
      <w:r>
        <w:rPr>
          <w:rFonts w:ascii="Arial" w:cs="Arial" w:eastAsia="Arial" w:hAnsi="Arial"/>
          <w:b w:val="false"/>
          <w:bCs w:val="false"/>
          <w:color w:val="334155"/>
          <w:sz w:val="20"/>
          <w:szCs w:val="20"/>
        </w:rPr>
        <w:t xml:space="preserve">The following metrics are new or formalized for the first time in this supplemental. They should be added to the founder dashboard and Monthly Performance Review template.</w:t>
      </w:r>
    </w:p>
    <w:p>
      <w:pPr>
        <w:spacing w:before="40" w:after="0"/>
      </w:pPr>
      <w:r>
        <w:t xml:space="preserve"/>
      </w:r>
    </w:p>
    <w:tbl>
      <w:tblPr>
        <w:tblW w:type="dxa" w:w="9360"/>
      </w:tblPr>
      <w:tblGrid>
        <w:gridCol w:w="2800"/>
        <w:gridCol w:w="1600"/>
        <w:gridCol w:w="2400"/>
        <w:gridCol w:w="2560"/>
      </w:tblGrid>
      <w:tr>
        <w:tc>
          <w:tcPr>
            <w:tcW w:type="dxa" w:w="28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16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Section</w:t>
            </w:r>
          </w:p>
        </w:tc>
        <w:tc>
          <w:tcPr>
            <w:tcW w:type="dxa" w:w="24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Target / Benchmark</w:t>
            </w:r>
          </w:p>
        </w:tc>
        <w:tc>
          <w:tcPr>
            <w:tcW w:type="dxa" w:w="25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Review Cadence</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Cornerstone guides live + indexed</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Section 1</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1 at launch, 4 by M6, 10 by M12</w:t>
            </w:r>
          </w:p>
        </w:tc>
        <w:tc>
          <w:tcPr>
            <w:tcW w:type="dxa" w:w="2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Monthly</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Avg. time-on-page for cornerstone guides</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Section 1</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Target: 4+ minutes</w:t>
            </w:r>
          </w:p>
        </w:tc>
        <w:tc>
          <w:tcPr>
            <w:tcW w:type="dxa" w:w="2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Monthly</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Trust pages live count (of 9 required)</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Section 2</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9/9 at launch gate</w:t>
            </w:r>
          </w:p>
        </w:tc>
        <w:tc>
          <w:tcPr>
            <w:tcW w:type="dxa" w:w="2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Launch gate only</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Attribution compliance rate</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Section 3</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100% — no exceptions</w:t>
            </w:r>
          </w:p>
        </w:tc>
        <w:tc>
          <w:tcPr>
            <w:tcW w:type="dxa" w:w="2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Weekly</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Kate review queue depth</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Section 3</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Under 20 pending items</w:t>
            </w:r>
          </w:p>
        </w:tc>
        <w:tc>
          <w:tcPr>
            <w:tcW w:type="dxa" w:w="2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Weekly</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Total referring domains</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Section 4</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10 by M6, 30 by M12</w:t>
            </w:r>
          </w:p>
        </w:tc>
        <w:tc>
          <w:tcPr>
            <w:tcW w:type="dxa" w:w="2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Monthly</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Backlinks from DA 40+ domains</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Section 4</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Quality signal — track separately</w:t>
            </w:r>
          </w:p>
        </w:tc>
        <w:tc>
          <w:tcPr>
            <w:tcW w:type="dxa" w:w="2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Monthly</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Policy cluster page count</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Section 5</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30 by M9, 75 by M18</w:t>
            </w:r>
          </w:p>
        </w:tc>
        <w:tc>
          <w:tcPr>
            <w:tcW w:type="dxa" w:w="2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Monthly</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Surge article 30-day performance vs baseline</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Section 5</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Benchmark — does surge timing outperform?</w:t>
            </w:r>
          </w:p>
        </w:tc>
        <w:tc>
          <w:tcPr>
            <w:tcW w:type="dxa" w:w="2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Post-publish 30-day</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Refresh queue depth</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Section 6</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Under 15 in Phase 4</w:t>
            </w:r>
          </w:p>
        </w:tc>
        <w:tc>
          <w:tcPr>
            <w:tcW w:type="dxa" w:w="2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Weekly</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Pages overdue for refresh</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Section 6</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Target: 0</w:t>
            </w:r>
          </w:p>
        </w:tc>
        <w:tc>
          <w:tcPr>
            <w:tcW w:type="dxa" w:w="2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Weekly</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Refresh-to-traffic lift rate</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Section 6</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 of refreshed pages recovering in 60 days</w:t>
            </w:r>
          </w:p>
        </w:tc>
        <w:tc>
          <w:tcPr>
            <w:tcW w:type="dxa" w:w="2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Quarterly</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Outcome data completeness score</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Section 7</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 of cases with outcome data captured</w:t>
            </w:r>
          </w:p>
        </w:tc>
        <w:tc>
          <w:tcPr>
            <w:tcW w:type="dxa" w:w="2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Monthly (Phase 3+)</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Annual Report backlinks (post-publication)</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Section 7</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Primary authority KPI — track annually</w:t>
            </w:r>
          </w:p>
        </w:tc>
        <w:tc>
          <w:tcPr>
            <w:tcW w:type="dxa" w:w="2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Annual</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Spanish organic traffic (% of total)</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Section 8</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Target: 10% of organic by Phase 5</w:t>
            </w:r>
          </w:p>
        </w:tc>
        <w:tc>
          <w:tcPr>
            <w:tcW w:type="dxa" w:w="2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Monthly (Phase 4+)</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GEO compliance rate</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Section 9</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100% new publishes, 80% retroactive in 6mo</w:t>
            </w:r>
          </w:p>
        </w:tc>
        <w:tc>
          <w:tcPr>
            <w:tcW w:type="dxa" w:w="2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Monthly</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AI citation spot-checks (manual)</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Section 9</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10 queries/month in Perplexity, ChatGPT, Google</w:t>
            </w:r>
          </w:p>
        </w:tc>
        <w:tc>
          <w:tcPr>
            <w:tcW w:type="dxa" w:w="2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Monthly</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Featured snippet capture rate</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Section 9</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 of target keywords with MyAdvocate snippet</w:t>
            </w:r>
          </w:p>
        </w:tc>
        <w:tc>
          <w:tcPr>
            <w:tcW w:type="dxa" w:w="2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Monthly (via Ahrefs)</w:t>
            </w:r>
          </w:p>
        </w:tc>
      </w:tr>
    </w:tbl>
    <w:p>
      <w:pPr>
        <w:spacing w:before="40" w:after="0"/>
      </w:pPr>
      <w:r>
        <w:t xml:space="preserve"/>
      </w:r>
    </w:p>
    <w:p>
      <w:r>
        <w:br w:type="page"/>
      </w:r>
    </w:p>
    <w:p>
      <w:pPr>
        <w:pStyle w:val="Heading1"/>
        <w:pBdr>
          <w:bottom w:val="single" w:color="0E7490" w:sz="6" w:space="1"/>
        </w:pBdr>
        <w:spacing w:before="360" w:after="120"/>
      </w:pPr>
      <w:r>
        <w:rPr>
          <w:rFonts w:ascii="Arial" w:cs="Arial" w:eastAsia="Arial" w:hAnsi="Arial"/>
          <w:b/>
          <w:bCs/>
          <w:color w:val="1B3A6B"/>
          <w:sz w:val="32"/>
          <w:szCs w:val="32"/>
        </w:rPr>
        <w:t xml:space="preserve">Section 12 — Master Roadmap Integration Table</w:t>
      </w:r>
    </w:p>
    <w:p>
      <w:pPr>
        <w:pStyle w:val="Heading2"/>
        <w:spacing w:before="280" w:after="80"/>
      </w:pPr>
      <w:r>
        <w:rPr>
          <w:rFonts w:ascii="Arial" w:cs="Arial" w:eastAsia="Arial" w:hAnsi="Arial"/>
          <w:b/>
          <w:bCs/>
          <w:color w:val="0E7490"/>
          <w:sz w:val="26"/>
          <w:szCs w:val="26"/>
        </w:rPr>
        <w:t xml:space="preserve">All Decisions by Phase &amp; Sprint Priority</w:t>
      </w:r>
    </w:p>
    <w:p>
      <w:pPr>
        <w:spacing w:before="40" w:after="0"/>
      </w:pPr>
      <w:r>
        <w:t xml:space="preserve"/>
      </w:r>
    </w:p>
    <w:tbl>
      <w:tblPr>
        <w:tblW w:type="dxa" w:w="9360"/>
      </w:tblPr>
      <w:tblGrid>
        <w:gridCol w:w="1400"/>
        <w:gridCol w:w="1400"/>
        <w:gridCol w:w="4200"/>
        <w:gridCol w:w="2360"/>
      </w:tblGrid>
      <w:tr>
        <w:tc>
          <w:tcPr>
            <w:tcW w:type="dxa" w:w="14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14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Sprint Priority</w:t>
            </w:r>
          </w:p>
        </w:tc>
        <w:tc>
          <w:tcPr>
            <w:tcW w:type="dxa" w:w="42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2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Section</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166534"/>
                <w:sz w:val="18"/>
                <w:szCs w:val="18"/>
              </w:rPr>
              <w:t xml:space="preserve">Phase 1</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991B1B"/>
                <w:sz w:val="18"/>
                <w:szCs w:val="18"/>
              </w:rPr>
              <w:t xml:space="preserve">P0 — Launch Gate</w:t>
            </w:r>
          </w:p>
        </w:tc>
        <w:tc>
          <w:tcPr>
            <w:tcW w:type="dxa" w:w="4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Complete Guide to Insurance Claim Denials live and indexed</w:t>
            </w:r>
          </w:p>
        </w:tc>
        <w:tc>
          <w:tcPr>
            <w:tcW w:type="dxa" w:w="2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Section 1</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166534"/>
                <w:sz w:val="18"/>
                <w:szCs w:val="18"/>
              </w:rPr>
              <w:t xml:space="preserve">Phase 1</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991B1B"/>
                <w:sz w:val="18"/>
                <w:szCs w:val="18"/>
              </w:rPr>
              <w:t xml:space="preserve">P0 — Launch Gate</w:t>
            </w:r>
          </w:p>
        </w:tc>
        <w:tc>
          <w:tcPr>
            <w:tcW w:type="dxa" w:w="4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All 9 trust infrastructure pages live (About, Editorial Standards, Medical Review Policy, Sources Policy, Disclaimer, Privacy, ToS, Contact, How It Works)</w:t>
            </w:r>
          </w:p>
        </w:tc>
        <w:tc>
          <w:tcPr>
            <w:tcW w:type="dxa" w:w="2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Section 2</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166534"/>
                <w:sz w:val="18"/>
                <w:szCs w:val="18"/>
              </w:rPr>
              <w:t xml:space="preserve">Phase 1</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991B1B"/>
                <w:sz w:val="18"/>
                <w:szCs w:val="18"/>
              </w:rPr>
              <w:t xml:space="preserve">P0 — Launch Gate</w:t>
            </w:r>
          </w:p>
        </w:tc>
        <w:tc>
          <w:tcPr>
            <w:tcW w:type="dxa" w:w="4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Editorial board attribution block implemented in publish pipeline — mandatory gate</w:t>
            </w:r>
          </w:p>
        </w:tc>
        <w:tc>
          <w:tcPr>
            <w:tcW w:type="dxa" w:w="2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Section 3</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166534"/>
                <w:sz w:val="18"/>
                <w:szCs w:val="18"/>
              </w:rPr>
              <w:t xml:space="preserve">Phase 1</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991B1B"/>
                <w:sz w:val="18"/>
                <w:szCs w:val="18"/>
              </w:rPr>
              <w:t xml:space="preserve">P0 — Launch Gate</w:t>
            </w:r>
          </w:p>
        </w:tc>
        <w:tc>
          <w:tcPr>
            <w:tcW w:type="dxa" w:w="4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GEO template standard implemented in content generation system (direct-answer block, question headers, schema markup)</w:t>
            </w:r>
          </w:p>
        </w:tc>
        <w:tc>
          <w:tcPr>
            <w:tcW w:type="dxa" w:w="2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Section 9</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166534"/>
                <w:sz w:val="18"/>
                <w:szCs w:val="18"/>
              </w:rPr>
              <w:t xml:space="preserve">Phase 1</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P1 — Early Sprint</w:t>
            </w:r>
          </w:p>
        </w:tc>
        <w:tc>
          <w:tcPr>
            <w:tcW w:type="dxa" w:w="4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Organization schema and Article schema deployed site-wide</w:t>
            </w:r>
          </w:p>
        </w:tc>
        <w:tc>
          <w:tcPr>
            <w:tcW w:type="dxa" w:w="2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Section 9</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166534"/>
                <w:sz w:val="18"/>
                <w:szCs w:val="18"/>
              </w:rPr>
              <w:t xml:space="preserve">Phase 1</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P1 — Early Sprint</w:t>
            </w:r>
          </w:p>
        </w:tc>
        <w:tc>
          <w:tcPr>
            <w:tcW w:type="dxa" w:w="4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Anonymous content rules documented and applied to all trust page drafts</w:t>
            </w:r>
          </w:p>
        </w:tc>
        <w:tc>
          <w:tcPr>
            <w:tcW w:type="dxa" w:w="2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Section 2</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0E7490"/>
                <w:sz w:val="18"/>
                <w:szCs w:val="18"/>
              </w:rPr>
              <w:t xml:space="preserve">Phase 2</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Sprint 1</w:t>
            </w:r>
          </w:p>
        </w:tc>
        <w:tc>
          <w:tcPr>
            <w:tcW w:type="dxa" w:w="4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Content Refresh Agent activated (moved from Phase 4)</w:t>
            </w:r>
          </w:p>
        </w:tc>
        <w:tc>
          <w:tcPr>
            <w:tcW w:type="dxa" w:w="2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Section 6, 10</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0E7490"/>
                <w:sz w:val="18"/>
                <w:szCs w:val="18"/>
              </w:rPr>
              <w:t xml:space="preserve">Phase 2</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Sprint 1</w:t>
            </w:r>
          </w:p>
        </w:tc>
        <w:tc>
          <w:tcPr>
            <w:tcW w:type="dxa" w:w="4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Page metadata fields implemented (content_tier, last_reviewed_date, source_dependency_type, refresh_priority_score)</w:t>
            </w:r>
          </w:p>
        </w:tc>
        <w:tc>
          <w:tcPr>
            <w:tcW w:type="dxa" w:w="2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Section 6</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0E7490"/>
                <w:sz w:val="18"/>
                <w:szCs w:val="18"/>
              </w:rPr>
              <w:t xml:space="preserve">Phase 2</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Sprint 2</w:t>
            </w:r>
          </w:p>
        </w:tc>
        <w:tc>
          <w:tcPr>
            <w:tcW w:type="dxa" w:w="4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Outcome data schema implemented (Phase 3 Annual Report prep begins now)</w:t>
            </w:r>
          </w:p>
        </w:tc>
        <w:tc>
          <w:tcPr>
            <w:tcW w:type="dxa" w:w="2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Section 7</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B45309"/>
                <w:sz w:val="18"/>
                <w:szCs w:val="18"/>
              </w:rPr>
              <w:t xml:space="preserve">Phase 3</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Month 4–6</w:t>
            </w:r>
          </w:p>
        </w:tc>
        <w:tc>
          <w:tcPr>
            <w:tcW w:type="dxa" w:w="4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Data / Insights Agent activated — begins anonymized outcome data aggregation</w:t>
            </w:r>
          </w:p>
        </w:tc>
        <w:tc>
          <w:tcPr>
            <w:tcW w:type="dxa" w:w="2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Section 7, 10</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B45309"/>
                <w:sz w:val="18"/>
                <w:szCs w:val="18"/>
              </w:rPr>
              <w:t xml:space="preserve">Phase 3</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Month 4–6</w:t>
            </w:r>
          </w:p>
        </w:tc>
        <w:tc>
          <w:tcPr>
            <w:tcW w:type="dxa" w:w="4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CMO Agent Outreach Module activated — partner target list built, outreach templates created</w:t>
            </w:r>
          </w:p>
        </w:tc>
        <w:tc>
          <w:tcPr>
            <w:tcW w:type="dxa" w:w="2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Section 4, 10</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B45309"/>
                <w:sz w:val="18"/>
                <w:szCs w:val="18"/>
              </w:rPr>
              <w:t xml:space="preserve">Phase 3</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Month 4 gate</w:t>
            </w:r>
          </w:p>
        </w:tc>
        <w:tc>
          <w:tcPr>
            <w:tcW w:type="dxa" w:w="4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First backlink outreach begins (gate: minimum 50 indexed pages)</w:t>
            </w:r>
          </w:p>
        </w:tc>
        <w:tc>
          <w:tcPr>
            <w:tcW w:type="dxa" w:w="2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Section 4</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B45309"/>
                <w:sz w:val="18"/>
                <w:szCs w:val="18"/>
              </w:rPr>
              <w:t xml:space="preserve">Phase 3</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Month 6</w:t>
            </w:r>
          </w:p>
        </w:tc>
        <w:tc>
          <w:tcPr>
            <w:tcW w:type="dxa" w:w="4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Partner target list at 25 orgs, outreach pipeline live in CMO Agent reporting</w:t>
            </w:r>
          </w:p>
        </w:tc>
        <w:tc>
          <w:tcPr>
            <w:tcW w:type="dxa" w:w="2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Section 4</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Phase 4</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Wave 1</w:t>
            </w:r>
          </w:p>
        </w:tc>
        <w:tc>
          <w:tcPr>
            <w:tcW w:type="dxa" w:w="4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Cornerstone guides 2–3 published (Medical Billing, Patient Rights)</w:t>
            </w:r>
          </w:p>
        </w:tc>
        <w:tc>
          <w:tcPr>
            <w:tcW w:type="dxa" w:w="2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Section 1</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Phase 4</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Wave 2</w:t>
            </w:r>
          </w:p>
        </w:tc>
        <w:tc>
          <w:tcPr>
            <w:tcW w:type="dxa" w:w="4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Cornerstone guides 4–6 published (Medicaid, Medicare, Prior Auth)</w:t>
            </w:r>
          </w:p>
        </w:tc>
        <w:tc>
          <w:tcPr>
            <w:tcW w:type="dxa" w:w="2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Section 1</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Phase 4</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Wave 2</w:t>
            </w:r>
          </w:p>
        </w:tc>
        <w:tc>
          <w:tcPr>
            <w:tcW w:type="dxa" w:w="4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Policy interpretation cluster launches (Medicaid sub-cluster first, 10–15 pages)</w:t>
            </w:r>
          </w:p>
        </w:tc>
        <w:tc>
          <w:tcPr>
            <w:tcW w:type="dxa" w:w="2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Section 5</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Phase 4</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Wave 2</w:t>
            </w:r>
          </w:p>
        </w:tc>
        <w:tc>
          <w:tcPr>
            <w:tcW w:type="dxa" w:w="4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CMO Agent Spanish Track activated — keyword monitoring for pilot</w:t>
            </w:r>
          </w:p>
        </w:tc>
        <w:tc>
          <w:tcPr>
            <w:tcW w:type="dxa" w:w="2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Section 8, 10</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Phase 4</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Wave 2</w:t>
            </w:r>
          </w:p>
        </w:tc>
        <w:tc>
          <w:tcPr>
            <w:tcW w:type="dxa" w:w="4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Spanish pilot: 10–15 Medicaid policy pages translated and published</w:t>
            </w:r>
          </w:p>
        </w:tc>
        <w:tc>
          <w:tcPr>
            <w:tcW w:type="dxa" w:w="2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Section 8</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Phase 4</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Wave 3</w:t>
            </w:r>
          </w:p>
        </w:tc>
        <w:tc>
          <w:tcPr>
            <w:tcW w:type="dxa" w:w="4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Cornerstone guides 7–9 published (No Surprises Act, Nursing Home, Complaints)</w:t>
            </w:r>
          </w:p>
        </w:tc>
        <w:tc>
          <w:tcPr>
            <w:tcW w:type="dxa" w:w="2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Section 1</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Phase 4</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Wave 3</w:t>
            </w:r>
          </w:p>
        </w:tc>
        <w:tc>
          <w:tcPr>
            <w:tcW w:type="dxa" w:w="4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Surge Detection module added to CMO Agent — policy keyword spike monitoring active</w:t>
            </w:r>
          </w:p>
        </w:tc>
        <w:tc>
          <w:tcPr>
            <w:tcW w:type="dxa" w:w="2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Section 5, 10</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Phase 4</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Wave 4</w:t>
            </w:r>
          </w:p>
        </w:tc>
        <w:tc>
          <w:tcPr>
            <w:tcW w:type="dxa" w:w="4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Cornerstone guide 10 published (Financial Assistance / Charity Care)</w:t>
            </w:r>
          </w:p>
        </w:tc>
        <w:tc>
          <w:tcPr>
            <w:tcW w:type="dxa" w:w="2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Section 1</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Phase 4</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Wave 4</w:t>
            </w:r>
          </w:p>
        </w:tc>
        <w:tc>
          <w:tcPr>
            <w:tcW w:type="dxa" w:w="4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Refresh-before-expand rule enforced (no new cluster pages if refresh_priority_score &gt; 70 in cluster)</w:t>
            </w:r>
          </w:p>
        </w:tc>
        <w:tc>
          <w:tcPr>
            <w:tcW w:type="dxa" w:w="2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Section 6</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334155"/>
                <w:sz w:val="18"/>
                <w:szCs w:val="18"/>
              </w:rPr>
              <w:t xml:space="preserve">Phase 5</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Month 12 gate</w:t>
            </w:r>
          </w:p>
        </w:tc>
        <w:tc>
          <w:tcPr>
            <w:tcW w:type="dxa" w:w="4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Annual Outcomes Report data gate review — publish if data sufficient</w:t>
            </w:r>
          </w:p>
        </w:tc>
        <w:tc>
          <w:tcPr>
            <w:tcW w:type="dxa" w:w="2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Section 7</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334155"/>
                <w:sz w:val="18"/>
                <w:szCs w:val="18"/>
              </w:rPr>
              <w:t xml:space="preserve">Phase 5</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Scale</w:t>
            </w:r>
          </w:p>
        </w:tc>
        <w:tc>
          <w:tcPr>
            <w:tcW w:type="dxa" w:w="4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Spanish content library scales to 100+ pages across full content categories</w:t>
            </w:r>
          </w:p>
        </w:tc>
        <w:tc>
          <w:tcPr>
            <w:tcW w:type="dxa" w:w="2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Section 8</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334155"/>
                <w:sz w:val="18"/>
                <w:szCs w:val="18"/>
              </w:rPr>
              <w:t xml:space="preserve">Phase 5</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Scale</w:t>
            </w:r>
          </w:p>
        </w:tc>
        <w:tc>
          <w:tcPr>
            <w:tcW w:type="dxa" w:w="4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Annual Report distributed to press, partners, and used in B2B outreach</w:t>
            </w:r>
          </w:p>
        </w:tc>
        <w:tc>
          <w:tcPr>
            <w:tcW w:type="dxa" w:w="2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Section 7</w:t>
            </w:r>
          </w:p>
        </w:tc>
      </w:tr>
    </w:tbl>
    <w:p>
      <w:pPr>
        <w:spacing w:before="40" w:after="0"/>
      </w:pPr>
      <w:r>
        <w:t xml:space="preserve"/>
      </w:r>
    </w:p>
    <w:p>
      <w:r>
        <w:br w:type="page"/>
      </w:r>
    </w:p>
    <w:p>
      <w:pPr>
        <w:pStyle w:val="Heading1"/>
        <w:pBdr>
          <w:bottom w:val="single" w:color="0E7490" w:sz="6" w:space="1"/>
        </w:pBdr>
        <w:spacing w:before="360" w:after="120"/>
      </w:pPr>
      <w:r>
        <w:rPr>
          <w:rFonts w:ascii="Arial" w:cs="Arial" w:eastAsia="Arial" w:hAnsi="Arial"/>
          <w:b/>
          <w:bCs/>
          <w:color w:val="1B3A6B"/>
          <w:sz w:val="32"/>
          <w:szCs w:val="32"/>
        </w:rPr>
        <w:t xml:space="preserve">Document Authority &amp; Maintenance</w:t>
      </w:r>
    </w:p>
    <w:tbl>
      <w:tblPr>
        <w:tblW w:type="dxa" w:w="9360"/>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Document ID</w:t>
            </w:r>
          </w:p>
        </w:tc>
        <w:tc>
          <w:tcPr>
            <w:tcW w:type="dxa" w:w="6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MA-SEO-SUP-001 (pending registry assignment)</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Version</w:t>
            </w:r>
          </w:p>
        </w:tc>
        <w:tc>
          <w:tcPr>
            <w:tcW w:type="dxa" w:w="6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v1.0</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Date</w:t>
            </w:r>
          </w:p>
        </w:tc>
        <w:tc>
          <w:tcPr>
            <w:tcW w:type="dxa" w:w="6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March 2026</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Authority Level</w:t>
            </w:r>
          </w:p>
        </w:tc>
        <w:tc>
          <w:tcPr>
            <w:tcW w:type="dxa" w:w="6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Supporting Anchor — MA-SEO Family</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Supersedes</w:t>
            </w:r>
          </w:p>
        </w:tc>
        <w:tc>
          <w:tcPr>
            <w:tcW w:type="dxa" w:w="6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Informal analysis notes — not a prior canonical document</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Review Trigger</w:t>
            </w:r>
          </w:p>
        </w:tc>
        <w:tc>
          <w:tcPr>
            <w:tcW w:type="dxa" w:w="6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Any Phase gate review, any major SEO strategy change, or Annual Report publication</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Conflicts With</w:t>
            </w:r>
          </w:p>
        </w:tc>
        <w:tc>
          <w:tcPr>
            <w:tcW w:type="dxa" w:w="6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None identified. Supplements MA-SEO-003 through MA-SEO-007.</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Founder Approval</w:t>
            </w:r>
          </w:p>
        </w:tc>
        <w:tc>
          <w:tcPr>
            <w:tcW w:type="dxa" w:w="6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Required before Phase gate tasks are sprint-activated</w:t>
            </w:r>
          </w:p>
        </w:tc>
      </w:tr>
    </w:tbl>
    <w:p>
      <w:pPr>
        <w:spacing w:before="80" w:after="0"/>
      </w:pPr>
      <w:r>
        <w:t xml:space="preserve"/>
      </w:r>
    </w:p>
    <w:p>
      <w:pPr>
        <w:spacing w:before="60" w:after="100"/>
      </w:pPr>
      <w:r>
        <w:rPr>
          <w:rFonts w:ascii="Arial" w:cs="Arial" w:eastAsia="Arial" w:hAnsi="Arial"/>
          <w:b w:val="false"/>
          <w:bCs w:val="false"/>
          <w:color w:val="334155"/>
          <w:sz w:val="20"/>
          <w:szCs w:val="20"/>
        </w:rPr>
        <w:t xml:space="preserve">This document is now part of the canonical MA-SEO family. All tasks herein should be added to the Sprint Task database in Notion with phase assignments and priority labels as defined in Section 12.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415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80"/>
      <w:outlineLvl w:val="1"/>
    </w:pPr>
    <w:rPr>
      <w:rFonts w:ascii="Arial" w:cs="Arial" w:eastAsia="Arial" w:hAnsi="Arial"/>
      <w:b/>
      <w:bCs/>
      <w:color w:val="0E7490"/>
      <w:sz w:val="26"/>
      <w:szCs w:val="26"/>
    </w:rPr>
  </w:style>
  <w:style w:type="paragraph" w:styleId="Heading3">
    <w:name w:val="Heading 3"/>
    <w:basedOn w:val="Normal"/>
    <w:next w:val="Normal"/>
    <w:qFormat/>
    <w:pPr>
      <w:spacing w:before="200" w:after="60"/>
      <w:outlineLvl w:val="2"/>
    </w:pPr>
    <w:rPr>
      <w:rFonts w:ascii="Arial" w:cs="Arial" w:eastAsia="Arial" w:hAnsi="Arial"/>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2026-03-13T15:41:34.679Z</dcterms:created>
  <dcterms:modified xsi:type="dcterms:W3CDTF">2026-03-13T15:41:34.717Z</dcterms:modified>
</cp:coreProperties>
</file>

<file path=docProps/custom.xml><?xml version="1.0" encoding="utf-8"?>
<Properties xmlns="http://schemas.openxmlformats.org/officeDocument/2006/custom-properties" xmlns:vt="http://schemas.openxmlformats.org/officeDocument/2006/docPropsVTypes"/>
</file>