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rPr>
          <w:rFonts w:ascii="Arial" w:cs="Arial" w:eastAsia="Arial" w:hAnsi="Arial"/>
          <w:b w:val="false"/>
          <w:bCs w:val="false"/>
          <w:i w:val="false"/>
          <w:iCs w:val="false"/>
          <w:color w:val="000000"/>
          <w:sz w:val="20"/>
          <w:szCs w:val="20"/>
        </w:rPr>
        <w:t xml:space="preserve"/>
      </w:r>
    </w:p>
    <w:p>
      <w:pPr>
        <w:spacing w:before="80" w:after="80"/>
      </w:pPr>
      <w:r>
        <w:rPr>
          <w:rFonts w:ascii="Arial" w:cs="Arial" w:eastAsia="Arial" w:hAnsi="Arial"/>
          <w:b w:val="false"/>
          <w:bCs w:val="false"/>
          <w:i w:val="false"/>
          <w:iCs w:val="false"/>
          <w:color w:val="000000"/>
          <w:sz w:val="20"/>
          <w:szCs w:val="20"/>
        </w:rPr>
        <w:t xml:space="preserve"/>
      </w:r>
    </w:p>
    <w:p>
      <w:pPr>
        <w:spacing w:before="480" w:after="80"/>
        <w:jc w:val="center"/>
      </w:pPr>
      <w:r>
        <w:rPr>
          <w:rFonts w:ascii="Arial" w:cs="Arial" w:eastAsia="Arial" w:hAnsi="Arial"/>
          <w:b/>
          <w:bCs/>
          <w:color w:val="1B4F72"/>
          <w:sz w:val="52"/>
          <w:szCs w:val="52"/>
        </w:rPr>
        <w:t xml:space="preserve">MyAdvocate</w:t>
      </w:r>
    </w:p>
    <w:p>
      <w:pPr>
        <w:spacing w:before="40" w:after="80"/>
        <w:jc w:val="center"/>
      </w:pPr>
      <w:r>
        <w:rPr>
          <w:rFonts w:ascii="Arial" w:cs="Arial" w:eastAsia="Arial" w:hAnsi="Arial"/>
          <w:b/>
          <w:bCs/>
          <w:color w:val="1A5276"/>
          <w:sz w:val="36"/>
          <w:szCs w:val="36"/>
        </w:rPr>
        <w:t xml:space="preserve">EEAT &amp; YMYL Compliance Audit</w:t>
      </w:r>
    </w:p>
    <w:p>
      <w:pPr>
        <w:spacing w:before="40" w:after="80"/>
        <w:jc w:val="center"/>
      </w:pPr>
      <w:r>
        <w:rPr>
          <w:rFonts w:ascii="Arial" w:cs="Arial" w:eastAsia="Arial" w:hAnsi="Arial"/>
          <w:i/>
          <w:iCs/>
          <w:color w:val="566573"/>
          <w:sz w:val="24"/>
          <w:szCs w:val="24"/>
        </w:rPr>
        <w:t xml:space="preserve">Shortfall Analysis, Reinforcement Plan &amp; Integration Roadmap</w:t>
      </w:r>
    </w:p>
    <w:p>
      <w:pPr>
        <w:spacing w:before="200" w:after="80"/>
        <w:jc w:val="center"/>
      </w:pPr>
      <w:r>
        <w:rPr>
          <w:rFonts w:ascii="Arial" w:cs="Arial" w:eastAsia="Arial" w:hAnsi="Arial"/>
          <w:color w:val="999999"/>
          <w:sz w:val="20"/>
          <w:szCs w:val="20"/>
        </w:rPr>
        <w:t xml:space="preserve">Confidential — Founder Use Only</w:t>
      </w:r>
    </w:p>
    <w:p>
      <w:pPr>
        <w:spacing w:before="40" w:after="480"/>
        <w:jc w:val="center"/>
      </w:pPr>
      <w:r>
        <w:rPr>
          <w:rFonts w:ascii="Arial" w:cs="Arial" w:eastAsia="Arial" w:hAnsi="Arial"/>
          <w:color w:val="999999"/>
          <w:sz w:val="20"/>
          <w:szCs w:val="20"/>
        </w:rPr>
        <w:t xml:space="preserve">March 2026  |  Document: MA-EEAT-001  |  Status: Active</w:t>
      </w:r>
    </w:p>
    <w:p>
      <w:r>
        <w:br w:type="page"/>
      </w:r>
    </w:p>
    <w:p>
      <w:pPr>
        <w:pStyle w:val="Heading1"/>
        <w:spacing w:before="240" w:after="120"/>
      </w:pPr>
      <w:r>
        <w:rPr>
          <w:rFonts w:ascii="Arial" w:cs="Arial" w:eastAsia="Arial" w:hAnsi="Arial"/>
          <w:b/>
          <w:bCs/>
          <w:color w:val="1B4F72"/>
          <w:sz w:val="36"/>
          <w:szCs w:val="36"/>
        </w:rPr>
        <w:t xml:space="preserve">1. Executive Summary</w:t>
      </w:r>
    </w:p>
    <w:p>
      <w:pPr>
        <w:spacing w:before="80" w:after="80"/>
      </w:pPr>
      <w:r>
        <w:rPr>
          <w:rFonts w:ascii="Arial" w:cs="Arial" w:eastAsia="Arial" w:hAnsi="Arial"/>
          <w:b w:val="false"/>
          <w:bCs w:val="false"/>
          <w:i w:val="false"/>
          <w:iCs w:val="false"/>
          <w:color w:val="000000"/>
          <w:sz w:val="20"/>
          <w:szCs w:val="20"/>
        </w:rPr>
        <w:t xml:space="preserve">MyAdvocate operates in one of the most scrutinized categories Google evaluates: healthcare information that directly affects financial and medical decisions. This is the definition of YMYL — Your Money, Your Life. Google's EEAT framework (Experience, Expertise, Authoritativeness, Trustworthiness) applies at its highest severity here. A single trust failure — a claim that overstates certainty, a reviewer credential that cannot be verified, an outdated statute on a state rights page — can trigger ranking suppression that no amount of technical SEO will recover quickly.</w:t>
      </w:r>
    </w:p>
    <w:p>
      <w:pPr>
        <w:spacing w:before="80" w:after="80"/>
      </w:pPr>
      <w:r>
        <w:rPr>
          <w:rFonts w:ascii="Arial" w:cs="Arial" w:eastAsia="Arial" w:hAnsi="Arial"/>
          <w:b w:val="false"/>
          <w:bCs w:val="false"/>
          <w:i w:val="false"/>
          <w:iCs w:val="false"/>
          <w:color w:val="000000"/>
          <w:sz w:val="20"/>
          <w:szCs w:val="20"/>
        </w:rPr>
        <w:t xml:space="preserve"/>
      </w:r>
    </w:p>
    <w:p>
      <w:pPr>
        <w:spacing w:before="80" w:after="80"/>
      </w:pPr>
      <w:r>
        <w:rPr>
          <w:rFonts w:ascii="Arial" w:cs="Arial" w:eastAsia="Arial" w:hAnsi="Arial"/>
          <w:b w:val="false"/>
          <w:bCs w:val="false"/>
          <w:i w:val="false"/>
          <w:iCs w:val="false"/>
          <w:color w:val="000000"/>
          <w:sz w:val="20"/>
          <w:szCs w:val="20"/>
        </w:rPr>
        <w:t xml:space="preserve">The good news: MyAdvocate already has more EEAT infrastructure than most competitors in this space. The content tier system, three-tier review model, legal-safe editorial discipline, and nurse co-founder involvement are genuine differentiators. Most insurance billing sites have none of this.</w:t>
      </w:r>
    </w:p>
    <w:p>
      <w:pPr>
        <w:spacing w:before="80" w:after="80"/>
      </w:pPr>
      <w:r>
        <w:rPr>
          <w:rFonts w:ascii="Arial" w:cs="Arial" w:eastAsia="Arial" w:hAnsi="Arial"/>
          <w:b w:val="false"/>
          <w:bCs w:val="false"/>
          <w:i w:val="false"/>
          <w:iCs w:val="false"/>
          <w:color w:val="000000"/>
          <w:sz w:val="20"/>
          <w:szCs w:val="20"/>
        </w:rPr>
        <w:t xml:space="preserve"/>
      </w:r>
    </w:p>
    <w:p>
      <w:pPr>
        <w:spacing w:before="80" w:after="80"/>
      </w:pPr>
      <w:r>
        <w:rPr>
          <w:rFonts w:ascii="Arial" w:cs="Arial" w:eastAsia="Arial" w:hAnsi="Arial"/>
          <w:b w:val="false"/>
          <w:bCs w:val="false"/>
          <w:i w:val="false"/>
          <w:iCs w:val="false"/>
          <w:color w:val="000000"/>
          <w:sz w:val="20"/>
          <w:szCs w:val="20"/>
        </w:rPr>
        <w:t xml:space="preserve">The shortfalls are real but fixable. The most critical gaps are: (1) Kate's credential presentation must be precisely framed — LPN/LVN with management authority is credible and accurate; misrepresenting it as RN-equivalent would be a trust liability, not an asset; (2) the review workflow currently lacks a formal audit trail that could survive a Google manual review or legal challenge; (3) the automated content pipeline for denial-code and Tier 1 pages needs explicit EEAT gates before publish, not just quality checks; and (4) the trust infrastructure pages (Editorial Policy, Medical Review Policy, About) do not yet exist and are blocking EEAT establishment.</w:t>
      </w:r>
    </w:p>
    <w:p>
      <w:pPr>
        <w:spacing w:before="80" w:after="8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pPr>
              <w:spacing w:before="60" w:after="40"/>
            </w:pPr>
            <w:r>
              <w:rPr>
                <w:rFonts w:ascii="Arial" w:cs="Arial" w:eastAsia="Arial" w:hAnsi="Arial"/>
                <w:b/>
                <w:bCs/>
                <w:color w:val="1B4F72"/>
                <w:sz w:val="20"/>
                <w:szCs w:val="20"/>
              </w:rPr>
              <w:t xml:space="preserve">Bottom Line</w:t>
            </w:r>
          </w:p>
          <w:p>
            <w:pPr>
              <w:spacing w:before="40" w:after="60"/>
            </w:pPr>
            <w:r>
              <w:rPr>
                <w:rFonts w:ascii="Arial" w:cs="Arial" w:eastAsia="Arial" w:hAnsi="Arial"/>
                <w:sz w:val="20"/>
                <w:szCs w:val="20"/>
              </w:rPr>
              <w:t xml:space="preserve">The system architecture is correct. The gaps are in documentation, credential framing, audit trails, and trust page execution. These are buildable, not fundamental redesigns.</w:t>
            </w:r>
          </w:p>
        </w:tc>
      </w:tr>
    </w:tbl>
    <w:p>
      <w:pPr>
        <w:spacing w:before="80" w:after="80"/>
      </w:pPr>
      <w:r>
        <w:rPr>
          <w:rFonts w:ascii="Arial" w:cs="Arial" w:eastAsia="Arial" w:hAnsi="Arial"/>
          <w:b w:val="false"/>
          <w:bCs w:val="false"/>
          <w:i w:val="false"/>
          <w:iCs w:val="false"/>
          <w:color w:val="000000"/>
          <w:sz w:val="20"/>
          <w:szCs w:val="20"/>
        </w:rPr>
        <w:t xml:space="preserve"/>
      </w:r>
    </w:p>
    <w:p>
      <w:pPr>
        <w:pBdr>
          <w:bottom w:val="single" w:color="D5E8F0" w:sz="4" w:space="1"/>
        </w:pBdr>
        <w:spacing w:before="160" w:after="160"/>
      </w:pPr>
    </w:p>
    <w:p>
      <w:pPr>
        <w:pStyle w:val="Heading1"/>
        <w:spacing w:before="240" w:after="120"/>
      </w:pPr>
      <w:r>
        <w:rPr>
          <w:rFonts w:ascii="Arial" w:cs="Arial" w:eastAsia="Arial" w:hAnsi="Arial"/>
          <w:b/>
          <w:bCs/>
          <w:color w:val="1B4F72"/>
          <w:sz w:val="36"/>
          <w:szCs w:val="36"/>
        </w:rPr>
        <w:t xml:space="preserve">2. The EEAT Framework Applied to MyAdvocate</w:t>
      </w:r>
    </w:p>
    <w:p>
      <w:pPr>
        <w:spacing w:before="80" w:after="80"/>
      </w:pPr>
      <w:r>
        <w:rPr>
          <w:rFonts w:ascii="Arial" w:cs="Arial" w:eastAsia="Arial" w:hAnsi="Arial"/>
          <w:b w:val="false"/>
          <w:bCs w:val="false"/>
          <w:i w:val="false"/>
          <w:iCs w:val="false"/>
          <w:color w:val="000000"/>
          <w:sz w:val="20"/>
          <w:szCs w:val="20"/>
        </w:rPr>
        <w:t xml:space="preserve">Google evaluates four dimensions. The table below maps each to the MyAdvocate context with a current strength/gap assessment.</w:t>
      </w:r>
    </w:p>
    <w:p>
      <w:pPr>
        <w:spacing w:before="80" w:after="8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80"/>
        <w:gridCol w:w="288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r>
              <w:rPr>
                <w:rFonts w:ascii="Arial" w:cs="Arial" w:eastAsia="Arial" w:hAnsi="Arial"/>
                <w:b/>
                <w:bCs/>
                <w:color w:val="FFFFFF"/>
                <w:sz w:val="20"/>
                <w:szCs w:val="20"/>
              </w:rPr>
              <w:t xml:space="preserve">Dimension</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r>
              <w:rPr>
                <w:rFonts w:ascii="Arial" w:cs="Arial" w:eastAsia="Arial" w:hAnsi="Arial"/>
                <w:b/>
                <w:bCs/>
                <w:color w:val="FFFFFF"/>
                <w:sz w:val="20"/>
                <w:szCs w:val="20"/>
              </w:rPr>
              <w:t xml:space="preserve">What Google Looks For</w:t>
            </w:r>
          </w:p>
        </w:tc>
        <w:tc>
          <w:tcPr>
            <w:tcW w:type="dxa" w:w="28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r>
              <w:rPr>
                <w:rFonts w:ascii="Arial" w:cs="Arial" w:eastAsia="Arial" w:hAnsi="Arial"/>
                <w:b/>
                <w:bCs/>
                <w:color w:val="FFFFFF"/>
                <w:sz w:val="20"/>
                <w:szCs w:val="20"/>
              </w:rPr>
              <w:t xml:space="preserve">MyAdvocate Strengths</w:t>
            </w:r>
          </w:p>
        </w:tc>
        <w:tc>
          <w:tcPr>
            <w:tcW w:type="dxa" w:w="28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r>
              <w:rPr>
                <w:rFonts w:ascii="Arial" w:cs="Arial" w:eastAsia="Arial" w:hAnsi="Arial"/>
                <w:b/>
                <w:bCs/>
                <w:color w:val="FFFFFF"/>
                <w:sz w:val="20"/>
                <w:szCs w:val="20"/>
              </w:rPr>
              <w:t xml:space="preserve">Current Gaps</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Experience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Real-world contact with the topic. Has anyone on the team actually dealt with insurance denials?</w:t>
            </w:r>
          </w:p>
        </w:tc>
        <w:tc>
          <w:tcPr>
            <w:tcW w:type="dxa" w:w="28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Kate has decades in healthcare including nursing management — direct patient advocacy experience. Sarsh's founding motivation (platform mission) signals genuine experience.</w:t>
            </w:r>
          </w:p>
        </w:tc>
        <w:tc>
          <w:tcPr>
            <w:tcW w:type="dxa" w:w="28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 public case studies, no anonymized patient outcome stories, no founder origin narrative currently visible anywhere on the site.</w:t>
            </w:r>
          </w:p>
        </w:tc>
      </w:tr>
      <w:tr>
        <w:tc>
          <w:tcPr>
            <w:tcW w:type="dxa" w:w="1600"/>
            <w:tcBorders>
              <w:top w:val="single" w:color="CCCCCC" w:sz="1"/>
              <w:left w:val="single" w:color="CCCCCC" w:sz="1"/>
              <w:bottom w:val="single" w:color="CCCCCC" w:sz="1"/>
              <w:right w:val="single" w:color="CCCCCC" w:sz="1"/>
            </w:tcBorders>
            <w:shd w:fill="F9FBF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Expertise</w:t>
            </w:r>
          </w:p>
        </w:tc>
        <w:tc>
          <w:tcPr>
            <w:tcW w:type="dxa" w:w="2000"/>
            <w:tcBorders>
              <w:top w:val="single" w:color="CCCCCC" w:sz="1"/>
              <w:left w:val="single" w:color="CCCCCC" w:sz="1"/>
              <w:bottom w:val="single" w:color="CCCCCC" w:sz="1"/>
              <w:right w:val="single" w:color="CCCCCC" w:sz="1"/>
            </w:tcBorders>
            <w:shd w:fill="F9FBF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Formal or demonstrated knowledge. Credentials, training, certifiable knowledge in the domain.</w:t>
            </w:r>
          </w:p>
        </w:tc>
        <w:tc>
          <w:tcPr>
            <w:tcW w:type="dxa" w:w="2880"/>
            <w:tcBorders>
              <w:top w:val="single" w:color="CCCCCC" w:sz="1"/>
              <w:left w:val="single" w:color="CCCCCC" w:sz="1"/>
              <w:bottom w:val="single" w:color="CCCCCC" w:sz="1"/>
              <w:right w:val="single" w:color="CCCCCC" w:sz="1"/>
            </w:tcBorders>
            <w:shd w:fill="F9FBF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Kate is a licensed LPN/LVN with 20+ years experience and the second half in nursing management. This is real clinical and administrative expertise.</w:t>
            </w:r>
          </w:p>
        </w:tc>
        <w:tc>
          <w:tcPr>
            <w:tcW w:type="dxa" w:w="2880"/>
            <w:tcBorders>
              <w:top w:val="single" w:color="CCCCCC" w:sz="1"/>
              <w:left w:val="single" w:color="CCCCCC" w:sz="1"/>
              <w:bottom w:val="single" w:color="CCCCCC" w:sz="1"/>
              <w:right w:val="single" w:color="CCCCCC" w:sz="1"/>
            </w:tcBorders>
            <w:shd w:fill="F9FBF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LPN/LVN is not RN. Must be framed precisely. Overstating or implying RN-level clinical authority creates both a trust and a legal risk. Management experience is the actual differentiator.</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Authoritativeness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Is the site recognized as a credible source? External signals: citations, links, mentions by authoritative sources.</w:t>
            </w:r>
          </w:p>
        </w:tc>
        <w:tc>
          <w:tcPr>
            <w:tcW w:type="dxa" w:w="28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Programmatic denial-code pages targeting government/CMS sources. Cluster architecture builds topic authority over time.</w:t>
            </w:r>
          </w:p>
        </w:tc>
        <w:tc>
          <w:tcPr>
            <w:tcW w:type="dxa" w:w="28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Zero domain authority at launch. No backlinks. No external recognition yet. Takes time — but trust infrastructure pages must exist from day one.</w:t>
            </w:r>
          </w:p>
        </w:tc>
      </w:tr>
      <w:tr>
        <w:tc>
          <w:tcPr>
            <w:tcW w:type="dxa" w:w="1600"/>
            <w:tcBorders>
              <w:top w:val="single" w:color="CCCCCC" w:sz="1"/>
              <w:left w:val="single" w:color="CCCCCC" w:sz="1"/>
              <w:bottom w:val="single" w:color="CCCCCC" w:sz="1"/>
              <w:right w:val="single" w:color="CCCCCC" w:sz="1"/>
            </w:tcBorders>
            <w:shd w:fill="F9FBF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Trustworthiness</w:t>
            </w:r>
          </w:p>
        </w:tc>
        <w:tc>
          <w:tcPr>
            <w:tcW w:type="dxa" w:w="2000"/>
            <w:tcBorders>
              <w:top w:val="single" w:color="CCCCCC" w:sz="1"/>
              <w:left w:val="single" w:color="CCCCCC" w:sz="1"/>
              <w:bottom w:val="single" w:color="CCCCCC" w:sz="1"/>
              <w:right w:val="single" w:color="CCCCCC" w:sz="1"/>
            </w:tcBorders>
            <w:shd w:fill="F9FBF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Is the site transparent, accurate, honest? Editorial policy, disclaimers, citations, update dates, no misleading claims.</w:t>
            </w:r>
          </w:p>
        </w:tc>
        <w:tc>
          <w:tcPr>
            <w:tcW w:type="dxa" w:w="2880"/>
            <w:tcBorders>
              <w:top w:val="single" w:color="CCCCCC" w:sz="1"/>
              <w:left w:val="single" w:color="CCCCCC" w:sz="1"/>
              <w:bottom w:val="single" w:color="CCCCCC" w:sz="1"/>
              <w:right w:val="single" w:color="CCCCCC" w:sz="1"/>
            </w:tcBorders>
            <w:shd w:fill="F9FBF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Three-tier review model, legal-safe editorial discipline, attorney review for Tier 3, four-layer privacy architecture. Strong technical foundation.</w:t>
            </w:r>
          </w:p>
        </w:tc>
        <w:tc>
          <w:tcPr>
            <w:tcW w:type="dxa" w:w="2880"/>
            <w:tcBorders>
              <w:top w:val="single" w:color="CCCCCC" w:sz="1"/>
              <w:left w:val="single" w:color="CCCCCC" w:sz="1"/>
              <w:bottom w:val="single" w:color="CCCCCC" w:sz="1"/>
              <w:right w:val="single" w:color="CCCCCC" w:sz="1"/>
            </w:tcBorders>
            <w:shd w:fill="F9FBF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Trust infrastructure pages do not exist yet. No visible editorial policy, medical review policy, or reviewer credential page. These are the first thing a manual reviewer checks.</w:t>
            </w:r>
          </w:p>
        </w:tc>
      </w:tr>
    </w:tbl>
    <w:p>
      <w:pPr>
        <w:spacing w:before="80" w:after="80"/>
      </w:pPr>
      <w:r>
        <w:rPr>
          <w:rFonts w:ascii="Arial" w:cs="Arial" w:eastAsia="Arial" w:hAnsi="Arial"/>
          <w:b w:val="false"/>
          <w:bCs w:val="false"/>
          <w:i w:val="false"/>
          <w:iCs w:val="false"/>
          <w:color w:val="000000"/>
          <w:sz w:val="20"/>
          <w:szCs w:val="20"/>
        </w:rPr>
        <w:t xml:space="preserve"/>
      </w:r>
    </w:p>
    <w:p>
      <w:pPr>
        <w:pBdr>
          <w:bottom w:val="single" w:color="D5E8F0" w:sz="4" w:space="1"/>
        </w:pBdr>
        <w:spacing w:before="160" w:after="160"/>
      </w:pPr>
    </w:p>
    <w:p>
      <w:pPr>
        <w:pStyle w:val="Heading1"/>
        <w:spacing w:before="240" w:after="120"/>
      </w:pPr>
      <w:r>
        <w:rPr>
          <w:rFonts w:ascii="Arial" w:cs="Arial" w:eastAsia="Arial" w:hAnsi="Arial"/>
          <w:b/>
          <w:bCs/>
          <w:color w:val="1B4F72"/>
          <w:sz w:val="36"/>
          <w:szCs w:val="36"/>
        </w:rPr>
        <w:t xml:space="preserve">3. The Kate Credential Question — Getting This Right</w:t>
      </w:r>
    </w:p>
    <w:p>
      <w:pPr>
        <w:spacing w:before="80" w:after="80"/>
      </w:pPr>
      <w:r>
        <w:rPr>
          <w:rFonts w:ascii="Arial" w:cs="Arial" w:eastAsia="Arial" w:hAnsi="Arial"/>
          <w:b w:val="false"/>
          <w:bCs w:val="false"/>
          <w:i w:val="false"/>
          <w:iCs w:val="false"/>
          <w:color w:val="000000"/>
          <w:sz w:val="20"/>
          <w:szCs w:val="20"/>
        </w:rPr>
        <w:t xml:space="preserve">This is the most sensitive framing decision in the entire EEAT architecture. Getting it wrong in either direction creates problems.</w:t>
      </w:r>
    </w:p>
    <w:p>
      <w:pPr>
        <w:spacing w:before="80" w:after="80"/>
      </w:pPr>
      <w:r>
        <w:rPr>
          <w:rFonts w:ascii="Arial" w:cs="Arial" w:eastAsia="Arial" w:hAnsi="Arial"/>
          <w:b w:val="false"/>
          <w:bCs w:val="false"/>
          <w:i w:val="false"/>
          <w:iCs w:val="false"/>
          <w:color w:val="000000"/>
          <w:sz w:val="20"/>
          <w:szCs w:val="20"/>
        </w:rPr>
        <w:t xml:space="preserve"/>
      </w:r>
    </w:p>
    <w:p>
      <w:pPr>
        <w:pStyle w:val="Heading2"/>
        <w:spacing w:before="240" w:after="120"/>
      </w:pPr>
      <w:r>
        <w:rPr>
          <w:rFonts w:ascii="Arial" w:cs="Arial" w:eastAsia="Arial" w:hAnsi="Arial"/>
          <w:b/>
          <w:bCs/>
          <w:color w:val="1A5276"/>
          <w:sz w:val="28"/>
          <w:szCs w:val="28"/>
        </w:rPr>
        <w:t xml:space="preserve">3.1 The Risk of Overstating</w:t>
      </w:r>
    </w:p>
    <w:p>
      <w:pPr>
        <w:spacing w:before="80" w:after="80"/>
      </w:pPr>
      <w:r>
        <w:rPr>
          <w:rFonts w:ascii="Arial" w:cs="Arial" w:eastAsia="Arial" w:hAnsi="Arial"/>
          <w:b w:val="false"/>
          <w:bCs w:val="false"/>
          <w:i w:val="false"/>
          <w:iCs w:val="false"/>
          <w:color w:val="000000"/>
          <w:sz w:val="20"/>
          <w:szCs w:val="20"/>
        </w:rPr>
        <w:t xml:space="preserve">The original EEAT strategy report suggested presenting Kate as an 'RN.' Kate is an LPN/LVN — a licensed practical/vocational nurse. This is a legally defined credential in every state. Presenting LPN/LVN experience as RN-equivalent is:</w:t>
      </w:r>
    </w:p>
    <w:p>
      <w:pPr>
        <w:pStyle w:val="ListParagraph"/>
        <w:numPr>
          <w:ilvl w:val="0"/>
          <w:numId w:val="2"/>
        </w:numPr>
        <w:spacing w:before="40" w:after="40"/>
      </w:pPr>
      <w:r>
        <w:rPr>
          <w:rFonts w:ascii="Arial" w:cs="Arial" w:eastAsia="Arial" w:hAnsi="Arial"/>
          <w:b w:val="false"/>
          <w:bCs w:val="false"/>
          <w:color w:val="000000"/>
          <w:sz w:val="20"/>
          <w:szCs w:val="20"/>
        </w:rPr>
        <w:t xml:space="preserve">A misrepresentation that a competitor, journalist, or Google manual reviewer could identify and flag</w:t>
      </w:r>
    </w:p>
    <w:p>
      <w:pPr>
        <w:pStyle w:val="ListParagraph"/>
        <w:numPr>
          <w:ilvl w:val="0"/>
          <w:numId w:val="2"/>
        </w:numPr>
        <w:spacing w:before="40" w:after="40"/>
      </w:pPr>
      <w:r>
        <w:rPr>
          <w:rFonts w:ascii="Arial" w:cs="Arial" w:eastAsia="Arial" w:hAnsi="Arial"/>
          <w:b w:val="false"/>
          <w:bCs w:val="false"/>
          <w:color w:val="000000"/>
          <w:sz w:val="20"/>
          <w:szCs w:val="20"/>
        </w:rPr>
        <w:t xml:space="preserve">A potential professional licensing issue depending on state law</w:t>
      </w:r>
    </w:p>
    <w:p>
      <w:pPr>
        <w:pStyle w:val="ListParagraph"/>
        <w:numPr>
          <w:ilvl w:val="0"/>
          <w:numId w:val="2"/>
        </w:numPr>
        <w:spacing w:before="40" w:after="40"/>
      </w:pPr>
      <w:r>
        <w:rPr>
          <w:rFonts w:ascii="Arial" w:cs="Arial" w:eastAsia="Arial" w:hAnsi="Arial"/>
          <w:b w:val="false"/>
          <w:bCs w:val="false"/>
          <w:color w:val="000000"/>
          <w:sz w:val="20"/>
          <w:szCs w:val="20"/>
        </w:rPr>
        <w:t xml:space="preserve">A trust liability that could undermine the entire EEAT architecture if surfaced</w:t>
      </w:r>
    </w:p>
    <w:p>
      <w:pPr>
        <w:spacing w:before="80" w:after="80"/>
      </w:pPr>
      <w:r>
        <w:rPr>
          <w:rFonts w:ascii="Arial" w:cs="Arial" w:eastAsia="Arial" w:hAnsi="Arial"/>
          <w:b w:val="false"/>
          <w:bCs w:val="false"/>
          <w:i w:val="false"/>
          <w:iCs w:val="false"/>
          <w:color w:val="000000"/>
          <w:sz w:val="20"/>
          <w:szCs w:val="20"/>
        </w:rPr>
        <w:t xml:space="preserve"/>
      </w:r>
    </w:p>
    <w:p>
      <w:pPr>
        <w:pStyle w:val="Heading2"/>
        <w:spacing w:before="240" w:after="120"/>
      </w:pPr>
      <w:r>
        <w:rPr>
          <w:rFonts w:ascii="Arial" w:cs="Arial" w:eastAsia="Arial" w:hAnsi="Arial"/>
          <w:b/>
          <w:bCs/>
          <w:color w:val="1A5276"/>
          <w:sz w:val="28"/>
          <w:szCs w:val="28"/>
        </w:rPr>
        <w:t xml:space="preserve">3.2 The Correct Framing — And Why It's Actually Stronger</w:t>
      </w:r>
    </w:p>
    <w:p>
      <w:pPr>
        <w:spacing w:before="80" w:after="80"/>
      </w:pPr>
      <w:r>
        <w:rPr>
          <w:rFonts w:ascii="Arial" w:cs="Arial" w:eastAsia="Arial" w:hAnsi="Arial"/>
          <w:b w:val="false"/>
          <w:bCs w:val="false"/>
          <w:i w:val="false"/>
          <w:iCs w:val="false"/>
          <w:color w:val="000000"/>
          <w:sz w:val="20"/>
          <w:szCs w:val="20"/>
        </w:rPr>
        <w:t xml:space="preserve">Kate's actual profile is more useful for MyAdvocate's specific niche than generic RN credentials would be. The framing should emphasize what she actually has: clinical grounding plus healthcare operations and management expertise. That combination is rare and directly relevant to insurance navigation, billing disputes, and patient rights advocacy.</w:t>
      </w:r>
    </w:p>
    <w:p>
      <w:pPr>
        <w:spacing w:before="80" w:after="8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pPr>
              <w:spacing w:before="60" w:after="40"/>
            </w:pPr>
            <w:r>
              <w:rPr>
                <w:rFonts w:ascii="Arial" w:cs="Arial" w:eastAsia="Arial" w:hAnsi="Arial"/>
                <w:b/>
                <w:bCs/>
                <w:color w:val="1B4F72"/>
                <w:sz w:val="20"/>
                <w:szCs w:val="20"/>
              </w:rPr>
              <w:t xml:space="preserve">Recommended Reviewer Bio (Anonymous Format)</w:t>
            </w:r>
          </w:p>
          <w:p>
            <w:pPr>
              <w:spacing w:before="40" w:after="60"/>
            </w:pPr>
            <w:r>
              <w:rPr>
                <w:rFonts w:ascii="Arial" w:cs="Arial" w:eastAsia="Arial" w:hAnsi="Arial"/>
                <w:sz w:val="20"/>
                <w:szCs w:val="20"/>
              </w:rPr>
              <w:t xml:space="preserve">Medical &amp; Clinical Reviewer
Licensed Practical Nurse (LPN) | 20+ Years Healthcare Experience
Specialization: Nursing management, hospital operations, skilled nursing facility care, and patient advocacy systems
This reviewer brings two decades of direct healthcare experience spanning clinical care and healthcare administration, with particular depth in the institutional systems — billing, coverage decisions, nursing facility standards — that most patients encounter during healthcare crises.</w:t>
            </w:r>
          </w:p>
        </w:tc>
      </w:tr>
    </w:tbl>
    <w:p>
      <w:pPr>
        <w:spacing w:before="80" w:after="80"/>
      </w:pPr>
      <w:r>
        <w:rPr>
          <w:rFonts w:ascii="Arial" w:cs="Arial" w:eastAsia="Arial" w:hAnsi="Arial"/>
          <w:b w:val="false"/>
          <w:bCs w:val="false"/>
          <w:i w:val="false"/>
          <w:iCs w:val="false"/>
          <w:color w:val="000000"/>
          <w:sz w:val="20"/>
          <w:szCs w:val="20"/>
        </w:rPr>
        <w:t xml:space="preserve"/>
      </w:r>
    </w:p>
    <w:p>
      <w:pPr>
        <w:spacing w:before="80" w:after="80"/>
      </w:pPr>
      <w:r>
        <w:rPr>
          <w:rFonts w:ascii="Arial" w:cs="Arial" w:eastAsia="Arial" w:hAnsi="Arial"/>
          <w:b w:val="false"/>
          <w:bCs w:val="false"/>
          <w:i w:val="false"/>
          <w:iCs w:val="false"/>
          <w:color w:val="000000"/>
          <w:sz w:val="20"/>
          <w:szCs w:val="20"/>
        </w:rPr>
        <w:t xml:space="preserve">This framing is 100% accurate, anonymous, and positions the management/operations background as the differentiator — which it genuinely is for this niche.</w:t>
      </w:r>
    </w:p>
    <w:p>
      <w:pPr>
        <w:spacing w:before="80" w:after="80"/>
      </w:pPr>
      <w:r>
        <w:rPr>
          <w:rFonts w:ascii="Arial" w:cs="Arial" w:eastAsia="Arial" w:hAnsi="Arial"/>
          <w:b w:val="false"/>
          <w:bCs w:val="false"/>
          <w:i w:val="false"/>
          <w:iCs w:val="false"/>
          <w:color w:val="000000"/>
          <w:sz w:val="20"/>
          <w:szCs w:val="20"/>
        </w:rPr>
        <w:t xml:space="preserve"/>
      </w:r>
    </w:p>
    <w:p>
      <w:pPr>
        <w:pStyle w:val="Heading2"/>
        <w:spacing w:before="240" w:after="120"/>
      </w:pPr>
      <w:r>
        <w:rPr>
          <w:rFonts w:ascii="Arial" w:cs="Arial" w:eastAsia="Arial" w:hAnsi="Arial"/>
          <w:b/>
          <w:bCs/>
          <w:color w:val="1A5276"/>
          <w:sz w:val="28"/>
          <w:szCs w:val="28"/>
        </w:rPr>
        <w:t xml:space="preserve">3.3 Credential Verification Documents (Internal)</w:t>
      </w:r>
    </w:p>
    <w:p>
      <w:pPr>
        <w:spacing w:before="80" w:after="80"/>
      </w:pPr>
      <w:r>
        <w:rPr>
          <w:rFonts w:ascii="Arial" w:cs="Arial" w:eastAsia="Arial" w:hAnsi="Arial"/>
          <w:b w:val="false"/>
          <w:bCs w:val="false"/>
          <w:i w:val="false"/>
          <w:iCs w:val="false"/>
          <w:color w:val="000000"/>
          <w:sz w:val="20"/>
          <w:szCs w:val="20"/>
        </w:rPr>
        <w:t xml:space="preserve">Google's quality guidelines recommend that sites maintain internal verification documentation for reviewers, even when not publicly displayed. MyAdvocate should maintain a secure internal file containing:</w:t>
      </w:r>
    </w:p>
    <w:p>
      <w:pPr>
        <w:pStyle w:val="ListParagraph"/>
        <w:numPr>
          <w:ilvl w:val="0"/>
          <w:numId w:val="2"/>
        </w:numPr>
        <w:spacing w:before="40" w:after="40"/>
      </w:pPr>
      <w:r>
        <w:rPr>
          <w:rFonts w:ascii="Arial" w:cs="Arial" w:eastAsia="Arial" w:hAnsi="Arial"/>
          <w:b w:val="false"/>
          <w:bCs w:val="false"/>
          <w:color w:val="000000"/>
          <w:sz w:val="20"/>
          <w:szCs w:val="20"/>
        </w:rPr>
        <w:t xml:space="preserve">Kate's current LPN/LVN license number and state (not displayed publicly)</w:t>
      </w:r>
    </w:p>
    <w:p>
      <w:pPr>
        <w:pStyle w:val="ListParagraph"/>
        <w:numPr>
          <w:ilvl w:val="0"/>
          <w:numId w:val="2"/>
        </w:numPr>
        <w:spacing w:before="40" w:after="40"/>
      </w:pPr>
      <w:r>
        <w:rPr>
          <w:rFonts w:ascii="Arial" w:cs="Arial" w:eastAsia="Arial" w:hAnsi="Arial"/>
          <w:b w:val="false"/>
          <w:bCs w:val="false"/>
          <w:color w:val="000000"/>
          <w:sz w:val="20"/>
          <w:szCs w:val="20"/>
        </w:rPr>
        <w:t xml:space="preserve">License verification screenshot from the state nursing board (refreshed annually)</w:t>
      </w:r>
    </w:p>
    <w:p>
      <w:pPr>
        <w:pStyle w:val="ListParagraph"/>
        <w:numPr>
          <w:ilvl w:val="0"/>
          <w:numId w:val="2"/>
        </w:numPr>
        <w:spacing w:before="40" w:after="40"/>
      </w:pPr>
      <w:r>
        <w:rPr>
          <w:rFonts w:ascii="Arial" w:cs="Arial" w:eastAsia="Arial" w:hAnsi="Arial"/>
          <w:b w:val="false"/>
          <w:bCs w:val="false"/>
          <w:color w:val="000000"/>
          <w:sz w:val="20"/>
          <w:szCs w:val="20"/>
        </w:rPr>
        <w:t xml:space="preserve">A brief signed statement of her review role and scope</w:t>
      </w:r>
    </w:p>
    <w:p>
      <w:pPr>
        <w:pStyle w:val="ListParagraph"/>
        <w:numPr>
          <w:ilvl w:val="0"/>
          <w:numId w:val="2"/>
        </w:numPr>
        <w:spacing w:before="40" w:after="40"/>
      </w:pPr>
      <w:r>
        <w:rPr>
          <w:rFonts w:ascii="Arial" w:cs="Arial" w:eastAsia="Arial" w:hAnsi="Arial"/>
          <w:b w:val="false"/>
          <w:bCs w:val="false"/>
          <w:color w:val="000000"/>
          <w:sz w:val="20"/>
          <w:szCs w:val="20"/>
        </w:rPr>
        <w:t xml:space="preserve">Copies of any relevant certifications</w:t>
      </w:r>
    </w:p>
    <w:p>
      <w:pPr>
        <w:spacing w:before="80" w:after="80"/>
      </w:pPr>
      <w:r>
        <w:rPr>
          <w:rFonts w:ascii="Arial" w:cs="Arial" w:eastAsia="Arial" w:hAnsi="Arial"/>
          <w:b w:val="false"/>
          <w:bCs w:val="false"/>
          <w:i w:val="false"/>
          <w:iCs w:val="false"/>
          <w:color w:val="000000"/>
          <w:sz w:val="20"/>
          <w:szCs w:val="20"/>
        </w:rPr>
        <w:t xml:space="preserve">This documentation does not need to be public. It exists to survive a manual review inquiry or legal challenge. Store in the OpenClaw secure document vault, not in any user-facing system.</w:t>
      </w:r>
    </w:p>
    <w:p>
      <w:pPr>
        <w:spacing w:before="80" w:after="80"/>
      </w:pPr>
      <w:r>
        <w:rPr>
          <w:rFonts w:ascii="Arial" w:cs="Arial" w:eastAsia="Arial" w:hAnsi="Arial"/>
          <w:b w:val="false"/>
          <w:bCs w:val="false"/>
          <w:i w:val="false"/>
          <w:iCs w:val="false"/>
          <w:color w:val="000000"/>
          <w:sz w:val="20"/>
          <w:szCs w:val="20"/>
        </w:rPr>
        <w:t xml:space="preserve"/>
      </w:r>
    </w:p>
    <w:p>
      <w:pPr>
        <w:pBdr>
          <w:bottom w:val="single" w:color="D5E8F0" w:sz="4" w:space="1"/>
        </w:pBdr>
        <w:spacing w:before="160" w:after="160"/>
      </w:pPr>
    </w:p>
    <w:p>
      <w:pPr>
        <w:pStyle w:val="Heading1"/>
        <w:spacing w:before="240" w:after="120"/>
      </w:pPr>
      <w:r>
        <w:rPr>
          <w:rFonts w:ascii="Arial" w:cs="Arial" w:eastAsia="Arial" w:hAnsi="Arial"/>
          <w:b/>
          <w:bCs/>
          <w:color w:val="1B4F72"/>
          <w:sz w:val="36"/>
          <w:szCs w:val="36"/>
        </w:rPr>
        <w:t xml:space="preserve">4. Current Safeguards — What You Have and What's Missing</w:t>
      </w:r>
    </w:p>
    <w:p>
      <w:pPr>
        <w:spacing w:before="80" w:after="80"/>
      </w:pPr>
      <w:r>
        <w:rPr>
          <w:rFonts w:ascii="Arial" w:cs="Arial" w:eastAsia="Arial" w:hAnsi="Arial"/>
          <w:b w:val="false"/>
          <w:bCs w:val="false"/>
          <w:i w:val="false"/>
          <w:iCs w:val="false"/>
          <w:color w:val="000000"/>
          <w:sz w:val="20"/>
          <w:szCs w:val="20"/>
        </w:rPr>
        <w:t xml:space="preserve">The existing architecture has meaningful EEAT infrastructure. This section gives an honest assessment of what is working, what is partial, and what is absent.</w:t>
      </w:r>
    </w:p>
    <w:p>
      <w:pPr>
        <w:spacing w:before="80" w:after="80"/>
      </w:pPr>
      <w:r>
        <w:rPr>
          <w:rFonts w:ascii="Arial" w:cs="Arial" w:eastAsia="Arial" w:hAnsi="Arial"/>
          <w:b w:val="false"/>
          <w:bCs w:val="false"/>
          <w:i w:val="false"/>
          <w:iCs w:val="false"/>
          <w:color w:val="000000"/>
          <w:sz w:val="20"/>
          <w:szCs w:val="20"/>
        </w:rPr>
        <w:t xml:space="preserve"/>
      </w:r>
    </w:p>
    <w:p>
      <w:pPr>
        <w:pStyle w:val="Heading2"/>
        <w:spacing w:before="240" w:after="120"/>
      </w:pPr>
      <w:r>
        <w:rPr>
          <w:rFonts w:ascii="Arial" w:cs="Arial" w:eastAsia="Arial" w:hAnsi="Arial"/>
          <w:b/>
          <w:bCs/>
          <w:color w:val="1A5276"/>
          <w:sz w:val="28"/>
          <w:szCs w:val="28"/>
        </w:rPr>
        <w:t xml:space="preserve">4.1 What Is Already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r>
              <w:rPr>
                <w:rFonts w:ascii="Arial" w:cs="Arial" w:eastAsia="Arial" w:hAnsi="Arial"/>
                <w:b/>
                <w:bCs/>
                <w:color w:val="FFFFFF"/>
                <w:sz w:val="20"/>
                <w:szCs w:val="20"/>
              </w:rPr>
              <w:t xml:space="preserve">Safeguard</w:t>
            </w:r>
          </w:p>
        </w:tc>
        <w:tc>
          <w:tcPr>
            <w:tcW w:type="dxa" w:w="5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r>
              <w:rPr>
                <w:rFonts w:ascii="Arial" w:cs="Arial" w:eastAsia="Arial" w:hAnsi="Arial"/>
                <w:b/>
                <w:bCs/>
                <w:color w:val="FFFFFF"/>
                <w:sz w:val="20"/>
                <w:szCs w:val="20"/>
              </w:rPr>
              <w:t xml:space="preserve">Assessment</w:t>
            </w:r>
          </w:p>
        </w:tc>
      </w:tr>
      <w:tr>
        <w:tc>
          <w:tcPr>
            <w:tcW w:type="dxa" w:w="35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Three-Tier Content Review System</w:t>
            </w:r>
          </w:p>
        </w:tc>
        <w:tc>
          <w:tcPr>
            <w:tcW w:type="dxa" w:w="586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Strong. Risk-tiered review (Tier 1 checklist, Tier 2 editorial, Tier 3 attorney) is exactly the right architecture for YMYL compliance at scale. WIP caps prevent review bottlenecks from creating quality failures.</w:t>
            </w:r>
          </w:p>
        </w:tc>
      </w:tr>
      <w:tr>
        <w:tc>
          <w:tcPr>
            <w:tcW w:type="dxa" w:w="3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Legal-Safe Editorial Discipline</w:t>
            </w:r>
          </w:p>
        </w:tc>
        <w:tc>
          <w:tcPr>
            <w:tcW w:type="dxa" w:w="58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Strong. The explicit prohibition on outcome guarantees, legal conclusions, and overconfident framing is documented in the publishing workflow. This protects against the most common YMYL failure mode.</w:t>
            </w:r>
          </w:p>
        </w:tc>
      </w:tr>
      <w:tr>
        <w:tc>
          <w:tcPr>
            <w:tcW w:type="dxa" w:w="35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Attorney Review for Tier 3</w:t>
            </w:r>
          </w:p>
        </w:tc>
        <w:tc>
          <w:tcPr>
            <w:tcW w:type="dxa" w:w="586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Strong. State patient rights, hospital rights, and nursing home rights pages carry the highest YMYL risk. Requiring attorney sign-off before publish is the correct control.</w:t>
            </w:r>
          </w:p>
        </w:tc>
      </w:tr>
      <w:tr>
        <w:tc>
          <w:tcPr>
            <w:tcW w:type="dxa" w:w="3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YMYL Compliance Review by Kate</w:t>
            </w:r>
          </w:p>
        </w:tc>
        <w:tc>
          <w:tcPr>
            <w:tcW w:type="dxa" w:w="58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Good foundation. Kate reviewing all Tier 1 spot checks and all Tier 2 pages gives the site a genuine clinical reviewer, which most competitors lack entirely.</w:t>
            </w:r>
          </w:p>
        </w:tc>
      </w:tr>
      <w:tr>
        <w:tc>
          <w:tcPr>
            <w:tcW w:type="dxa" w:w="35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Denial-Code Source Discipline</w:t>
            </w:r>
          </w:p>
        </w:tc>
        <w:tc>
          <w:tcPr>
            <w:tcW w:type="dxa" w:w="586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Good. Anchoring denial-code pages to CMS and government sources rather than commercial blogs is correct citation discipline. Lower risk than clinical content.</w:t>
            </w:r>
          </w:p>
        </w:tc>
      </w:tr>
      <w:tr>
        <w:tc>
          <w:tcPr>
            <w:tcW w:type="dxa" w:w="3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Refresh Cadence System</w:t>
            </w:r>
          </w:p>
        </w:tc>
        <w:tc>
          <w:tcPr>
            <w:tcW w:type="dxa" w:w="58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Good architecture. Trigger-based refresh from monitoring agent, with quarterly and annual review cadences, aligns with Google's expectation that YMYL content stays current.</w:t>
            </w:r>
          </w:p>
        </w:tc>
      </w:tr>
      <w:tr>
        <w:tc>
          <w:tcPr>
            <w:tcW w:type="dxa" w:w="35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Four-Layer Privacy Architecture</w:t>
            </w:r>
          </w:p>
        </w:tc>
        <w:tc>
          <w:tcPr>
            <w:tcW w:type="dxa" w:w="586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Strong. While not a direct EEAT signal, privacy architecture supports Trustworthiness. Transparent privacy policy and no data monetization are positive trust signals.</w:t>
            </w:r>
          </w:p>
        </w:tc>
      </w:tr>
    </w:tbl>
    <w:p>
      <w:pPr>
        <w:spacing w:before="80" w:after="80"/>
      </w:pPr>
      <w:r>
        <w:rPr>
          <w:rFonts w:ascii="Arial" w:cs="Arial" w:eastAsia="Arial" w:hAnsi="Arial"/>
          <w:b w:val="false"/>
          <w:bCs w:val="false"/>
          <w:i w:val="false"/>
          <w:iCs w:val="false"/>
          <w:color w:val="000000"/>
          <w:sz w:val="20"/>
          <w:szCs w:val="20"/>
        </w:rPr>
        <w:t xml:space="preserve"/>
      </w:r>
    </w:p>
    <w:p>
      <w:pPr>
        <w:pStyle w:val="Heading2"/>
        <w:spacing w:before="240" w:after="120"/>
      </w:pPr>
      <w:r>
        <w:rPr>
          <w:rFonts w:ascii="Arial" w:cs="Arial" w:eastAsia="Arial" w:hAnsi="Arial"/>
          <w:b/>
          <w:bCs/>
          <w:color w:val="1A5276"/>
          <w:sz w:val="28"/>
          <w:szCs w:val="28"/>
        </w:rPr>
        <w:t xml:space="preserve">4.2 Current Gaps — Shortfall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r>
              <w:rPr>
                <w:rFonts w:ascii="Arial" w:cs="Arial" w:eastAsia="Arial" w:hAnsi="Arial"/>
                <w:b/>
                <w:bCs/>
                <w:color w:val="FFFFFF"/>
                <w:sz w:val="20"/>
                <w:szCs w:val="20"/>
              </w:rPr>
              <w:t xml:space="preserve">Gap</w:t>
            </w:r>
          </w:p>
        </w:tc>
        <w:tc>
          <w:tcPr>
            <w:tcW w:type="dxa" w:w="2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r>
              <w:rPr>
                <w:rFonts w:ascii="Arial" w:cs="Arial" w:eastAsia="Arial" w:hAnsi="Arial"/>
                <w:b/>
                <w:bCs/>
                <w:color w:val="FFFFFF"/>
                <w:sz w:val="20"/>
                <w:szCs w:val="20"/>
              </w:rPr>
              <w:t xml:space="preserve">Severity</w:t>
            </w:r>
          </w:p>
        </w:tc>
        <w:tc>
          <w:tcPr>
            <w:tcW w:type="dxa" w:w="43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top"/>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Trust infrastructure pages do not exist</w:t>
            </w:r>
          </w:p>
        </w:tc>
        <w:tc>
          <w:tcPr>
            <w:tcW w:type="dxa" w:w="2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CRITICAL — blocks launch</w:t>
            </w:r>
          </w:p>
        </w:tc>
        <w:tc>
          <w:tcPr>
            <w:tcW w:type="dxa" w:w="43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About, Editorial Policy, Medical Review Policy, Medical Disclaimer, Citation Policy — none of these exist yet. A Google manual reviewer will check these immediately. Without them, EEAT score starts at near-zero regardless of content quality.</w:t>
            </w:r>
          </w:p>
        </w:tc>
      </w:tr>
      <w:tr>
        <w:tc>
          <w:tcPr>
            <w:tcW w:type="dxa" w:w="2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 reviewer credential page</w:t>
            </w:r>
          </w:p>
        </w:tc>
        <w:tc>
          <w:tcPr>
            <w:tcW w:type="dxa" w:w="2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w:t>
            </w:r>
          </w:p>
        </w:tc>
        <w:tc>
          <w:tcPr>
            <w:tcW w:type="dxa" w:w="4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The anonymous reviewer model works — but requires a dedicated reviewer credentials page that explains the review process and reviewer qualifications without naming individuals. Currently absent.</w:t>
            </w:r>
          </w:p>
        </w:tc>
      </w:tr>
      <w:tr>
        <w:tc>
          <w:tcPr>
            <w:tcW w:type="dxa" w:w="2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 formal review audit trail</w:t>
            </w:r>
          </w:p>
        </w:tc>
        <w:tc>
          <w:tcPr>
            <w:tcW w:type="dxa" w:w="2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w:t>
            </w:r>
          </w:p>
        </w:tc>
        <w:tc>
          <w:tcPr>
            <w:tcW w:type="dxa" w:w="43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The three-tier review system exists as documentation, but there is no per-page review log — who reviewed, what date, what version. Without this, the review process is unverifiable if challenged.</w:t>
            </w:r>
          </w:p>
        </w:tc>
      </w:tr>
      <w:tr>
        <w:tc>
          <w:tcPr>
            <w:tcW w:type="dxa" w:w="2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Automated content has no EEAT pre-publish gate</w:t>
            </w:r>
          </w:p>
        </w:tc>
        <w:tc>
          <w:tcPr>
            <w:tcW w:type="dxa" w:w="2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w:t>
            </w:r>
          </w:p>
        </w:tc>
        <w:tc>
          <w:tcPr>
            <w:tcW w:type="dxa" w:w="4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The denial-code programmatic pipeline can produce pages at scale, but the current spec does not include an automated EEAT check before queuing for human review. Forbidden claim detection, citation completeness, and schema compliance need to be pre-checked by the AI agent before human review begins.</w:t>
            </w:r>
          </w:p>
        </w:tc>
      </w:tr>
      <w:tr>
        <w:tc>
          <w:tcPr>
            <w:tcW w:type="dxa" w:w="2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 on-page Experience signals</w:t>
            </w:r>
          </w:p>
        </w:tc>
        <w:tc>
          <w:tcPr>
            <w:tcW w:type="dxa" w:w="2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MEDIUM</w:t>
            </w:r>
          </w:p>
        </w:tc>
        <w:tc>
          <w:tcPr>
            <w:tcW w:type="dxa" w:w="43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Experience (the first E) requires demonstrating real-world contact with the topic. Anonymized case studies, denial outcome stories, and founder origin narrative are absent. These are powerful EEAT signals and current competitors rarely have them.</w:t>
            </w:r>
          </w:p>
        </w:tc>
      </w:tr>
      <w:tr>
        <w:tc>
          <w:tcPr>
            <w:tcW w:type="dxa" w:w="2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 review date / last-updated display on pages</w:t>
            </w:r>
          </w:p>
        </w:tc>
        <w:tc>
          <w:tcPr>
            <w:tcW w:type="dxa" w:w="2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MEDIUM</w:t>
            </w:r>
          </w:p>
        </w:tc>
        <w:tc>
          <w:tcPr>
            <w:tcW w:type="dxa" w:w="4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Every YMYL page should display a 'Last Reviewed' or 'Last Updated' date. This is a basic trust signal Google's quality raters look for. Not currently specified in content schema.</w:t>
            </w:r>
          </w:p>
        </w:tc>
      </w:tr>
      <w:tr>
        <w:tc>
          <w:tcPr>
            <w:tcW w:type="dxa" w:w="2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Citation standards not yet in content schema</w:t>
            </w:r>
          </w:p>
        </w:tc>
        <w:tc>
          <w:tcPr>
            <w:tcW w:type="dxa" w:w="2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MEDIUM</w:t>
            </w:r>
          </w:p>
        </w:tc>
        <w:tc>
          <w:tcPr>
            <w:tcW w:type="dxa" w:w="43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The editorial policy describes citation discipline, but the per-page content schema does not yet enforce a minimum citation count or source type requirement as a mandatory field. This means a page can pass review without any citations.</w:t>
            </w:r>
          </w:p>
        </w:tc>
      </w:tr>
      <w:tr>
        <w:tc>
          <w:tcPr>
            <w:tcW w:type="dxa" w:w="2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 backlink strategy active yet</w:t>
            </w:r>
          </w:p>
        </w:tc>
        <w:tc>
          <w:tcPr>
            <w:tcW w:type="dxa" w:w="2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LOW (pre-launch)</w:t>
            </w:r>
          </w:p>
        </w:tc>
        <w:tc>
          <w:tcPr>
            <w:tcW w:type="dxa" w:w="4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Authoritativeness requires external recognition over time. The patient advocacy organization partnership plan in the PMP addresses this eventually, but no active outreach system is in place. Low priority pre-launch but needs activation in Phase 3.</w:t>
            </w:r>
          </w:p>
        </w:tc>
      </w:tr>
    </w:tbl>
    <w:p>
      <w:pPr>
        <w:spacing w:before="80" w:after="80"/>
      </w:pPr>
      <w:r>
        <w:rPr>
          <w:rFonts w:ascii="Arial" w:cs="Arial" w:eastAsia="Arial" w:hAnsi="Arial"/>
          <w:b w:val="false"/>
          <w:bCs w:val="false"/>
          <w:i w:val="false"/>
          <w:iCs w:val="false"/>
          <w:color w:val="000000"/>
          <w:sz w:val="20"/>
          <w:szCs w:val="20"/>
        </w:rPr>
        <w:t xml:space="preserve"/>
      </w:r>
    </w:p>
    <w:p>
      <w:pPr>
        <w:pBdr>
          <w:bottom w:val="single" w:color="D5E8F0" w:sz="4" w:space="1"/>
        </w:pBdr>
        <w:spacing w:before="160" w:after="160"/>
      </w:pPr>
    </w:p>
    <w:p>
      <w:pPr>
        <w:pStyle w:val="Heading1"/>
        <w:spacing w:before="240" w:after="120"/>
      </w:pPr>
      <w:r>
        <w:rPr>
          <w:rFonts w:ascii="Arial" w:cs="Arial" w:eastAsia="Arial" w:hAnsi="Arial"/>
          <w:b/>
          <w:bCs/>
          <w:color w:val="1B4F72"/>
          <w:sz w:val="36"/>
          <w:szCs w:val="36"/>
        </w:rPr>
        <w:t xml:space="preserve">5. Reinforcement Recommendations</w:t>
      </w:r>
    </w:p>
    <w:p>
      <w:pPr>
        <w:pStyle w:val="Heading2"/>
        <w:spacing w:before="240" w:after="120"/>
      </w:pPr>
      <w:r>
        <w:rPr>
          <w:rFonts w:ascii="Arial" w:cs="Arial" w:eastAsia="Arial" w:hAnsi="Arial"/>
          <w:b/>
          <w:bCs/>
          <w:color w:val="1A5276"/>
          <w:sz w:val="28"/>
          <w:szCs w:val="28"/>
        </w:rPr>
        <w:t xml:space="preserve">5.1 Trust Infrastructure Pages — Build These Before Any SEO Content</w:t>
      </w:r>
    </w:p>
    <w:p>
      <w:pPr>
        <w:spacing w:before="80" w:after="80"/>
      </w:pPr>
      <w:r>
        <w:rPr>
          <w:rFonts w:ascii="Arial" w:cs="Arial" w:eastAsia="Arial" w:hAnsi="Arial"/>
          <w:b w:val="false"/>
          <w:bCs w:val="false"/>
          <w:i w:val="false"/>
          <w:iCs w:val="false"/>
          <w:color w:val="000000"/>
          <w:sz w:val="20"/>
          <w:szCs w:val="20"/>
        </w:rPr>
        <w:t xml:space="preserve">These pages are not supplemental. They are EEAT foundation. A site without them cannot establish trust regardless of content quality. Build and publish these in Phase 1 before any SEO content goes live.</w:t>
      </w:r>
    </w:p>
    <w:p>
      <w:pPr>
        <w:spacing w:before="80" w:after="8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r>
              <w:rPr>
                <w:rFonts w:ascii="Arial" w:cs="Arial" w:eastAsia="Arial" w:hAnsi="Arial"/>
                <w:b/>
                <w:bCs/>
                <w:color w:val="FFFFFF"/>
                <w:sz w:val="20"/>
                <w:szCs w:val="20"/>
              </w:rPr>
              <w:t xml:space="preserve">Page</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r>
              <w:rPr>
                <w:rFonts w:ascii="Arial" w:cs="Arial" w:eastAsia="Arial" w:hAnsi="Arial"/>
                <w:b/>
                <w:bCs/>
                <w:color w:val="FFFFFF"/>
                <w:sz w:val="20"/>
                <w:szCs w:val="20"/>
              </w:rPr>
              <w:t xml:space="preserve">What It Must Include</w:t>
            </w:r>
          </w:p>
        </w:tc>
        <w:tc>
          <w:tcPr>
            <w:tcW w:type="dxa" w:w="2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About MyAdvocate</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Mission, why it exists, who the 'Editorial Team' is (without naming individuals), what problem the platform solves</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Launch blocker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Editorial Policy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Research methodology, how topics are selected, drafting standards, what sources are acceptable, how accuracy is maintained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Launch blocker</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Medical Review Policy</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Step-by-step review workflow by tier, reviewer qualifications (anonymous format), what triggers attorney review, update policy</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Launch blocker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Reviewer Credentials Page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Anonymous LPN/LVN reviewer bio (per Section 3.2 framing), internal verification process described without disclosing specifics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Launch blocker</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Medical Disclaimer</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Clear scope statement: navigation and advocacy information, not medical advice. What MyAdvocate is and is not. Attorney-reviewed.</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Launch blocker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Citation Policy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Acceptable sources list (CMS, NIH, CDC, state agencies, peer review), unacceptable sources, how citations are verified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Phase 1</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Update &amp; Refresh Policy</w:t>
            </w:r>
          </w:p>
        </w:tc>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How often content is reviewed, what triggers an update, who is responsible — references the existing refresh cadence system</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Phase 1</w:t>
            </w:r>
          </w:p>
        </w:tc>
      </w:tr>
    </w:tbl>
    <w:p>
      <w:pPr>
        <w:spacing w:before="80" w:after="80"/>
      </w:pPr>
      <w:r>
        <w:rPr>
          <w:rFonts w:ascii="Arial" w:cs="Arial" w:eastAsia="Arial" w:hAnsi="Arial"/>
          <w:b w:val="false"/>
          <w:bCs w:val="false"/>
          <w:i w:val="false"/>
          <w:iCs w:val="false"/>
          <w:color w:val="000000"/>
          <w:sz w:val="20"/>
          <w:szCs w:val="20"/>
        </w:rPr>
        <w:t xml:space="preserve"/>
      </w:r>
    </w:p>
    <w:p>
      <w:pPr>
        <w:pStyle w:val="Heading2"/>
        <w:spacing w:before="240" w:after="120"/>
      </w:pPr>
      <w:r>
        <w:rPr>
          <w:rFonts w:ascii="Arial" w:cs="Arial" w:eastAsia="Arial" w:hAnsi="Arial"/>
          <w:b/>
          <w:bCs/>
          <w:color w:val="1A5276"/>
          <w:sz w:val="28"/>
          <w:szCs w:val="28"/>
        </w:rPr>
        <w:t xml:space="preserve">5.2 Per-Page EEAT Schema — Enforce at Content Creation</w:t>
      </w:r>
    </w:p>
    <w:p>
      <w:pPr>
        <w:spacing w:before="80" w:after="80"/>
      </w:pPr>
      <w:r>
        <w:rPr>
          <w:rFonts w:ascii="Arial" w:cs="Arial" w:eastAsia="Arial" w:hAnsi="Arial"/>
          <w:b w:val="false"/>
          <w:bCs w:val="false"/>
          <w:i w:val="false"/>
          <w:iCs w:val="false"/>
          <w:color w:val="000000"/>
          <w:sz w:val="20"/>
          <w:szCs w:val="20"/>
        </w:rPr>
        <w:t xml:space="preserve">Every content page should have mandatory schema fields that are validated before the page enters the review queue. This turns EEAT compliance into a structural requirement, not a checklist afterthought.</w:t>
      </w:r>
    </w:p>
    <w:p>
      <w:pPr>
        <w:spacing w:before="80" w:after="8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pPr>
              <w:spacing w:before="60" w:after="40"/>
            </w:pPr>
            <w:r>
              <w:rPr>
                <w:rFonts w:ascii="Arial" w:cs="Arial" w:eastAsia="Arial" w:hAnsi="Arial"/>
                <w:b/>
                <w:bCs/>
                <w:color w:val="1B4F72"/>
                <w:sz w:val="20"/>
                <w:szCs w:val="20"/>
              </w:rPr>
              <w:t xml:space="preserve">Mandatory Page Schema Fields</w:t>
            </w:r>
          </w:p>
          <w:p>
            <w:pPr>
              <w:spacing w:before="40" w:after="60"/>
            </w:pPr>
            <w:r>
              <w:rPr>
                <w:rFonts w:ascii="Arial" w:cs="Arial" w:eastAsia="Arial" w:hAnsi="Arial"/>
                <w:sz w:val="20"/>
                <w:szCs w:val="20"/>
              </w:rPr>
              <w:t xml:space="preserve">title | meta_description | content_tier (1/2/3) | target_problem | cluster | 
primary_source_1 (URL, must be CMS/NIH/CDC/state agency) | primary_source_2 | 
reviewer_name (always: 'MyAdvocate Clinical Review Team') | 
review_date | last_updated_date | medical_disclaimer_included (true/false) | 
forbidden_claims_check (PASS/FAIL) | attorney_review_required (true/false) | 
publish_approved_by</w:t>
            </w:r>
          </w:p>
        </w:tc>
      </w:tr>
    </w:tbl>
    <w:p>
      <w:pPr>
        <w:spacing w:before="80" w:after="80"/>
      </w:pPr>
      <w:r>
        <w:rPr>
          <w:rFonts w:ascii="Arial" w:cs="Arial" w:eastAsia="Arial" w:hAnsi="Arial"/>
          <w:b w:val="false"/>
          <w:bCs w:val="false"/>
          <w:i w:val="false"/>
          <w:iCs w:val="false"/>
          <w:color w:val="000000"/>
          <w:sz w:val="20"/>
          <w:szCs w:val="20"/>
        </w:rPr>
        <w:t xml:space="preserve"/>
      </w:r>
    </w:p>
    <w:p>
      <w:pPr>
        <w:spacing w:before="80" w:after="80"/>
      </w:pPr>
      <w:r>
        <w:rPr>
          <w:rFonts w:ascii="Arial" w:cs="Arial" w:eastAsia="Arial" w:hAnsi="Arial"/>
          <w:b w:val="false"/>
          <w:bCs w:val="false"/>
          <w:i w:val="false"/>
          <w:iCs w:val="false"/>
          <w:color w:val="000000"/>
          <w:sz w:val="20"/>
          <w:szCs w:val="20"/>
        </w:rPr>
        <w:t xml:space="preserve">The automated validation script should reject any page missing required fields before it reaches human review. This is the EEAT pre-publish gate that currently does not exist.</w:t>
      </w:r>
    </w:p>
    <w:p>
      <w:pPr>
        <w:spacing w:before="80" w:after="80"/>
      </w:pPr>
      <w:r>
        <w:rPr>
          <w:rFonts w:ascii="Arial" w:cs="Arial" w:eastAsia="Arial" w:hAnsi="Arial"/>
          <w:b w:val="false"/>
          <w:bCs w:val="false"/>
          <w:i w:val="false"/>
          <w:iCs w:val="false"/>
          <w:color w:val="000000"/>
          <w:sz w:val="20"/>
          <w:szCs w:val="20"/>
        </w:rPr>
        <w:t xml:space="preserve"/>
      </w:r>
    </w:p>
    <w:p>
      <w:pPr>
        <w:pStyle w:val="Heading2"/>
        <w:spacing w:before="240" w:after="120"/>
      </w:pPr>
      <w:r>
        <w:rPr>
          <w:rFonts w:ascii="Arial" w:cs="Arial" w:eastAsia="Arial" w:hAnsi="Arial"/>
          <w:b/>
          <w:bCs/>
          <w:color w:val="1A5276"/>
          <w:sz w:val="28"/>
          <w:szCs w:val="28"/>
        </w:rPr>
        <w:t xml:space="preserve">5.3 Review Audit Trail — Survive a Manual Review Challenge</w:t>
      </w:r>
    </w:p>
    <w:p>
      <w:pPr>
        <w:spacing w:before="80" w:after="80"/>
      </w:pPr>
      <w:r>
        <w:rPr>
          <w:rFonts w:ascii="Arial" w:cs="Arial" w:eastAsia="Arial" w:hAnsi="Arial"/>
          <w:b w:val="false"/>
          <w:bCs w:val="false"/>
          <w:i w:val="false"/>
          <w:iCs w:val="false"/>
          <w:color w:val="000000"/>
          <w:sz w:val="20"/>
          <w:szCs w:val="20"/>
        </w:rPr>
        <w:t xml:space="preserve">The current review system exists as documentation. It needs to exist as a per-page record. For each published page, a review log entry should be created containing:</w:t>
      </w:r>
    </w:p>
    <w:p>
      <w:pPr>
        <w:pStyle w:val="ListParagraph"/>
        <w:numPr>
          <w:ilvl w:val="0"/>
          <w:numId w:val="2"/>
        </w:numPr>
        <w:spacing w:before="40" w:after="40"/>
      </w:pPr>
      <w:r>
        <w:rPr>
          <w:rFonts w:ascii="Arial" w:cs="Arial" w:eastAsia="Arial" w:hAnsi="Arial"/>
          <w:b w:val="false"/>
          <w:bCs w:val="false"/>
          <w:color w:val="000000"/>
          <w:sz w:val="20"/>
          <w:szCs w:val="20"/>
        </w:rPr>
        <w:t xml:space="preserve">Page URL and title</w:t>
      </w:r>
    </w:p>
    <w:p>
      <w:pPr>
        <w:pStyle w:val="ListParagraph"/>
        <w:numPr>
          <w:ilvl w:val="0"/>
          <w:numId w:val="2"/>
        </w:numPr>
        <w:spacing w:before="40" w:after="40"/>
      </w:pPr>
      <w:r>
        <w:rPr>
          <w:rFonts w:ascii="Arial" w:cs="Arial" w:eastAsia="Arial" w:hAnsi="Arial"/>
          <w:b w:val="false"/>
          <w:bCs w:val="false"/>
          <w:color w:val="000000"/>
          <w:sz w:val="20"/>
          <w:szCs w:val="20"/>
        </w:rPr>
        <w:t xml:space="preserve">Content tier assigned</w:t>
      </w:r>
    </w:p>
    <w:p>
      <w:pPr>
        <w:pStyle w:val="ListParagraph"/>
        <w:numPr>
          <w:ilvl w:val="0"/>
          <w:numId w:val="2"/>
        </w:numPr>
        <w:spacing w:before="40" w:after="40"/>
      </w:pPr>
      <w:r>
        <w:rPr>
          <w:rFonts w:ascii="Arial" w:cs="Arial" w:eastAsia="Arial" w:hAnsi="Arial"/>
          <w:b w:val="false"/>
          <w:bCs w:val="false"/>
          <w:color w:val="000000"/>
          <w:sz w:val="20"/>
          <w:szCs w:val="20"/>
        </w:rPr>
        <w:t xml:space="preserve">Date reviewed</w:t>
      </w:r>
    </w:p>
    <w:p>
      <w:pPr>
        <w:pStyle w:val="ListParagraph"/>
        <w:numPr>
          <w:ilvl w:val="0"/>
          <w:numId w:val="2"/>
        </w:numPr>
        <w:spacing w:before="40" w:after="40"/>
      </w:pPr>
      <w:r>
        <w:rPr>
          <w:rFonts w:ascii="Arial" w:cs="Arial" w:eastAsia="Arial" w:hAnsi="Arial"/>
          <w:b w:val="false"/>
          <w:bCs w:val="false"/>
          <w:color w:val="000000"/>
          <w:sz w:val="20"/>
          <w:szCs w:val="20"/>
        </w:rPr>
        <w:t xml:space="preserve">Reviewer identifier (internal, not public)</w:t>
      </w:r>
    </w:p>
    <w:p>
      <w:pPr>
        <w:pStyle w:val="ListParagraph"/>
        <w:numPr>
          <w:ilvl w:val="0"/>
          <w:numId w:val="2"/>
        </w:numPr>
        <w:spacing w:before="40" w:after="40"/>
      </w:pPr>
      <w:r>
        <w:rPr>
          <w:rFonts w:ascii="Arial" w:cs="Arial" w:eastAsia="Arial" w:hAnsi="Arial"/>
          <w:b w:val="false"/>
          <w:bCs w:val="false"/>
          <w:color w:val="000000"/>
          <w:sz w:val="20"/>
          <w:szCs w:val="20"/>
        </w:rPr>
        <w:t xml:space="preserve">Review method applied (checklist / editorial / attorney)</w:t>
      </w:r>
    </w:p>
    <w:p>
      <w:pPr>
        <w:pStyle w:val="ListParagraph"/>
        <w:numPr>
          <w:ilvl w:val="0"/>
          <w:numId w:val="2"/>
        </w:numPr>
        <w:spacing w:before="40" w:after="40"/>
      </w:pPr>
      <w:r>
        <w:rPr>
          <w:rFonts w:ascii="Arial" w:cs="Arial" w:eastAsia="Arial" w:hAnsi="Arial"/>
          <w:b w:val="false"/>
          <w:bCs w:val="false"/>
          <w:color w:val="000000"/>
          <w:sz w:val="20"/>
          <w:szCs w:val="20"/>
        </w:rPr>
        <w:t xml:space="preserve">Any flags raised and how they were resolved</w:t>
      </w:r>
    </w:p>
    <w:p>
      <w:pPr>
        <w:pStyle w:val="ListParagraph"/>
        <w:numPr>
          <w:ilvl w:val="0"/>
          <w:numId w:val="2"/>
        </w:numPr>
        <w:spacing w:before="40" w:after="40"/>
      </w:pPr>
      <w:r>
        <w:rPr>
          <w:rFonts w:ascii="Arial" w:cs="Arial" w:eastAsia="Arial" w:hAnsi="Arial"/>
          <w:b w:val="false"/>
          <w:bCs w:val="false"/>
          <w:color w:val="000000"/>
          <w:sz w:val="20"/>
          <w:szCs w:val="20"/>
        </w:rPr>
        <w:t xml:space="preserve">Publish approval date</w:t>
      </w:r>
    </w:p>
    <w:p>
      <w:pPr>
        <w:spacing w:before="80" w:after="80"/>
      </w:pPr>
      <w:r>
        <w:rPr>
          <w:rFonts w:ascii="Arial" w:cs="Arial" w:eastAsia="Arial" w:hAnsi="Arial"/>
          <w:b w:val="false"/>
          <w:bCs w:val="false"/>
          <w:i w:val="false"/>
          <w:iCs w:val="false"/>
          <w:color w:val="000000"/>
          <w:sz w:val="20"/>
          <w:szCs w:val="20"/>
        </w:rPr>
        <w:t xml:space="preserve"/>
      </w:r>
    </w:p>
    <w:p>
      <w:pPr>
        <w:spacing w:before="80" w:after="80"/>
      </w:pPr>
      <w:r>
        <w:rPr>
          <w:rFonts w:ascii="Arial" w:cs="Arial" w:eastAsia="Arial" w:hAnsi="Arial"/>
          <w:b w:val="false"/>
          <w:bCs w:val="false"/>
          <w:i w:val="false"/>
          <w:iCs w:val="false"/>
          <w:color w:val="000000"/>
          <w:sz w:val="20"/>
          <w:szCs w:val="20"/>
        </w:rPr>
        <w:t xml:space="preserve">This log does not need to be public. It needs to exist. An n8n automation agent can create and maintain this as a simple database table (AuditLog object per the Phase 9 data model). The review log becomes part of the audit trail that protects MyAdvocate from content liability claims and Google manual review challenges.</w:t>
      </w:r>
    </w:p>
    <w:p>
      <w:pPr>
        <w:spacing w:before="80" w:after="80"/>
      </w:pPr>
      <w:r>
        <w:rPr>
          <w:rFonts w:ascii="Arial" w:cs="Arial" w:eastAsia="Arial" w:hAnsi="Arial"/>
          <w:b w:val="false"/>
          <w:bCs w:val="false"/>
          <w:i w:val="false"/>
          <w:iCs w:val="false"/>
          <w:color w:val="000000"/>
          <w:sz w:val="20"/>
          <w:szCs w:val="20"/>
        </w:rPr>
        <w:t xml:space="preserve"/>
      </w:r>
    </w:p>
    <w:p>
      <w:pPr>
        <w:pStyle w:val="Heading2"/>
        <w:spacing w:before="240" w:after="120"/>
      </w:pPr>
      <w:r>
        <w:rPr>
          <w:rFonts w:ascii="Arial" w:cs="Arial" w:eastAsia="Arial" w:hAnsi="Arial"/>
          <w:b/>
          <w:bCs/>
          <w:color w:val="1A5276"/>
          <w:sz w:val="28"/>
          <w:szCs w:val="28"/>
        </w:rPr>
        <w:t xml:space="preserve">5.4 Experience Layer — Anonymized Case Studies and Origin Narrative</w:t>
      </w:r>
    </w:p>
    <w:p>
      <w:pPr>
        <w:spacing w:before="80" w:after="80"/>
      </w:pPr>
      <w:r>
        <w:rPr>
          <w:rFonts w:ascii="Arial" w:cs="Arial" w:eastAsia="Arial" w:hAnsi="Arial"/>
          <w:b w:val="false"/>
          <w:bCs w:val="false"/>
          <w:i w:val="false"/>
          <w:iCs w:val="false"/>
          <w:color w:val="000000"/>
          <w:sz w:val="20"/>
          <w:szCs w:val="20"/>
        </w:rPr>
        <w:t xml:space="preserve">Experience is the dimension most YMYL sites fail to demonstrate — and the one MyAdvocate can genuinely claim through Kate's background and the platform's founding purpose. Without a public founder identity, Experience signals must come from:</w:t>
      </w:r>
    </w:p>
    <w:p>
      <w:pPr>
        <w:spacing w:before="80" w:after="80"/>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before="40" w:after="40"/>
      </w:pPr>
      <w:r>
        <w:rPr>
          <w:rFonts w:ascii="Arial" w:cs="Arial" w:eastAsia="Arial" w:hAnsi="Arial"/>
          <w:b w:val="false"/>
          <w:bCs w:val="false"/>
          <w:color w:val="000000"/>
          <w:sz w:val="20"/>
          <w:szCs w:val="20"/>
        </w:rPr>
        <w:t xml:space="preserve">Anonymized denial outcome case studies (e.g., 'Skilled nursing appeal approved after initial denial — how this patient won' — no names, no identifying details)</w:t>
      </w:r>
    </w:p>
    <w:p>
      <w:pPr>
        <w:pStyle w:val="ListParagraph"/>
        <w:numPr>
          <w:ilvl w:val="0"/>
          <w:numId w:val="2"/>
        </w:numPr>
        <w:spacing w:before="40" w:after="40"/>
      </w:pPr>
      <w:r>
        <w:rPr>
          <w:rFonts w:ascii="Arial" w:cs="Arial" w:eastAsia="Arial" w:hAnsi="Arial"/>
          <w:b w:val="false"/>
          <w:bCs w:val="false"/>
          <w:color w:val="000000"/>
          <w:sz w:val="20"/>
          <w:szCs w:val="20"/>
        </w:rPr>
        <w:t xml:space="preserve">Scenario-based content showing real understanding of the patient experience ('What happens when your insurer uses CO-50' written from the perspective of someone who has seen it repeatedly)</w:t>
      </w:r>
    </w:p>
    <w:p>
      <w:pPr>
        <w:pStyle w:val="ListParagraph"/>
        <w:numPr>
          <w:ilvl w:val="0"/>
          <w:numId w:val="2"/>
        </w:numPr>
        <w:spacing w:before="40" w:after="40"/>
      </w:pPr>
      <w:r>
        <w:rPr>
          <w:rFonts w:ascii="Arial" w:cs="Arial" w:eastAsia="Arial" w:hAnsi="Arial"/>
          <w:b w:val="false"/>
          <w:bCs w:val="false"/>
          <w:color w:val="000000"/>
          <w:sz w:val="20"/>
          <w:szCs w:val="20"/>
        </w:rPr>
        <w:t xml:space="preserve">An 'About MyAdvocate' origin narrative — not personal biography, but platform motivation: why this exists, what problem it was built to solve, who the team is in general terms</w:t>
      </w:r>
    </w:p>
    <w:p>
      <w:pPr>
        <w:spacing w:before="80" w:after="80"/>
      </w:pPr>
      <w:r>
        <w:rPr>
          <w:rFonts w:ascii="Arial" w:cs="Arial" w:eastAsia="Arial" w:hAnsi="Arial"/>
          <w:b w:val="false"/>
          <w:bCs w:val="false"/>
          <w:i w:val="false"/>
          <w:iCs w:val="false"/>
          <w:color w:val="000000"/>
          <w:sz w:val="20"/>
          <w:szCs w:val="20"/>
        </w:rPr>
        <w:t xml:space="preserve"/>
      </w:r>
    </w:p>
    <w:p>
      <w:pPr>
        <w:spacing w:before="80" w:after="80"/>
      </w:pPr>
      <w:r>
        <w:rPr>
          <w:rFonts w:ascii="Arial" w:cs="Arial" w:eastAsia="Arial" w:hAnsi="Arial"/>
          <w:b w:val="false"/>
          <w:bCs w:val="false"/>
          <w:i w:val="false"/>
          <w:iCs w:val="false"/>
          <w:color w:val="000000"/>
          <w:sz w:val="20"/>
          <w:szCs w:val="20"/>
        </w:rPr>
        <w:t xml:space="preserve">These pages carry the 'E' for Experience. They are also among the most shareable, linkable, and trust-building assets on the site — critical for building Authoritativeness over time.</w:t>
      </w:r>
    </w:p>
    <w:p>
      <w:pPr>
        <w:spacing w:before="80" w:after="80"/>
      </w:pPr>
      <w:r>
        <w:rPr>
          <w:rFonts w:ascii="Arial" w:cs="Arial" w:eastAsia="Arial" w:hAnsi="Arial"/>
          <w:b w:val="false"/>
          <w:bCs w:val="false"/>
          <w:i w:val="false"/>
          <w:iCs w:val="false"/>
          <w:color w:val="000000"/>
          <w:sz w:val="20"/>
          <w:szCs w:val="20"/>
        </w:rPr>
        <w:t xml:space="preserve"/>
      </w:r>
    </w:p>
    <w:p>
      <w:pPr>
        <w:pBdr>
          <w:bottom w:val="single" w:color="D5E8F0" w:sz="4" w:space="1"/>
        </w:pBdr>
        <w:spacing w:before="160" w:after="160"/>
      </w:pPr>
    </w:p>
    <w:p>
      <w:pPr>
        <w:pStyle w:val="Heading1"/>
        <w:spacing w:before="240" w:after="120"/>
      </w:pPr>
      <w:r>
        <w:rPr>
          <w:rFonts w:ascii="Arial" w:cs="Arial" w:eastAsia="Arial" w:hAnsi="Arial"/>
          <w:b/>
          <w:bCs/>
          <w:color w:val="1B4F72"/>
          <w:sz w:val="36"/>
          <w:szCs w:val="36"/>
        </w:rPr>
        <w:t xml:space="preserve">6. Workflow Integration — Where EEAT Gates Belong</w:t>
      </w:r>
    </w:p>
    <w:p>
      <w:pPr>
        <w:spacing w:before="80" w:after="80"/>
      </w:pPr>
      <w:r>
        <w:rPr>
          <w:rFonts w:ascii="Arial" w:cs="Arial" w:eastAsia="Arial" w:hAnsi="Arial"/>
          <w:b w:val="false"/>
          <w:bCs w:val="false"/>
          <w:i w:val="false"/>
          <w:iCs w:val="false"/>
          <w:color w:val="000000"/>
          <w:sz w:val="20"/>
          <w:szCs w:val="20"/>
        </w:rPr>
        <w:t xml:space="preserve">The current publishing workflow (per the Editorial Governance Plan) has the right structure. It needs explicit EEAT checkpoints at three stages.</w:t>
      </w:r>
    </w:p>
    <w:p>
      <w:pPr>
        <w:spacing w:before="80" w:after="80"/>
      </w:pPr>
      <w:r>
        <w:rPr>
          <w:rFonts w:ascii="Arial" w:cs="Arial" w:eastAsia="Arial" w:hAnsi="Arial"/>
          <w:b w:val="false"/>
          <w:bCs w:val="false"/>
          <w:i w:val="false"/>
          <w:iCs w:val="false"/>
          <w:color w:val="000000"/>
          <w:sz w:val="20"/>
          <w:szCs w:val="20"/>
        </w:rPr>
        <w:t xml:space="preserve"/>
      </w:r>
    </w:p>
    <w:p>
      <w:pPr>
        <w:pStyle w:val="Heading2"/>
        <w:spacing w:before="240" w:after="120"/>
      </w:pPr>
      <w:r>
        <w:rPr>
          <w:rFonts w:ascii="Arial" w:cs="Arial" w:eastAsia="Arial" w:hAnsi="Arial"/>
          <w:b/>
          <w:bCs/>
          <w:color w:val="1A5276"/>
          <w:sz w:val="28"/>
          <w:szCs w:val="28"/>
        </w:rPr>
        <w:t xml:space="preserve">6.1 Updated Publishing Workflow With EEAT Gates</w:t>
      </w:r>
    </w:p>
    <w:p>
      <w:pPr>
        <w:spacing w:before="80" w:after="8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200"/>
        <w:gridCol w:w="3460"/>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r>
              <w:rPr>
                <w:rFonts w:ascii="Arial" w:cs="Arial" w:eastAsia="Arial" w:hAnsi="Arial"/>
                <w:b/>
                <w:bCs/>
                <w:color w:val="FFFFFF"/>
                <w:sz w:val="20"/>
                <w:szCs w:val="20"/>
              </w:rPr>
              <w:t xml:space="preserve">Action</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r>
              <w:rPr>
                <w:rFonts w:ascii="Arial" w:cs="Arial" w:eastAsia="Arial" w:hAnsi="Arial"/>
                <w:b/>
                <w:bCs/>
                <w:color w:val="FFFFFF"/>
                <w:sz w:val="20"/>
                <w:szCs w:val="20"/>
              </w:rPr>
              <w:t xml:space="preserve">EEAT Gate</w:t>
            </w:r>
          </w:p>
        </w:tc>
        <w:tc>
          <w:tcPr>
            <w:tcW w:type="dxa" w:w="34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r>
              <w:rPr>
                <w:rFonts w:ascii="Arial" w:cs="Arial" w:eastAsia="Arial" w:hAnsi="Arial"/>
                <w:b/>
                <w:bCs/>
                <w:color w:val="FFFFFF"/>
                <w:sz w:val="20"/>
                <w:szCs w:val="20"/>
              </w:rPr>
              <w:t xml:space="preserve">Owner / Tool</w:t>
            </w:r>
          </w:p>
        </w:tc>
      </w:tr>
      <w:tr>
        <w:tc>
          <w:tcPr>
            <w:tcW w:type="dxa" w:w="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Topic selection from cluster map</w:t>
            </w:r>
          </w:p>
        </w:tc>
        <w:tc>
          <w:tcPr>
            <w:tcW w:type="dxa" w:w="3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Confirm cluster role, tier assignment, product pathway</w:t>
            </w:r>
          </w:p>
        </w:tc>
        <w:tc>
          <w:tcPr>
            <w:tcW w:type="dxa" w:w="34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Founder</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AI draft generation</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Schema template enforces: problem framing, source slots, disclaimer slot, reviewer slot</w:t>
            </w:r>
          </w:p>
        </w:tc>
        <w:tc>
          <w:tcPr>
            <w:tcW w:type="dxa" w:w="3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AI agent (n8n)</w:t>
            </w:r>
          </w:p>
        </w:tc>
      </w:tr>
      <w:tr>
        <w:tc>
          <w:tcPr>
            <w:tcW w:type="dxa" w:w="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Automated EEAT pre-check [NEW]</w:t>
            </w:r>
          </w:p>
        </w:tc>
        <w:tc>
          <w:tcPr>
            <w:tcW w:type="dxa" w:w="3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Check: forbidden claims absent, minimum 2 citations present, disclaimer included, tier-appropriate source types, schema complete — PASS required to advance</w:t>
            </w:r>
          </w:p>
        </w:tc>
        <w:tc>
          <w:tcPr>
            <w:tcW w:type="dxa" w:w="34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Validation agent (n8n)</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Editorial cleanup</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Usefulness, structure, readability, legal-safe language confirmed</w:t>
            </w:r>
          </w:p>
        </w:tc>
        <w:tc>
          <w:tcPr>
            <w:tcW w:type="dxa" w:w="3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Founder</w:t>
            </w:r>
          </w:p>
        </w:tc>
      </w:tr>
      <w:tr>
        <w:tc>
          <w:tcPr>
            <w:tcW w:type="dxa" w:w="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Tier-appropriate review</w:t>
            </w:r>
          </w:p>
        </w:tc>
        <w:tc>
          <w:tcPr>
            <w:tcW w:type="dxa" w:w="3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T1: checklist + spot QA | T2: Kate full review | T3: Kate + attorney sign-off</w:t>
            </w:r>
          </w:p>
        </w:tc>
        <w:tc>
          <w:tcPr>
            <w:tcW w:type="dxa" w:w="34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Kate / Attorney</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Review log entry created [NEW]</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Per-page audit record written to database: reviewer, date, tier, method, flags, approval</w:t>
            </w:r>
          </w:p>
        </w:tc>
        <w:tc>
          <w:tcPr>
            <w:tcW w:type="dxa" w:w="3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n8n automation</w:t>
            </w:r>
          </w:p>
        </w:tc>
      </w:tr>
      <w:tr>
        <w:tc>
          <w:tcPr>
            <w:tcW w:type="dxa" w:w="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7</w:t>
            </w:r>
          </w:p>
        </w:tc>
        <w:tc>
          <w:tcPr>
            <w:tcW w:type="dxa" w:w="2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Publish with metadata</w:t>
            </w:r>
          </w:p>
        </w:tc>
        <w:tc>
          <w:tcPr>
            <w:tcW w:type="dxa" w:w="3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'Reviewed by MyAdvocate Clinical Review Team' + review date displayed on page</w:t>
            </w:r>
          </w:p>
        </w:tc>
        <w:tc>
          <w:tcPr>
            <w:tcW w:type="dxa" w:w="34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CMS / automation</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8</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Monitoring agent watches</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Flags pages where source URLs go stale, policy changes, or refresh cadence is overdue</w:t>
            </w:r>
          </w:p>
        </w:tc>
        <w:tc>
          <w:tcPr>
            <w:tcW w:type="dxa" w:w="34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Refresh agent (n8n)</w:t>
            </w:r>
          </w:p>
        </w:tc>
      </w:tr>
    </w:tbl>
    <w:p>
      <w:pPr>
        <w:spacing w:before="80" w:after="80"/>
      </w:pPr>
      <w:r>
        <w:rPr>
          <w:rFonts w:ascii="Arial" w:cs="Arial" w:eastAsia="Arial" w:hAnsi="Arial"/>
          <w:b w:val="false"/>
          <w:bCs w:val="false"/>
          <w:i w:val="false"/>
          <w:iCs w:val="false"/>
          <w:color w:val="000000"/>
          <w:sz w:val="20"/>
          <w:szCs w:val="20"/>
        </w:rPr>
        <w:t xml:space="preserve"/>
      </w:r>
    </w:p>
    <w:p>
      <w:pPr>
        <w:pStyle w:val="Heading2"/>
        <w:spacing w:before="240" w:after="120"/>
      </w:pPr>
      <w:r>
        <w:rPr>
          <w:rFonts w:ascii="Arial" w:cs="Arial" w:eastAsia="Arial" w:hAnsi="Arial"/>
          <w:b/>
          <w:bCs/>
          <w:color w:val="1A5276"/>
          <w:sz w:val="28"/>
          <w:szCs w:val="28"/>
        </w:rPr>
        <w:t xml:space="preserve">6.2 Forbidden Claims Detection — What the Automated Check Must Catch</w:t>
      </w:r>
    </w:p>
    <w:p>
      <w:pPr>
        <w:spacing w:before="80" w:after="80"/>
      </w:pPr>
      <w:r>
        <w:rPr>
          <w:rFonts w:ascii="Arial" w:cs="Arial" w:eastAsia="Arial" w:hAnsi="Arial"/>
          <w:b w:val="false"/>
          <w:bCs w:val="false"/>
          <w:i w:val="false"/>
          <w:iCs w:val="false"/>
          <w:color w:val="000000"/>
          <w:sz w:val="20"/>
          <w:szCs w:val="20"/>
        </w:rPr>
        <w:t xml:space="preserve">The pre-publish EEAT agent should use a defined forbidden claims list. Any match is an automatic FAIL that returns the page to drafting. Current forbidden claim patterns for MyAdvocate:</w:t>
      </w:r>
    </w:p>
    <w:p>
      <w:pPr>
        <w:spacing w:before="80" w:after="8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r>
              <w:rPr>
                <w:rFonts w:ascii="Arial" w:cs="Arial" w:eastAsia="Arial" w:hAnsi="Arial"/>
                <w:b/>
                <w:bCs/>
                <w:color w:val="FFFFFF"/>
                <w:sz w:val="20"/>
                <w:szCs w:val="20"/>
              </w:rPr>
              <w:t xml:space="preserve">Forbidden Claim Pattern</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r>
              <w:rPr>
                <w:rFonts w:ascii="Arial" w:cs="Arial" w:eastAsia="Arial" w:hAnsi="Arial"/>
                <w:b/>
                <w:bCs/>
                <w:color w:val="FFFFFF"/>
                <w:sz w:val="20"/>
                <w:szCs w:val="20"/>
              </w:rPr>
              <w:t xml:space="preserve">Safe Replacement Framing</w:t>
            </w:r>
          </w:p>
        </w:tc>
      </w:tr>
      <w:tr>
        <w:tc>
          <w:tcPr>
            <w:tcW w:type="dxa" w:w="46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'You are entitled to...' (without statute citation)</w:t>
            </w:r>
          </w:p>
        </w:tc>
        <w:tc>
          <w:tcPr>
            <w:tcW w:type="dxa" w:w="46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'Federal law generally provides patients with...' + source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'Your insurance company must...' (absolute)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'Insurers are typically required to... depending on your plan type'</w:t>
            </w:r>
          </w:p>
        </w:tc>
      </w:tr>
      <w:tr>
        <w:tc>
          <w:tcPr>
            <w:tcW w:type="dxa" w:w="46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'This appeal will succeed if...'</w:t>
            </w:r>
          </w:p>
        </w:tc>
        <w:tc>
          <w:tcPr>
            <w:tcW w:type="dxa" w:w="46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'Appeals are more likely to succeed when...'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'Guaranteed' or 'will result 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'May result in' or 'can strengthen your case'</w:t>
            </w:r>
          </w:p>
        </w:tc>
      </w:tr>
      <w:tr>
        <w:tc>
          <w:tcPr>
            <w:tcW w:type="dxa" w:w="46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'Legal advice' or 'consult this page instead of a lawyer'</w:t>
            </w:r>
          </w:p>
        </w:tc>
        <w:tc>
          <w:tcPr>
            <w:tcW w:type="dxa" w:w="46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'For legal questions, consult a licensed patient advocate or attorney'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Medical dosages, treatment recommendations, diagnosis interpretations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Not within scope — redirect to 'speak with your healthcare provider'</w:t>
            </w:r>
          </w:p>
        </w:tc>
      </w:tr>
    </w:tbl>
    <w:p>
      <w:pPr>
        <w:spacing w:before="80" w:after="80"/>
      </w:pPr>
      <w:r>
        <w:rPr>
          <w:rFonts w:ascii="Arial" w:cs="Arial" w:eastAsia="Arial" w:hAnsi="Arial"/>
          <w:b w:val="false"/>
          <w:bCs w:val="false"/>
          <w:i w:val="false"/>
          <w:iCs w:val="false"/>
          <w:color w:val="000000"/>
          <w:sz w:val="20"/>
          <w:szCs w:val="20"/>
        </w:rPr>
        <w:t xml:space="preserve"/>
      </w:r>
    </w:p>
    <w:p>
      <w:pPr>
        <w:pBdr>
          <w:bottom w:val="single" w:color="D5E8F0" w:sz="4" w:space="1"/>
        </w:pBdr>
        <w:spacing w:before="160" w:after="160"/>
      </w:pPr>
    </w:p>
    <w:p>
      <w:pPr>
        <w:pStyle w:val="Heading1"/>
        <w:spacing w:before="240" w:after="120"/>
      </w:pPr>
      <w:r>
        <w:rPr>
          <w:rFonts w:ascii="Arial" w:cs="Arial" w:eastAsia="Arial" w:hAnsi="Arial"/>
          <w:b/>
          <w:bCs/>
          <w:color w:val="1B4F72"/>
          <w:sz w:val="36"/>
          <w:szCs w:val="36"/>
        </w:rPr>
        <w:t xml:space="preserve">7. Gamification System Integration</w:t>
      </w:r>
    </w:p>
    <w:p>
      <w:pPr>
        <w:spacing w:before="80" w:after="80"/>
      </w:pPr>
      <w:r>
        <w:rPr>
          <w:rFonts w:ascii="Arial" w:cs="Arial" w:eastAsia="Arial" w:hAnsi="Arial"/>
          <w:b w:val="false"/>
          <w:bCs w:val="false"/>
          <w:i w:val="false"/>
          <w:iCs w:val="false"/>
          <w:color w:val="000000"/>
          <w:sz w:val="20"/>
          <w:szCs w:val="20"/>
        </w:rPr>
        <w:t xml:space="preserve">The existing gamification document rewards the right actions: build XP for infrastructure, compounding XP for consistent publishing, discipline XP for scope restraint. EEAT compliance can be integrated as a standing XP category without disrupting the existing reward logic.</w:t>
      </w:r>
    </w:p>
    <w:p>
      <w:pPr>
        <w:spacing w:before="80" w:after="80"/>
      </w:pPr>
      <w:r>
        <w:rPr>
          <w:rFonts w:ascii="Arial" w:cs="Arial" w:eastAsia="Arial" w:hAnsi="Arial"/>
          <w:b w:val="false"/>
          <w:bCs w:val="false"/>
          <w:i w:val="false"/>
          <w:iCs w:val="false"/>
          <w:color w:val="000000"/>
          <w:sz w:val="20"/>
          <w:szCs w:val="20"/>
        </w:rPr>
        <w:t xml:space="preserve"/>
      </w:r>
    </w:p>
    <w:p>
      <w:pPr>
        <w:pStyle w:val="Heading2"/>
        <w:spacing w:before="240" w:after="120"/>
      </w:pPr>
      <w:r>
        <w:rPr>
          <w:rFonts w:ascii="Arial" w:cs="Arial" w:eastAsia="Arial" w:hAnsi="Arial"/>
          <w:b/>
          <w:bCs/>
          <w:color w:val="1A5276"/>
          <w:sz w:val="28"/>
          <w:szCs w:val="28"/>
        </w:rPr>
        <w:t xml:space="preserve">7.1 New XP Category: Trust XP</w:t>
      </w:r>
    </w:p>
    <w:p>
      <w:pPr>
        <w:spacing w:before="80" w:after="80"/>
      </w:pPr>
      <w:r>
        <w:rPr>
          <w:rFonts w:ascii="Arial" w:cs="Arial" w:eastAsia="Arial" w:hAnsi="Arial"/>
          <w:b w:val="false"/>
          <w:bCs w:val="false"/>
          <w:i w:val="false"/>
          <w:iCs w:val="false"/>
          <w:color w:val="000000"/>
          <w:sz w:val="20"/>
          <w:szCs w:val="20"/>
        </w:rPr>
        <w:t xml:space="preserve">Trust XP rewards actions that directly strengthen EEAT standing. These are separate from Compounding XP (volume/cadence) because trust-building is structural and non-repeatable — you build it once and then maintain it.</w:t>
      </w:r>
    </w:p>
    <w:p>
      <w:pPr>
        <w:spacing w:before="80" w:after="8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r>
              <w:rPr>
                <w:rFonts w:ascii="Arial" w:cs="Arial" w:eastAsia="Arial" w:hAnsi="Arial"/>
                <w:b/>
                <w:bCs/>
                <w:color w:val="FFFFFF"/>
                <w:sz w:val="20"/>
                <w:szCs w:val="20"/>
              </w:rPr>
              <w:t xml:space="preserve">Trust XP Action</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r>
              <w:rPr>
                <w:rFonts w:ascii="Arial" w:cs="Arial" w:eastAsia="Arial" w:hAnsi="Arial"/>
                <w:b/>
                <w:bCs/>
                <w:color w:val="FFFFFF"/>
                <w:sz w:val="20"/>
                <w:szCs w:val="20"/>
              </w:rPr>
              <w:t xml:space="preserve">XP Value</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r>
              <w:rPr>
                <w:rFonts w:ascii="Arial" w:cs="Arial" w:eastAsia="Arial" w:hAnsi="Arial"/>
                <w:b/>
                <w:bCs/>
                <w:color w:val="FFFFFF"/>
                <w:sz w:val="20"/>
                <w:szCs w:val="20"/>
              </w:rPr>
              <w:t xml:space="preserve">Why It Earns</w:t>
            </w:r>
          </w:p>
        </w:tc>
      </w:tr>
      <w:tr>
        <w:tc>
          <w:tcPr>
            <w:tcW w:type="dxa" w:w="32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Publish Editorial Policy page (attorney-reviewed)</w:t>
            </w:r>
          </w:p>
        </w:tc>
        <w:tc>
          <w:tcPr>
            <w:tcW w:type="dxa" w:w="22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w:t>
            </w:r>
          </w:p>
        </w:tc>
        <w:tc>
          <w:tcPr>
            <w:tcW w:type="dxa" w:w="396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Launch blocker removed. EEAT foundation created.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Publish Medical Review Policy page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EEAT foundation. Required before any Tier 2+ content goes live.</w:t>
            </w:r>
          </w:p>
        </w:tc>
      </w:tr>
      <w:tr>
        <w:tc>
          <w:tcPr>
            <w:tcW w:type="dxa" w:w="32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Publish anonymized case study / denial outcome story</w:t>
            </w:r>
          </w:p>
        </w:tc>
        <w:tc>
          <w:tcPr>
            <w:tcW w:type="dxa" w:w="22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Medium</w:t>
            </w:r>
          </w:p>
        </w:tc>
        <w:tc>
          <w:tcPr>
            <w:tcW w:type="dxa" w:w="396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Experience layer. Differentiates from competitors.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 EEAT automated pre-check script deployment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Removes manual review bottleneck. Scales the trust system.</w:t>
            </w:r>
          </w:p>
        </w:tc>
      </w:tr>
      <w:tr>
        <w:tc>
          <w:tcPr>
            <w:tcW w:type="dxa" w:w="32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First 25 pages with review log entries created</w:t>
            </w:r>
          </w:p>
        </w:tc>
        <w:tc>
          <w:tcPr>
            <w:tcW w:type="dxa" w:w="22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Milestone bonus</w:t>
            </w:r>
          </w:p>
        </w:tc>
        <w:tc>
          <w:tcPr>
            <w:tcW w:type="dxa" w:w="396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Audit trail established. Survives manual review.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Backlink earned from patient advocacy organization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 (per link)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Authoritativeness signal. Hard to fake, compounding value.</w:t>
            </w:r>
          </w:p>
        </w:tc>
      </w:tr>
      <w:tr>
        <w:tc>
          <w:tcPr>
            <w:tcW w:type="dxa" w:w="32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Quarterly EEAT audit completed (review all trust pages)</w:t>
            </w:r>
          </w:p>
        </w:tc>
        <w:tc>
          <w:tcPr>
            <w:tcW w:type="dxa" w:w="22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Operating XP</w:t>
            </w:r>
          </w:p>
        </w:tc>
        <w:tc>
          <w:tcPr>
            <w:tcW w:type="dxa" w:w="396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Trust maintenance, not just trust creation.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Kate review session logged for the month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Compounding XP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Keeps the clinical review function active and verifiable.</w:t>
            </w:r>
          </w:p>
        </w:tc>
      </w:tr>
    </w:tbl>
    <w:p>
      <w:pPr>
        <w:spacing w:before="80" w:after="80"/>
      </w:pPr>
      <w:r>
        <w:rPr>
          <w:rFonts w:ascii="Arial" w:cs="Arial" w:eastAsia="Arial" w:hAnsi="Arial"/>
          <w:b w:val="false"/>
          <w:bCs w:val="false"/>
          <w:i w:val="false"/>
          <w:iCs w:val="false"/>
          <w:color w:val="000000"/>
          <w:sz w:val="20"/>
          <w:szCs w:val="20"/>
        </w:rPr>
        <w:t xml:space="preserve"/>
      </w:r>
    </w:p>
    <w:p>
      <w:pPr>
        <w:pStyle w:val="Heading2"/>
        <w:spacing w:before="240" w:after="120"/>
      </w:pPr>
      <w:r>
        <w:rPr>
          <w:rFonts w:ascii="Arial" w:cs="Arial" w:eastAsia="Arial" w:hAnsi="Arial"/>
          <w:b/>
          <w:bCs/>
          <w:color w:val="1A5276"/>
          <w:sz w:val="28"/>
          <w:szCs w:val="28"/>
        </w:rPr>
        <w:t xml:space="preserve">7.2 Discipline XP — EEAT Protection</w:t>
      </w:r>
    </w:p>
    <w:p>
      <w:pPr>
        <w:spacing w:before="80" w:after="80"/>
      </w:pPr>
      <w:r>
        <w:rPr>
          <w:rFonts w:ascii="Arial" w:cs="Arial" w:eastAsia="Arial" w:hAnsi="Arial"/>
          <w:b w:val="false"/>
          <w:bCs w:val="false"/>
          <w:i w:val="false"/>
          <w:iCs w:val="false"/>
          <w:color w:val="000000"/>
          <w:sz w:val="20"/>
          <w:szCs w:val="20"/>
        </w:rPr>
        <w:t xml:space="preserve">The existing gamification system awards Discipline XP for not breaking Launch Truth and not pulling backlog items forward. Add the following EEAT protection triggers:</w:t>
      </w:r>
    </w:p>
    <w:p>
      <w:pPr>
        <w:pStyle w:val="ListParagraph"/>
        <w:numPr>
          <w:ilvl w:val="0"/>
          <w:numId w:val="2"/>
        </w:numPr>
        <w:spacing w:before="40" w:after="40"/>
      </w:pPr>
      <w:r>
        <w:rPr>
          <w:rFonts w:ascii="Arial" w:cs="Arial" w:eastAsia="Arial" w:hAnsi="Arial"/>
          <w:b w:val="false"/>
          <w:bCs w:val="false"/>
          <w:color w:val="000000"/>
          <w:sz w:val="20"/>
          <w:szCs w:val="20"/>
        </w:rPr>
        <w:t xml:space="preserve">Discipline XP awarded when a page is correctly rejected by the pre-publish automated gate (system working as designed)</w:t>
      </w:r>
    </w:p>
    <w:p>
      <w:pPr>
        <w:pStyle w:val="ListParagraph"/>
        <w:numPr>
          <w:ilvl w:val="0"/>
          <w:numId w:val="2"/>
        </w:numPr>
        <w:spacing w:before="40" w:after="40"/>
      </w:pPr>
      <w:r>
        <w:rPr>
          <w:rFonts w:ascii="Arial" w:cs="Arial" w:eastAsia="Arial" w:hAnsi="Arial"/>
          <w:b w:val="false"/>
          <w:bCs w:val="false"/>
          <w:color w:val="000000"/>
          <w:sz w:val="20"/>
          <w:szCs w:val="20"/>
        </w:rPr>
        <w:t xml:space="preserve">Discipline XP awarded when a Tier 3 page is correctly held for attorney review rather than published under time pressure</w:t>
      </w:r>
    </w:p>
    <w:p>
      <w:pPr>
        <w:pStyle w:val="ListParagraph"/>
        <w:numPr>
          <w:ilvl w:val="0"/>
          <w:numId w:val="2"/>
        </w:numPr>
        <w:spacing w:before="40" w:after="40"/>
      </w:pPr>
      <w:r>
        <w:rPr>
          <w:rFonts w:ascii="Arial" w:cs="Arial" w:eastAsia="Arial" w:hAnsi="Arial"/>
          <w:b w:val="false"/>
          <w:bCs w:val="false"/>
          <w:color w:val="000000"/>
          <w:sz w:val="20"/>
          <w:szCs w:val="20"/>
        </w:rPr>
        <w:t xml:space="preserve">Discipline XP awarded for flagging and pulling a published page for refresh when a source policy change is detected — even if it reduces visible page count</w:t>
      </w:r>
    </w:p>
    <w:p>
      <w:pPr>
        <w:spacing w:before="80" w:after="80"/>
      </w:pPr>
      <w:r>
        <w:rPr>
          <w:rFonts w:ascii="Arial" w:cs="Arial" w:eastAsia="Arial" w:hAnsi="Arial"/>
          <w:b w:val="false"/>
          <w:bCs w:val="false"/>
          <w:i w:val="false"/>
          <w:iCs w:val="false"/>
          <w:color w:val="000000"/>
          <w:sz w:val="20"/>
          <w:szCs w:val="20"/>
        </w:rPr>
        <w:t xml:space="preserve"/>
      </w:r>
    </w:p>
    <w:p>
      <w:pPr>
        <w:pStyle w:val="Heading2"/>
        <w:spacing w:before="240" w:after="120"/>
      </w:pPr>
      <w:r>
        <w:rPr>
          <w:rFonts w:ascii="Arial" w:cs="Arial" w:eastAsia="Arial" w:hAnsi="Arial"/>
          <w:b/>
          <w:bCs/>
          <w:color w:val="1A5276"/>
          <w:sz w:val="28"/>
          <w:szCs w:val="28"/>
        </w:rPr>
        <w:t xml:space="preserve">7.3 Milestone Triggers With EEAT Components</w:t>
      </w:r>
    </w:p>
    <w:p>
      <w:pPr>
        <w:spacing w:before="80" w:after="80"/>
      </w:pPr>
      <w:r>
        <w:rPr>
          <w:rFonts w:ascii="Arial" w:cs="Arial" w:eastAsia="Arial" w:hAnsi="Arial"/>
          <w:b w:val="false"/>
          <w:bCs w:val="false"/>
          <w:i w:val="false"/>
          <w:iCs w:val="false"/>
          <w:color w:val="000000"/>
          <w:sz w:val="20"/>
          <w:szCs w:val="20"/>
        </w:rPr>
        <w:t xml:space="preserve">Integrate EEAT readiness into existing milestone definitions. Existing milestones should not unlock unless EEAT prerequisites are met:</w:t>
      </w:r>
    </w:p>
    <w:p>
      <w:pPr>
        <w:spacing w:before="80" w:after="8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r>
              <w:rPr>
                <w:rFonts w:ascii="Arial" w:cs="Arial" w:eastAsia="Arial" w:hAnsi="Arial"/>
                <w:b/>
                <w:bCs/>
                <w:color w:val="FFFFFF"/>
                <w:sz w:val="20"/>
                <w:szCs w:val="20"/>
              </w:rPr>
              <w:t xml:space="preserve">Existing Milestone</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r>
              <w:rPr>
                <w:rFonts w:ascii="Arial" w:cs="Arial" w:eastAsia="Arial" w:hAnsi="Arial"/>
                <w:b/>
                <w:bCs/>
                <w:color w:val="FFFFFF"/>
                <w:sz w:val="20"/>
                <w:szCs w:val="20"/>
              </w:rPr>
              <w:t xml:space="preserve">EEAT Prerequisite Before Milestone Counts</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Launch foundation complete</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Trust infrastructure pages live (About, Editorial Policy, Medical Review Policy, Disclaimer) — all attorney-reviewed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First 10 articles published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All 10 have review log entries, last-reviewed dates displayed, minimum 2 citations each, medical disclaimer present</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First complete denial-code wave</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Automated EEAT pre-check gate is live and all wave pages have passed it before human review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First verified signal-gate crossing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EEAT audit has been completed — all trust pages current, reviewer page accurate, no stale sources on top-25 pages</w:t>
            </w:r>
          </w:p>
        </w:tc>
      </w:tr>
    </w:tbl>
    <w:p>
      <w:pPr>
        <w:spacing w:before="80" w:after="80"/>
      </w:pPr>
      <w:r>
        <w:rPr>
          <w:rFonts w:ascii="Arial" w:cs="Arial" w:eastAsia="Arial" w:hAnsi="Arial"/>
          <w:b w:val="false"/>
          <w:bCs w:val="false"/>
          <w:i w:val="false"/>
          <w:iCs w:val="false"/>
          <w:color w:val="000000"/>
          <w:sz w:val="20"/>
          <w:szCs w:val="20"/>
        </w:rPr>
        <w:t xml:space="preserve"/>
      </w:r>
    </w:p>
    <w:p>
      <w:pPr>
        <w:pBdr>
          <w:bottom w:val="single" w:color="D5E8F0" w:sz="4" w:space="1"/>
        </w:pBdr>
        <w:spacing w:before="160" w:after="160"/>
      </w:pPr>
    </w:p>
    <w:p>
      <w:pPr>
        <w:pStyle w:val="Heading1"/>
        <w:spacing w:before="240" w:after="120"/>
      </w:pPr>
      <w:r>
        <w:rPr>
          <w:rFonts w:ascii="Arial" w:cs="Arial" w:eastAsia="Arial" w:hAnsi="Arial"/>
          <w:b/>
          <w:bCs/>
          <w:color w:val="1B4F72"/>
          <w:sz w:val="36"/>
          <w:szCs w:val="36"/>
        </w:rPr>
        <w:t xml:space="preserve">8. Automated Content Safeguards — The Full Stack</w:t>
      </w:r>
    </w:p>
    <w:p>
      <w:pPr>
        <w:spacing w:before="80" w:after="80"/>
      </w:pPr>
      <w:r>
        <w:rPr>
          <w:rFonts w:ascii="Arial" w:cs="Arial" w:eastAsia="Arial" w:hAnsi="Arial"/>
          <w:b w:val="false"/>
          <w:bCs w:val="false"/>
          <w:i w:val="false"/>
          <w:iCs w:val="false"/>
          <w:color w:val="000000"/>
          <w:sz w:val="20"/>
          <w:szCs w:val="20"/>
        </w:rPr>
        <w:t xml:space="preserve">The denial-code programmatic pipeline is one of the highest-volume and highest-YMYL-risk systems in the content engine. The safeguards need to be layered so that no page can exit the pipeline without having passed every gate.</w:t>
      </w:r>
    </w:p>
    <w:p>
      <w:pPr>
        <w:spacing w:before="80" w:after="80"/>
      </w:pPr>
      <w:r>
        <w:rPr>
          <w:rFonts w:ascii="Arial" w:cs="Arial" w:eastAsia="Arial" w:hAnsi="Arial"/>
          <w:b w:val="false"/>
          <w:bCs w:val="false"/>
          <w:i w:val="false"/>
          <w:iCs w:val="false"/>
          <w:color w:val="000000"/>
          <w:sz w:val="20"/>
          <w:szCs w:val="20"/>
        </w:rPr>
        <w:t xml:space="preserve"/>
      </w:r>
    </w:p>
    <w:p>
      <w:pPr>
        <w:pStyle w:val="Heading2"/>
        <w:spacing w:before="240" w:after="120"/>
      </w:pPr>
      <w:r>
        <w:rPr>
          <w:rFonts w:ascii="Arial" w:cs="Arial" w:eastAsia="Arial" w:hAnsi="Arial"/>
          <w:b/>
          <w:bCs/>
          <w:color w:val="1A5276"/>
          <w:sz w:val="28"/>
          <w:szCs w:val="28"/>
        </w:rPr>
        <w:t xml:space="preserve">8.1 The Five-Layer Automated Content Safety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200"/>
        <w:gridCol w:w="316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r>
              <w:rPr>
                <w:rFonts w:ascii="Arial" w:cs="Arial" w:eastAsia="Arial" w:hAnsi="Arial"/>
                <w:b/>
                <w:bCs/>
                <w:color w:val="FFFFFF"/>
                <w:sz w:val="20"/>
                <w:szCs w:val="20"/>
              </w:rPr>
              <w:t xml:space="preserve">Gate Name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r>
              <w:rPr>
                <w:rFonts w:ascii="Arial" w:cs="Arial" w:eastAsia="Arial" w:hAnsi="Arial"/>
                <w:b/>
                <w:bCs/>
                <w:color w:val="FFFFFF"/>
                <w:sz w:val="20"/>
                <w:szCs w:val="20"/>
              </w:rPr>
              <w:t xml:space="preserve">What It Checks</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r>
              <w:rPr>
                <w:rFonts w:ascii="Arial" w:cs="Arial" w:eastAsia="Arial" w:hAnsi="Arial"/>
                <w:b/>
                <w:bCs/>
                <w:color w:val="FFFFFF"/>
                <w:sz w:val="20"/>
                <w:szCs w:val="20"/>
              </w:rPr>
              <w:t xml:space="preserve">Fail Behavior</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Schema Completeness Gate</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All mandatory schema fields populated: title, tier, cluster, sources, disclaimer slot, reviewer slot, review date</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Return to drafting — no human review queue entry created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Citation Validity Gate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Minimum 2 citations present, source URLs respond (not 404), source domains are on approved list (CMS.gov, NIH, CDC, state .gov domains)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Flag for source replacement — page held in drafting</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Forbidden Claims Gate</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Pattern match against forbidden claim list (Section 6.2). Medical terminology scope check. Legal conclusion language detection.</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Return to drafting with specific flag noting which claim pattern triggered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Disclaimer Presence Gate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Medical disclaimer text block is present and matches approved template. Navigation/advocacy scope framing confirmed.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Inject disclaimer template automatically OR flag if context requires custom language</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Tier Routing Gate</w:t>
            </w:r>
          </w:p>
        </w:tc>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Tier classification confirmed. If Tier 3 triggers detected (state law, rights interpretation, statutory citation), escalate tier automatically regardless of original classification.</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Escalate to higher tier — do not silently pass through lower-tier review</w:t>
            </w:r>
          </w:p>
        </w:tc>
      </w:tr>
    </w:tbl>
    <w:p>
      <w:pPr>
        <w:spacing w:before="80" w:after="80"/>
      </w:pPr>
      <w:r>
        <w:rPr>
          <w:rFonts w:ascii="Arial" w:cs="Arial" w:eastAsia="Arial" w:hAnsi="Arial"/>
          <w:b w:val="false"/>
          <w:bCs w:val="false"/>
          <w:i w:val="false"/>
          <w:iCs w:val="false"/>
          <w:color w:val="000000"/>
          <w:sz w:val="20"/>
          <w:szCs w:val="20"/>
        </w:rPr>
        <w:t xml:space="preserve"/>
      </w:r>
    </w:p>
    <w:p>
      <w:pPr>
        <w:spacing w:before="80" w:after="80"/>
      </w:pPr>
      <w:r>
        <w:rPr>
          <w:rFonts w:ascii="Arial" w:cs="Arial" w:eastAsia="Arial" w:hAnsi="Arial"/>
          <w:b w:val="false"/>
          <w:bCs w:val="false"/>
          <w:i w:val="false"/>
          <w:iCs w:val="false"/>
          <w:color w:val="000000"/>
          <w:sz w:val="20"/>
          <w:szCs w:val="20"/>
        </w:rPr>
        <w:t xml:space="preserve">All five layers must return PASS before a page enters the human review queue. This stack is implemented in the n8n automation pipeline as a pre-review workflow node.</w:t>
      </w:r>
    </w:p>
    <w:p>
      <w:pPr>
        <w:spacing w:before="80" w:after="80"/>
      </w:pPr>
      <w:r>
        <w:rPr>
          <w:rFonts w:ascii="Arial" w:cs="Arial" w:eastAsia="Arial" w:hAnsi="Arial"/>
          <w:b w:val="false"/>
          <w:bCs w:val="false"/>
          <w:i w:val="false"/>
          <w:iCs w:val="false"/>
          <w:color w:val="000000"/>
          <w:sz w:val="20"/>
          <w:szCs w:val="20"/>
        </w:rPr>
        <w:t xml:space="preserve"/>
      </w:r>
    </w:p>
    <w:p>
      <w:pPr>
        <w:pStyle w:val="Heading2"/>
        <w:spacing w:before="240" w:after="120"/>
      </w:pPr>
      <w:r>
        <w:rPr>
          <w:rFonts w:ascii="Arial" w:cs="Arial" w:eastAsia="Arial" w:hAnsi="Arial"/>
          <w:b/>
          <w:bCs/>
          <w:color w:val="1A5276"/>
          <w:sz w:val="28"/>
          <w:szCs w:val="28"/>
        </w:rPr>
        <w:t xml:space="preserve">8.2 Are the Current Safeguards Enough?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pPr>
              <w:spacing w:before="60" w:after="40"/>
            </w:pPr>
            <w:r>
              <w:rPr>
                <w:rFonts w:ascii="Arial" w:cs="Arial" w:eastAsia="Arial" w:hAnsi="Arial"/>
                <w:b/>
                <w:bCs/>
                <w:color w:val="1B4F72"/>
                <w:sz w:val="20"/>
                <w:szCs w:val="20"/>
              </w:rPr>
              <w:t xml:space="preserve">Honest Assessment</w:t>
            </w:r>
          </w:p>
          <w:p>
            <w:pPr>
              <w:spacing w:before="40" w:after="60"/>
            </w:pPr>
            <w:r>
              <w:rPr>
                <w:rFonts w:ascii="Arial" w:cs="Arial" w:eastAsia="Arial" w:hAnsi="Arial"/>
                <w:sz w:val="20"/>
                <w:szCs w:val="20"/>
              </w:rPr>
              <w:t xml:space="preserve">The current safeguards are architecturally sound but not yet implemented. The three-tier review model, WIP caps, legal-safe editorial discipline, and attorney review for Tier 3 are the right controls. What is missing is: (1) automation of the pre-human-review gate, (2) the per-page audit trail, (3) the trust infrastructure pages, and (4) the credential verification documentation. The architecture passes. The execution is incomplete. No content should be published at scale until these gaps are closed.</w:t>
            </w:r>
          </w:p>
        </w:tc>
      </w:tr>
    </w:tbl>
    <w:p>
      <w:pPr>
        <w:spacing w:before="80" w:after="80"/>
      </w:pPr>
      <w:r>
        <w:rPr>
          <w:rFonts w:ascii="Arial" w:cs="Arial" w:eastAsia="Arial" w:hAnsi="Arial"/>
          <w:b w:val="false"/>
          <w:bCs w:val="false"/>
          <w:i w:val="false"/>
          <w:iCs w:val="false"/>
          <w:color w:val="000000"/>
          <w:sz w:val="20"/>
          <w:szCs w:val="20"/>
        </w:rPr>
        <w:t xml:space="preserve"/>
      </w:r>
    </w:p>
    <w:p>
      <w:pPr>
        <w:pBdr>
          <w:bottom w:val="single" w:color="D5E8F0" w:sz="4" w:space="1"/>
        </w:pBdr>
        <w:spacing w:before="160" w:after="160"/>
      </w:pPr>
    </w:p>
    <w:p>
      <w:pPr>
        <w:pStyle w:val="Heading1"/>
        <w:spacing w:before="240" w:after="120"/>
      </w:pPr>
      <w:r>
        <w:rPr>
          <w:rFonts w:ascii="Arial" w:cs="Arial" w:eastAsia="Arial" w:hAnsi="Arial"/>
          <w:b/>
          <w:bCs/>
          <w:color w:val="1B4F72"/>
          <w:sz w:val="36"/>
          <w:szCs w:val="36"/>
        </w:rPr>
        <w:t xml:space="preserve">9. EEAT Implementation Roadmap — Phase Integration</w:t>
      </w:r>
    </w:p>
    <w:p>
      <w:pPr>
        <w:spacing w:before="80" w:after="80"/>
      </w:pPr>
      <w:r>
        <w:rPr>
          <w:rFonts w:ascii="Arial" w:cs="Arial" w:eastAsia="Arial" w:hAnsi="Arial"/>
          <w:b w:val="false"/>
          <w:bCs w:val="false"/>
          <w:i w:val="false"/>
          <w:iCs w:val="false"/>
          <w:color w:val="000000"/>
          <w:sz w:val="20"/>
          <w:szCs w:val="20"/>
        </w:rPr>
        <w:t xml:space="preserve">The following table maps EEAT requirements to the existing phase structure so nothing competes with Launch Truth priorities.</w:t>
      </w:r>
    </w:p>
    <w:p>
      <w:pPr>
        <w:spacing w:before="80" w:after="8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200"/>
        <w:gridCol w:w="236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r>
              <w:rPr>
                <w:rFonts w:ascii="Arial" w:cs="Arial" w:eastAsia="Arial" w:hAnsi="Arial"/>
                <w:b/>
                <w:bCs/>
                <w:color w:val="FFFFFF"/>
                <w:sz w:val="20"/>
                <w:szCs w:val="20"/>
              </w:rPr>
              <w:t xml:space="preserve">EEAT Requirement</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r>
              <w:rPr>
                <w:rFonts w:ascii="Arial" w:cs="Arial" w:eastAsia="Arial" w:hAnsi="Arial"/>
                <w:b/>
                <w:bCs/>
                <w:color w:val="FFFFFF"/>
                <w:sz w:val="20"/>
                <w:szCs w:val="20"/>
              </w:rPr>
              <w:t xml:space="preserve">Action</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Phase 1
(Pre-Launch)</w:t>
            </w:r>
          </w:p>
        </w:tc>
        <w:tc>
          <w:tcPr>
            <w:tcW w:type="dxa" w:w="24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Trust infrastructure</w:t>
            </w:r>
          </w:p>
        </w:tc>
        <w:tc>
          <w:tcPr>
            <w:tcW w:type="dxa" w:w="32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Build and attorney-review all 7 trust pages. Create internal credential verification file for Kate. Draft medical disclaimer template.</w:t>
            </w:r>
          </w:p>
        </w:tc>
        <w:tc>
          <w:tcPr>
            <w:tcW w:type="dxa" w:w="236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NOT STARTED — Launch blocker</w:t>
            </w:r>
          </w:p>
        </w:tc>
      </w:tr>
      <w:tr>
        <w:tc>
          <w:tcPr>
            <w:tcW w:type="dxa" w:w="1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Phase 1
(Pre-Launch)</w:t>
            </w:r>
          </w:p>
        </w:tc>
        <w:tc>
          <w:tcPr>
            <w:tcW w:type="dxa" w:w="2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Content schema enforcement</w:t>
            </w:r>
          </w:p>
        </w:tc>
        <w:tc>
          <w:tcPr>
            <w:tcW w:type="dxa" w:w="3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Add mandatory EEAT fields to content schema. Build validation script that rejects incomplete pages.</w:t>
            </w:r>
          </w:p>
        </w:tc>
        <w:tc>
          <w:tcPr>
            <w:tcW w:type="dxa" w:w="2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NOT STARTED</w:t>
            </w:r>
          </w:p>
        </w:tc>
      </w:tr>
      <w:tr>
        <w:tc>
          <w:tcPr>
            <w:tcW w:type="dxa" w:w="14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Phase 1
(Pre-Launch)</w:t>
            </w:r>
          </w:p>
        </w:tc>
        <w:tc>
          <w:tcPr>
            <w:tcW w:type="dxa" w:w="24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Kate credential framing</w:t>
            </w:r>
          </w:p>
        </w:tc>
        <w:tc>
          <w:tcPr>
            <w:tcW w:type="dxa" w:w="32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Finalize LPN/LVN reviewer bio using Section 3.2 template. Have attorney review for accuracy.</w:t>
            </w:r>
          </w:p>
        </w:tc>
        <w:tc>
          <w:tcPr>
            <w:tcW w:type="dxa" w:w="236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NOT STARTED</w:t>
            </w:r>
          </w:p>
        </w:tc>
      </w:tr>
      <w:tr>
        <w:tc>
          <w:tcPr>
            <w:tcW w:type="dxa" w:w="1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Phase 2
(Tools + Content)</w:t>
            </w:r>
          </w:p>
        </w:tc>
        <w:tc>
          <w:tcPr>
            <w:tcW w:type="dxa" w:w="2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Automated EEAT gate</w:t>
            </w:r>
          </w:p>
        </w:tc>
        <w:tc>
          <w:tcPr>
            <w:tcW w:type="dxa" w:w="3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Deploy five-layer automated safety stack in n8n before first content wave. Test with 10 pages before scaling.</w:t>
            </w:r>
          </w:p>
        </w:tc>
        <w:tc>
          <w:tcPr>
            <w:tcW w:type="dxa" w:w="2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Planned (Phase 2)</w:t>
            </w:r>
          </w:p>
        </w:tc>
      </w:tr>
      <w:tr>
        <w:tc>
          <w:tcPr>
            <w:tcW w:type="dxa" w:w="14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Phase 2
(Tools + Content)</w:t>
            </w:r>
          </w:p>
        </w:tc>
        <w:tc>
          <w:tcPr>
            <w:tcW w:type="dxa" w:w="24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Review audit trail</w:t>
            </w:r>
          </w:p>
        </w:tc>
        <w:tc>
          <w:tcPr>
            <w:tcW w:type="dxa" w:w="32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Deploy AuditLog table and n8n workflow that creates per-page review records. Backfill for first 10 launch articles.</w:t>
            </w:r>
          </w:p>
        </w:tc>
        <w:tc>
          <w:tcPr>
            <w:tcW w:type="dxa" w:w="236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Planned (Phase 2)</w:t>
            </w:r>
          </w:p>
        </w:tc>
      </w:tr>
      <w:tr>
        <w:tc>
          <w:tcPr>
            <w:tcW w:type="dxa" w:w="1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Phase 2
(Tools + Content)</w:t>
            </w:r>
          </w:p>
        </w:tc>
        <w:tc>
          <w:tcPr>
            <w:tcW w:type="dxa" w:w="2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Experience layer content</w:t>
            </w:r>
          </w:p>
        </w:tc>
        <w:tc>
          <w:tcPr>
            <w:tcW w:type="dxa" w:w="3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Publish 3-5 anonymized case studies / denial outcome stories. Publish founder origin narrative (About page).</w:t>
            </w:r>
          </w:p>
        </w:tc>
        <w:tc>
          <w:tcPr>
            <w:tcW w:type="dxa" w:w="2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Planned (Phase 2)</w:t>
            </w:r>
          </w:p>
        </w:tc>
      </w:tr>
      <w:tr>
        <w:tc>
          <w:tcPr>
            <w:tcW w:type="dxa" w:w="14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Phase 3
(Traffic + Revenue)</w:t>
            </w:r>
          </w:p>
        </w:tc>
        <w:tc>
          <w:tcPr>
            <w:tcW w:type="dxa" w:w="24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Authoritativeness outreach</w:t>
            </w:r>
          </w:p>
        </w:tc>
        <w:tc>
          <w:tcPr>
            <w:tcW w:type="dxa" w:w="32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Activate patient advocacy org partnership outreach. Target 5 high-authority backlinks in first 6 months.</w:t>
            </w:r>
          </w:p>
        </w:tc>
        <w:tc>
          <w:tcPr>
            <w:tcW w:type="dxa" w:w="236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Phase 3 activation</w:t>
            </w:r>
          </w:p>
        </w:tc>
      </w:tr>
      <w:tr>
        <w:tc>
          <w:tcPr>
            <w:tcW w:type="dxa" w:w="1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Ongoing</w:t>
            </w:r>
          </w:p>
        </w:tc>
        <w:tc>
          <w:tcPr>
            <w:tcW w:type="dxa" w:w="24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Quarterly EEAT audit</w:t>
            </w:r>
          </w:p>
        </w:tc>
        <w:tc>
          <w:tcPr>
            <w:tcW w:type="dxa" w:w="32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Review all trust pages for accuracy. Check top-50 pages for stale sources. Verify Kate license is current. Update reviewer bio if credentials change.</w:t>
            </w:r>
          </w:p>
        </w:tc>
        <w:tc>
          <w:tcPr>
            <w:tcW w:type="dxa" w:w="2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Operating cadence</w:t>
            </w:r>
          </w:p>
        </w:tc>
      </w:tr>
    </w:tbl>
    <w:p>
      <w:pPr>
        <w:spacing w:before="80" w:after="80"/>
      </w:pPr>
      <w:r>
        <w:rPr>
          <w:rFonts w:ascii="Arial" w:cs="Arial" w:eastAsia="Arial" w:hAnsi="Arial"/>
          <w:b w:val="false"/>
          <w:bCs w:val="false"/>
          <w:i w:val="false"/>
          <w:iCs w:val="false"/>
          <w:color w:val="000000"/>
          <w:sz w:val="20"/>
          <w:szCs w:val="20"/>
        </w:rPr>
        <w:t xml:space="preserve"/>
      </w:r>
    </w:p>
    <w:p>
      <w:pPr>
        <w:pBdr>
          <w:bottom w:val="single" w:color="D5E8F0" w:sz="4" w:space="1"/>
        </w:pBdr>
        <w:spacing w:before="160" w:after="160"/>
      </w:pPr>
    </w:p>
    <w:p>
      <w:pPr>
        <w:pStyle w:val="Heading1"/>
        <w:spacing w:before="240" w:after="120"/>
      </w:pPr>
      <w:r>
        <w:rPr>
          <w:rFonts w:ascii="Arial" w:cs="Arial" w:eastAsia="Arial" w:hAnsi="Arial"/>
          <w:b/>
          <w:bCs/>
          <w:color w:val="1B4F72"/>
          <w:sz w:val="36"/>
          <w:szCs w:val="36"/>
        </w:rPr>
        <w:t xml:space="preserve">10. The Honest Competitive Picture</w:t>
      </w:r>
    </w:p>
    <w:p>
      <w:pPr>
        <w:spacing w:before="80" w:after="80"/>
      </w:pPr>
      <w:r>
        <w:rPr>
          <w:rFonts w:ascii="Arial" w:cs="Arial" w:eastAsia="Arial" w:hAnsi="Arial"/>
          <w:b w:val="false"/>
          <w:bCs w:val="false"/>
          <w:i w:val="false"/>
          <w:iCs w:val="false"/>
          <w:color w:val="000000"/>
          <w:sz w:val="20"/>
          <w:szCs w:val="20"/>
        </w:rPr>
        <w:t xml:space="preserve">The EEAT strategy report was correct on the competitive landscape: most insurance billing and denial-code sites have no clinical reviewers, thin citations, no editorial policy, and no refresh system. The bar to become the most trustworthy site in this niche is genuinely achievable.</w:t>
      </w:r>
    </w:p>
    <w:p>
      <w:pPr>
        <w:spacing w:before="80" w:after="80"/>
      </w:pPr>
      <w:r>
        <w:rPr>
          <w:rFonts w:ascii="Arial" w:cs="Arial" w:eastAsia="Arial" w:hAnsi="Arial"/>
          <w:b w:val="false"/>
          <w:bCs w:val="false"/>
          <w:i w:val="false"/>
          <w:iCs w:val="false"/>
          <w:color w:val="000000"/>
          <w:sz w:val="20"/>
          <w:szCs w:val="20"/>
        </w:rPr>
        <w:t xml:space="preserve"/>
      </w:r>
    </w:p>
    <w:p>
      <w:pPr>
        <w:spacing w:before="80" w:after="80"/>
      </w:pPr>
      <w:r>
        <w:rPr>
          <w:rFonts w:ascii="Arial" w:cs="Arial" w:eastAsia="Arial" w:hAnsi="Arial"/>
          <w:b w:val="false"/>
          <w:bCs w:val="false"/>
          <w:i w:val="false"/>
          <w:iCs w:val="false"/>
          <w:color w:val="000000"/>
          <w:sz w:val="20"/>
          <w:szCs w:val="20"/>
        </w:rPr>
        <w:t xml:space="preserve">The key insight is that MyAdvocate's YMYL constraint is actually a moat, not a burden — but only if the compliance architecture is built correctly from the start. Competitors who try to enter later will face the same compliance requirements with no existing infrastructure.</w:t>
      </w:r>
    </w:p>
    <w:p>
      <w:pPr>
        <w:spacing w:before="80" w:after="8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r>
              <w:rPr>
                <w:rFonts w:ascii="Arial" w:cs="Arial" w:eastAsia="Arial" w:hAnsi="Arial"/>
                <w:b/>
                <w:bCs/>
                <w:color w:val="FFFFFF"/>
                <w:sz w:val="20"/>
                <w:szCs w:val="20"/>
              </w:rPr>
              <w:t xml:space="preserve">Trust Dimension</w:t>
            </w:r>
          </w:p>
        </w:tc>
        <w:tc>
          <w:tcPr>
            <w:tcW w:type="dxa" w:w="29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r>
              <w:rPr>
                <w:rFonts w:ascii="Arial" w:cs="Arial" w:eastAsia="Arial" w:hAnsi="Arial"/>
                <w:b/>
                <w:bCs/>
                <w:color w:val="FFFFFF"/>
                <w:sz w:val="20"/>
                <w:szCs w:val="20"/>
              </w:rPr>
              <w:t xml:space="preserve">Typical Competitor</w:t>
            </w:r>
          </w:p>
        </w:tc>
        <w:tc>
          <w:tcPr>
            <w:tcW w:type="dxa" w:w="29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top"/>
          </w:tcPr>
          <w:p>
            <w:r>
              <w:rPr>
                <w:rFonts w:ascii="Arial" w:cs="Arial" w:eastAsia="Arial" w:hAnsi="Arial"/>
                <w:b/>
                <w:bCs/>
                <w:color w:val="FFFFFF"/>
                <w:sz w:val="20"/>
                <w:szCs w:val="20"/>
              </w:rPr>
              <w:t xml:space="preserve">MyAdvocate (when built)</w:t>
            </w:r>
          </w:p>
        </w:tc>
      </w:tr>
      <w:tr>
        <w:tc>
          <w:tcPr>
            <w:tcW w:type="dxa" w:w="3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Clinical reviewer</w:t>
            </w:r>
          </w:p>
        </w:tc>
        <w:tc>
          <w:tcPr>
            <w:tcW w:type="dxa" w:w="293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None</w:t>
            </w:r>
          </w:p>
        </w:tc>
        <w:tc>
          <w:tcPr>
            <w:tcW w:type="dxa" w:w="293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LPN/LVN with 20+ years + management background</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Editorial policy</w:t>
            </w:r>
          </w:p>
        </w:tc>
        <w:tc>
          <w:tcPr>
            <w:tcW w:type="dxa" w:w="293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None or boilerplate</w:t>
            </w:r>
          </w:p>
        </w:tc>
        <w:tc>
          <w:tcPr>
            <w:tcW w:type="dxa" w:w="293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Formal three-tier review system, documented and public</w:t>
            </w:r>
          </w:p>
        </w:tc>
      </w:tr>
      <w:tr>
        <w:tc>
          <w:tcPr>
            <w:tcW w:type="dxa" w:w="3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Attorney review</w:t>
            </w:r>
          </w:p>
        </w:tc>
        <w:tc>
          <w:tcPr>
            <w:tcW w:type="dxa" w:w="293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None</w:t>
            </w:r>
          </w:p>
        </w:tc>
        <w:tc>
          <w:tcPr>
            <w:tcW w:type="dxa" w:w="293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Required for all Tier 3 (state rights, legal content)</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Source discipline</w:t>
            </w:r>
          </w:p>
        </w:tc>
        <w:tc>
          <w:tcPr>
            <w:tcW w:type="dxa" w:w="293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Random blogs, vendor sites</w:t>
            </w:r>
          </w:p>
        </w:tc>
        <w:tc>
          <w:tcPr>
            <w:tcW w:type="dxa" w:w="293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CMS, NIH, CDC, state agencies only — enforced by automated gate</w:t>
            </w:r>
          </w:p>
        </w:tc>
      </w:tr>
      <w:tr>
        <w:tc>
          <w:tcPr>
            <w:tcW w:type="dxa" w:w="3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Refresh system</w:t>
            </w:r>
          </w:p>
        </w:tc>
        <w:tc>
          <w:tcPr>
            <w:tcW w:type="dxa" w:w="293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Publish and forget</w:t>
            </w:r>
          </w:p>
        </w:tc>
        <w:tc>
          <w:tcPr>
            <w:tcW w:type="dxa" w:w="293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Trigger-based monitoring agent with quarterly audits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Privacy architecture</w:t>
            </w:r>
          </w:p>
        </w:tc>
        <w:tc>
          <w:tcPr>
            <w:tcW w:type="dxa" w:w="293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Not a concern for most</w:t>
            </w:r>
          </w:p>
        </w:tc>
        <w:tc>
          <w:tcPr>
            <w:tcW w:type="dxa" w:w="293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Four-layer, architectural separation, no data monetization</w:t>
            </w:r>
          </w:p>
        </w:tc>
      </w:tr>
      <w:tr>
        <w:tc>
          <w:tcPr>
            <w:tcW w:type="dxa" w:w="35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Denied claim experience signal</w:t>
            </w:r>
          </w:p>
        </w:tc>
        <w:tc>
          <w:tcPr>
            <w:tcW w:type="dxa" w:w="293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None</w:t>
            </w:r>
          </w:p>
        </w:tc>
        <w:tc>
          <w:tcPr>
            <w:tcW w:type="dxa" w:w="293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 anonymized case studies, scenario-based content</w:t>
            </w:r>
          </w:p>
        </w:tc>
      </w:tr>
    </w:tbl>
    <w:p>
      <w:pPr>
        <w:spacing w:before="80" w:after="8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vAlign w:val="top"/>
          </w:tcPr>
          <w:p>
            <w:pPr>
              <w:spacing w:before="60" w:after="40"/>
            </w:pPr>
            <w:r>
              <w:rPr>
                <w:rFonts w:ascii="Arial" w:cs="Arial" w:eastAsia="Arial" w:hAnsi="Arial"/>
                <w:b/>
                <w:bCs/>
                <w:color w:val="1B4F72"/>
                <w:sz w:val="20"/>
                <w:szCs w:val="20"/>
              </w:rPr>
              <w:t xml:space="preserve">Strategic Summary</w:t>
            </w:r>
          </w:p>
          <w:p>
            <w:pPr>
              <w:spacing w:before="40" w:after="60"/>
            </w:pPr>
            <w:r>
              <w:rPr>
                <w:rFonts w:ascii="Arial" w:cs="Arial" w:eastAsia="Arial" w:hAnsi="Arial"/>
                <w:sz w:val="20"/>
                <w:szCs w:val="20"/>
              </w:rPr>
              <w:t xml:space="preserve">Build the trust infrastructure pages before any content goes live. Frame Kate accurately as LPN/LVN with management expertise — this is stronger than a misrepresented credential. Deploy the automated EEAT gate before scaling the denial-code program. Create the review audit trail. Then publish. In this order, the EEAT architecture becomes a genuine competitive moat.</w:t>
            </w:r>
          </w:p>
        </w:tc>
      </w:tr>
    </w:tbl>
    <w:p>
      <w:pPr>
        <w:spacing w:before="80" w:after="80"/>
      </w:pPr>
      <w:r>
        <w:rPr>
          <w:rFonts w:ascii="Arial" w:cs="Arial" w:eastAsia="Arial" w:hAnsi="Arial"/>
          <w:b w:val="false"/>
          <w:bCs w:val="false"/>
          <w:i w:val="false"/>
          <w:iCs w:val="false"/>
          <w:color w:val="000000"/>
          <w:sz w:val="20"/>
          <w:szCs w:val="20"/>
        </w:rPr>
        <w:t xml:space="preserve"/>
      </w:r>
    </w:p>
    <w:p>
      <w:pPr>
        <w:pBdr>
          <w:bottom w:val="single" w:color="D5E8F0" w:sz="4" w:space="1"/>
        </w:pBdr>
        <w:spacing w:before="160" w:after="160"/>
      </w:pPr>
    </w:p>
    <w:p>
      <w:pPr>
        <w:pStyle w:val="Heading1"/>
        <w:spacing w:before="240" w:after="120"/>
      </w:pPr>
      <w:r>
        <w:rPr>
          <w:rFonts w:ascii="Arial" w:cs="Arial" w:eastAsia="Arial" w:hAnsi="Arial"/>
          <w:b/>
          <w:bCs/>
          <w:color w:val="1B4F72"/>
          <w:sz w:val="36"/>
          <w:szCs w:val="36"/>
        </w:rPr>
        <w:t xml:space="preserve">11. Document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Document ID</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MA-EEAT-001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 — Initial audit and recommendations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Authority Status</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Supporting Anchor — SEO Family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Primary Anchor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MA-PMP-001 (strategic authority), MA-LCH-004 (Launch Truth)</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Related Documents</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SEO Publishing Workflow, Content Production Review Framework v2, Gamification System Integration Plan, Security Checklist Phase 10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Intended Use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Foundation document for EEAT implementation. Reference when designing any content workflow, reviewer system, or trust infrastructure page.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Review Required</w:t>
            </w:r>
          </w:p>
        </w:tc>
        <w:tc>
          <w:tcPr>
            <w:tcW w:type="dxa" w:w="6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Attorney review recommended before trust infrastructure pages are published. Kate should review clinical reviewer framing for accuracy.</w:t>
            </w:r>
          </w:p>
        </w:tc>
      </w:tr>
    </w:tbl>
    <w:p>
      <w:pPr>
        <w:spacing w:before="80" w:after="80"/>
      </w:pPr>
      <w:r>
        <w:rPr>
          <w:rFonts w:ascii="Arial" w:cs="Arial" w:eastAsia="Arial" w:hAnsi="Arial"/>
          <w:b w:val="false"/>
          <w:bCs w:val="false"/>
          <w:i w:val="false"/>
          <w:iCs w:val="false"/>
          <w:color w:val="000000"/>
          <w:sz w:val="20"/>
          <w:szCs w:val="20"/>
        </w:rPr>
        <w:t xml:space="preserve"/>
      </w:r>
    </w:p>
    <w:p>
      <w:pPr>
        <w:spacing w:before="80" w:after="80"/>
      </w:pPr>
      <w:r>
        <w:rPr>
          <w:rFonts w:ascii="Arial" w:cs="Arial" w:eastAsia="Arial" w:hAnsi="Arial"/>
          <w:b w:val="false"/>
          <w:bCs w:val="false"/>
          <w:i w:val="false"/>
          <w:iCs w:val="false"/>
          <w:color w:val="000000"/>
          <w:sz w:val="20"/>
          <w:szCs w:val="20"/>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A527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1F618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2026-03-12T20:17:44.704Z</dcterms:created>
  <dcterms:modified xsi:type="dcterms:W3CDTF">2026-03-12T20:17:44.705Z</dcterms:modified>
</cp:coreProperties>
</file>

<file path=docProps/custom.xml><?xml version="1.0" encoding="utf-8"?>
<Properties xmlns="http://schemas.openxmlformats.org/officeDocument/2006/custom-properties" xmlns:vt="http://schemas.openxmlformats.org/officeDocument/2006/docPropsVTypes"/>
</file>