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6A4" w:rsidRPr="003536A4" w:rsidRDefault="003536A4" w:rsidP="003536A4">
      <w:pPr>
        <w:widowControl/>
        <w:shd w:val="clear" w:color="auto" w:fill="FFFFFF"/>
        <w:spacing w:line="360" w:lineRule="atLeast"/>
        <w:jc w:val="left"/>
        <w:rPr>
          <w:rFonts w:ascii="宋体" w:eastAsia="宋体" w:hAnsi="宋体" w:cs="宋体"/>
          <w:b/>
          <w:bCs/>
          <w:color w:val="030000"/>
          <w:kern w:val="0"/>
          <w:sz w:val="30"/>
          <w:szCs w:val="30"/>
        </w:rPr>
      </w:pPr>
      <w:r w:rsidRPr="003536A4">
        <w:rPr>
          <w:rFonts w:ascii="宋体" w:eastAsia="宋体" w:hAnsi="宋体" w:cs="宋体" w:hint="eastAsia"/>
          <w:b/>
          <w:bCs/>
          <w:color w:val="030000"/>
          <w:kern w:val="0"/>
          <w:sz w:val="30"/>
          <w:szCs w:val="30"/>
        </w:rPr>
        <w:t>关于审理证券行政处罚案件证据若干问题的座谈会纪要</w:t>
      </w:r>
    </w:p>
    <w:p w:rsidR="003536A4" w:rsidRPr="003536A4" w:rsidRDefault="003536A4" w:rsidP="003536A4">
      <w:pPr>
        <w:widowControl/>
        <w:shd w:val="clear" w:color="auto" w:fill="FFFFFF"/>
        <w:spacing w:line="360" w:lineRule="atLeast"/>
        <w:jc w:val="left"/>
        <w:rPr>
          <w:rFonts w:ascii="宋体" w:eastAsia="宋体" w:hAnsi="宋体" w:cs="宋体" w:hint="eastAsia"/>
          <w:color w:val="71716A"/>
          <w:kern w:val="0"/>
          <w:sz w:val="18"/>
          <w:szCs w:val="18"/>
        </w:rPr>
      </w:pPr>
      <w:r w:rsidRPr="003536A4">
        <w:rPr>
          <w:rFonts w:ascii="宋体" w:eastAsia="宋体" w:hAnsi="宋体" w:cs="宋体" w:hint="eastAsia"/>
          <w:color w:val="71716A"/>
          <w:kern w:val="0"/>
          <w:sz w:val="18"/>
          <w:szCs w:val="18"/>
        </w:rPr>
        <w:t>作者：</w:t>
      </w:r>
    </w:p>
    <w:p w:rsidR="003536A4" w:rsidRPr="003536A4" w:rsidRDefault="003536A4" w:rsidP="003536A4">
      <w:pPr>
        <w:widowControl/>
        <w:shd w:val="clear" w:color="auto" w:fill="FFFFFF"/>
        <w:spacing w:line="360" w:lineRule="atLeast"/>
        <w:jc w:val="left"/>
        <w:rPr>
          <w:rFonts w:ascii="宋体" w:eastAsia="宋体" w:hAnsi="宋体" w:cs="宋体" w:hint="eastAsia"/>
          <w:color w:val="71716A"/>
          <w:kern w:val="0"/>
          <w:sz w:val="18"/>
          <w:szCs w:val="18"/>
        </w:rPr>
      </w:pPr>
      <w:r w:rsidRPr="003536A4">
        <w:rPr>
          <w:rFonts w:ascii="宋体" w:eastAsia="宋体" w:hAnsi="宋体" w:cs="宋体" w:hint="eastAsia"/>
          <w:color w:val="71716A"/>
          <w:kern w:val="0"/>
          <w:sz w:val="18"/>
          <w:szCs w:val="18"/>
        </w:rPr>
        <w:t>来源：中国证券报·中</w:t>
      </w:r>
      <w:proofErr w:type="gramStart"/>
      <w:r w:rsidRPr="003536A4">
        <w:rPr>
          <w:rFonts w:ascii="宋体" w:eastAsia="宋体" w:hAnsi="宋体" w:cs="宋体" w:hint="eastAsia"/>
          <w:color w:val="71716A"/>
          <w:kern w:val="0"/>
          <w:sz w:val="18"/>
          <w:szCs w:val="18"/>
        </w:rPr>
        <w:t xml:space="preserve">证网　　</w:t>
      </w:r>
      <w:proofErr w:type="gramEnd"/>
      <w:r w:rsidRPr="003536A4">
        <w:rPr>
          <w:rFonts w:ascii="宋体" w:eastAsia="宋体" w:hAnsi="宋体" w:cs="宋体" w:hint="eastAsia"/>
          <w:color w:val="71716A"/>
          <w:kern w:val="0"/>
          <w:sz w:val="18"/>
          <w:szCs w:val="18"/>
        </w:rPr>
        <w:t>2011-09-30 07:13:00</w:t>
      </w:r>
    </w:p>
    <w:p w:rsidR="003536A4" w:rsidRPr="003536A4" w:rsidRDefault="003536A4" w:rsidP="003536A4">
      <w:pPr>
        <w:widowControl/>
        <w:shd w:val="clear" w:color="auto" w:fill="FFFFFF"/>
        <w:spacing w:line="360" w:lineRule="atLeast"/>
        <w:jc w:val="left"/>
        <w:rPr>
          <w:rFonts w:ascii="宋体" w:eastAsia="宋体" w:hAnsi="宋体" w:cs="宋体" w:hint="eastAsia"/>
          <w:color w:val="71716A"/>
          <w:kern w:val="0"/>
          <w:sz w:val="18"/>
          <w:szCs w:val="18"/>
        </w:rPr>
      </w:pPr>
      <w:r w:rsidRPr="003536A4">
        <w:rPr>
          <w:rFonts w:ascii="宋体" w:eastAsia="宋体" w:hAnsi="宋体" w:cs="宋体" w:hint="eastAsia"/>
          <w:color w:val="71716A"/>
          <w:kern w:val="0"/>
          <w:sz w:val="18"/>
          <w:szCs w:val="18"/>
        </w:rPr>
        <w:t>【大小：</w:t>
      </w:r>
      <w:hyperlink r:id="rId6" w:tgtFrame="_self" w:history="1">
        <w:r w:rsidRPr="003536A4">
          <w:rPr>
            <w:rFonts w:ascii="宋体" w:eastAsia="宋体" w:hAnsi="宋体" w:cs="宋体" w:hint="eastAsia"/>
            <w:color w:val="08587F"/>
            <w:kern w:val="0"/>
            <w:sz w:val="18"/>
            <w:szCs w:val="18"/>
            <w:u w:val="single"/>
          </w:rPr>
          <w:t>＋</w:t>
        </w:r>
      </w:hyperlink>
      <w:r w:rsidRPr="003536A4">
        <w:rPr>
          <w:rFonts w:ascii="宋体" w:eastAsia="宋体" w:hAnsi="宋体" w:cs="宋体" w:hint="eastAsia"/>
          <w:color w:val="71716A"/>
          <w:kern w:val="0"/>
          <w:sz w:val="18"/>
          <w:szCs w:val="18"/>
        </w:rPr>
        <w:t> </w:t>
      </w:r>
      <w:hyperlink r:id="rId7" w:tgtFrame="_self" w:history="1">
        <w:r w:rsidRPr="003536A4">
          <w:rPr>
            <w:rFonts w:ascii="宋体" w:eastAsia="宋体" w:hAnsi="宋体" w:cs="宋体" w:hint="eastAsia"/>
            <w:color w:val="08587F"/>
            <w:kern w:val="0"/>
            <w:sz w:val="18"/>
            <w:szCs w:val="18"/>
            <w:u w:val="single"/>
          </w:rPr>
          <w:t>－</w:t>
        </w:r>
      </w:hyperlink>
      <w:r w:rsidRPr="003536A4">
        <w:rPr>
          <w:rFonts w:ascii="宋体" w:eastAsia="宋体" w:hAnsi="宋体" w:cs="宋体" w:hint="eastAsia"/>
          <w:color w:val="71716A"/>
          <w:kern w:val="0"/>
          <w:sz w:val="18"/>
          <w:szCs w:val="18"/>
        </w:rPr>
        <w:t>】【</w:t>
      </w:r>
      <w:hyperlink r:id="rId8" w:tgtFrame="_self" w:history="1">
        <w:r w:rsidRPr="003536A4">
          <w:rPr>
            <w:rFonts w:ascii="宋体" w:eastAsia="宋体" w:hAnsi="宋体" w:cs="宋体" w:hint="eastAsia"/>
            <w:color w:val="08587F"/>
            <w:kern w:val="0"/>
            <w:sz w:val="18"/>
            <w:szCs w:val="18"/>
            <w:u w:val="single"/>
          </w:rPr>
          <w:t>打印</w:t>
        </w:r>
      </w:hyperlink>
      <w:r w:rsidRPr="003536A4">
        <w:rPr>
          <w:rFonts w:ascii="宋体" w:eastAsia="宋体" w:hAnsi="宋体" w:cs="宋体" w:hint="eastAsia"/>
          <w:color w:val="71716A"/>
          <w:kern w:val="0"/>
          <w:sz w:val="18"/>
          <w:szCs w:val="18"/>
        </w:rPr>
        <w:t>】【</w:t>
      </w:r>
      <w:hyperlink r:id="rId9" w:anchor="pinglun" w:tgtFrame="_self" w:history="1">
        <w:r w:rsidRPr="003536A4">
          <w:rPr>
            <w:rFonts w:ascii="宋体" w:eastAsia="宋体" w:hAnsi="宋体" w:cs="宋体" w:hint="eastAsia"/>
            <w:color w:val="08587F"/>
            <w:kern w:val="0"/>
            <w:sz w:val="18"/>
            <w:szCs w:val="18"/>
            <w:u w:val="single"/>
          </w:rPr>
          <w:t>评论</w:t>
        </w:r>
      </w:hyperlink>
      <w:r w:rsidRPr="003536A4">
        <w:rPr>
          <w:rFonts w:ascii="宋体" w:eastAsia="宋体" w:hAnsi="宋体" w:cs="宋体" w:hint="eastAsia"/>
          <w:color w:val="71716A"/>
          <w:kern w:val="0"/>
          <w:sz w:val="18"/>
          <w:szCs w:val="18"/>
        </w:rPr>
        <w:t>】</w:t>
      </w:r>
    </w:p>
    <w:p w:rsidR="003536A4" w:rsidRPr="003536A4" w:rsidRDefault="003536A4" w:rsidP="003536A4">
      <w:pPr>
        <w:widowControl/>
        <w:shd w:val="clear" w:color="auto" w:fill="FFFFFF"/>
        <w:spacing w:line="330" w:lineRule="atLeast"/>
        <w:jc w:val="left"/>
        <w:outlineLvl w:val="4"/>
        <w:rPr>
          <w:rFonts w:ascii="宋体" w:eastAsia="宋体" w:hAnsi="宋体" w:cs="宋体" w:hint="eastAsia"/>
          <w:b/>
          <w:bCs/>
          <w:color w:val="972E4D"/>
          <w:kern w:val="0"/>
          <w:szCs w:val="21"/>
        </w:rPr>
      </w:pPr>
      <w:r w:rsidRPr="003536A4">
        <w:rPr>
          <w:rFonts w:ascii="宋体" w:eastAsia="宋体" w:hAnsi="宋体" w:cs="宋体" w:hint="eastAsia"/>
          <w:b/>
          <w:bCs/>
          <w:color w:val="972E4D"/>
          <w:kern w:val="0"/>
          <w:szCs w:val="21"/>
        </w:rPr>
        <w:t>财经时评：</w:t>
      </w:r>
    </w:p>
    <w:p w:rsidR="003536A4" w:rsidRPr="003536A4" w:rsidRDefault="003536A4" w:rsidP="003536A4">
      <w:pPr>
        <w:widowControl/>
        <w:numPr>
          <w:ilvl w:val="0"/>
          <w:numId w:val="1"/>
        </w:numPr>
        <w:shd w:val="clear" w:color="auto" w:fill="FFFFFF"/>
        <w:spacing w:before="75" w:line="330" w:lineRule="atLeast"/>
        <w:ind w:left="0"/>
        <w:jc w:val="left"/>
        <w:rPr>
          <w:rFonts w:ascii="宋体" w:eastAsia="宋体" w:hAnsi="宋体" w:cs="宋体" w:hint="eastAsia"/>
          <w:b/>
          <w:bCs/>
          <w:color w:val="08587F"/>
          <w:kern w:val="0"/>
          <w:szCs w:val="21"/>
        </w:rPr>
      </w:pPr>
      <w:hyperlink r:id="rId10" w:history="1">
        <w:r w:rsidRPr="003536A4">
          <w:rPr>
            <w:rFonts w:ascii="宋体" w:eastAsia="宋体" w:hAnsi="宋体" w:cs="宋体" w:hint="eastAsia"/>
            <w:color w:val="08587F"/>
            <w:kern w:val="0"/>
            <w:szCs w:val="21"/>
            <w:u w:val="single"/>
          </w:rPr>
          <w:t>新兴</w:t>
        </w:r>
        <w:proofErr w:type="gramStart"/>
        <w:r w:rsidRPr="003536A4">
          <w:rPr>
            <w:rFonts w:ascii="宋体" w:eastAsia="宋体" w:hAnsi="宋体" w:cs="宋体" w:hint="eastAsia"/>
            <w:color w:val="08587F"/>
            <w:kern w:val="0"/>
            <w:szCs w:val="21"/>
            <w:u w:val="single"/>
          </w:rPr>
          <w:t>市场须筑防火墙</w:t>
        </w:r>
        <w:proofErr w:type="gramEnd"/>
      </w:hyperlink>
    </w:p>
    <w:p w:rsidR="003536A4" w:rsidRPr="003536A4" w:rsidRDefault="003536A4" w:rsidP="003536A4">
      <w:pPr>
        <w:widowControl/>
        <w:numPr>
          <w:ilvl w:val="0"/>
          <w:numId w:val="1"/>
        </w:numPr>
        <w:shd w:val="clear" w:color="auto" w:fill="FFFFFF"/>
        <w:spacing w:before="75" w:line="330" w:lineRule="atLeast"/>
        <w:ind w:left="0"/>
        <w:jc w:val="left"/>
        <w:rPr>
          <w:rFonts w:ascii="宋体" w:eastAsia="宋体" w:hAnsi="宋体" w:cs="宋体" w:hint="eastAsia"/>
          <w:b/>
          <w:bCs/>
          <w:color w:val="08587F"/>
          <w:kern w:val="0"/>
          <w:szCs w:val="21"/>
        </w:rPr>
      </w:pPr>
      <w:hyperlink r:id="rId11" w:history="1">
        <w:r w:rsidRPr="003536A4">
          <w:rPr>
            <w:rFonts w:ascii="宋体" w:eastAsia="宋体" w:hAnsi="宋体" w:cs="宋体" w:hint="eastAsia"/>
            <w:color w:val="08587F"/>
            <w:kern w:val="0"/>
            <w:szCs w:val="21"/>
            <w:u w:val="single"/>
          </w:rPr>
          <w:t>新兴市场需警惕 资金大进大出冲击</w:t>
        </w:r>
      </w:hyperlink>
    </w:p>
    <w:p w:rsidR="003536A4" w:rsidRPr="003536A4" w:rsidRDefault="003536A4" w:rsidP="003536A4">
      <w:pPr>
        <w:widowControl/>
        <w:numPr>
          <w:ilvl w:val="0"/>
          <w:numId w:val="1"/>
        </w:numPr>
        <w:shd w:val="clear" w:color="auto" w:fill="FFFFFF"/>
        <w:spacing w:before="75" w:line="330" w:lineRule="atLeast"/>
        <w:ind w:left="0"/>
        <w:jc w:val="left"/>
        <w:rPr>
          <w:rFonts w:ascii="宋体" w:eastAsia="宋体" w:hAnsi="宋体" w:cs="宋体" w:hint="eastAsia"/>
          <w:b/>
          <w:bCs/>
          <w:color w:val="08587F"/>
          <w:kern w:val="0"/>
          <w:szCs w:val="21"/>
        </w:rPr>
      </w:pPr>
      <w:hyperlink r:id="rId12" w:history="1">
        <w:r w:rsidRPr="003536A4">
          <w:rPr>
            <w:rFonts w:ascii="宋体" w:eastAsia="宋体" w:hAnsi="宋体" w:cs="宋体" w:hint="eastAsia"/>
            <w:color w:val="08587F"/>
            <w:kern w:val="0"/>
            <w:szCs w:val="21"/>
            <w:u w:val="single"/>
          </w:rPr>
          <w:t>“银十”楼价温跌成趋势</w:t>
        </w:r>
      </w:hyperlink>
    </w:p>
    <w:p w:rsidR="003536A4" w:rsidRPr="003536A4" w:rsidRDefault="003536A4" w:rsidP="003536A4">
      <w:pPr>
        <w:widowControl/>
        <w:numPr>
          <w:ilvl w:val="0"/>
          <w:numId w:val="1"/>
        </w:numPr>
        <w:shd w:val="clear" w:color="auto" w:fill="FFFFFF"/>
        <w:spacing w:before="75" w:line="330" w:lineRule="atLeast"/>
        <w:ind w:left="0"/>
        <w:jc w:val="left"/>
        <w:rPr>
          <w:rFonts w:ascii="宋体" w:eastAsia="宋体" w:hAnsi="宋体" w:cs="宋体" w:hint="eastAsia"/>
          <w:b/>
          <w:bCs/>
          <w:color w:val="08587F"/>
          <w:kern w:val="0"/>
          <w:szCs w:val="21"/>
        </w:rPr>
      </w:pPr>
      <w:hyperlink r:id="rId13" w:history="1">
        <w:r w:rsidRPr="003536A4">
          <w:rPr>
            <w:rFonts w:ascii="宋体" w:eastAsia="宋体" w:hAnsi="宋体" w:cs="宋体" w:hint="eastAsia"/>
            <w:color w:val="08587F"/>
            <w:kern w:val="0"/>
            <w:szCs w:val="21"/>
            <w:u w:val="single"/>
          </w:rPr>
          <w:t>紧俏的新疆拾花工</w:t>
        </w:r>
      </w:hyperlink>
    </w:p>
    <w:p w:rsidR="003536A4" w:rsidRPr="003536A4" w:rsidRDefault="003536A4" w:rsidP="003536A4">
      <w:pPr>
        <w:widowControl/>
        <w:numPr>
          <w:ilvl w:val="0"/>
          <w:numId w:val="1"/>
        </w:numPr>
        <w:shd w:val="clear" w:color="auto" w:fill="FFFFFF"/>
        <w:spacing w:before="75" w:line="330" w:lineRule="atLeast"/>
        <w:ind w:left="0"/>
        <w:jc w:val="left"/>
        <w:rPr>
          <w:rFonts w:ascii="宋体" w:eastAsia="宋体" w:hAnsi="宋体" w:cs="宋体" w:hint="eastAsia"/>
          <w:b/>
          <w:bCs/>
          <w:color w:val="08587F"/>
          <w:kern w:val="0"/>
          <w:szCs w:val="21"/>
        </w:rPr>
      </w:pPr>
      <w:hyperlink r:id="rId14" w:history="1">
        <w:r w:rsidRPr="003536A4">
          <w:rPr>
            <w:rFonts w:ascii="宋体" w:eastAsia="宋体" w:hAnsi="宋体" w:cs="宋体" w:hint="eastAsia"/>
            <w:color w:val="08587F"/>
            <w:kern w:val="0"/>
            <w:szCs w:val="21"/>
            <w:u w:val="single"/>
          </w:rPr>
          <w:t>开发商“强销”急出货</w:t>
        </w:r>
      </w:hyperlink>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为进一步完善证券行政处罚案件的证据规则，推动证券监管机构依法行政，保护广大投资者合法权益，促进资本市场健康发展，最高人民法院对证券行政处罚案件证据运用中存在的突出问题进行了专题调研，在充分听取有关法院和部门意见并反复论证的基础上，根据《中华人民共和国行政诉讼法》、《中华人民共和国行政处罚法》和《中华人民共和国证券法》等法律规定，起草了证券行政处罚案件中有关证据问题的意见。2011年6月23日，最高人民法院会同有关部门在北京召开专题座谈会，对证券行政处罚案件中有关证据审查认定等问题形成共识。现将有关内容纪要如下：</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一、关于证券行政处罚案件的举证问题</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会议认为，监管机构根据行政诉讼法第三十二条、最高人民法院《关于行政诉讼证据若干问题的规定》第一条的规定，对</w:t>
      </w:r>
      <w:proofErr w:type="gramStart"/>
      <w:r w:rsidRPr="003536A4">
        <w:rPr>
          <w:rFonts w:ascii="宋体" w:eastAsia="宋体" w:hAnsi="宋体" w:cs="宋体" w:hint="eastAsia"/>
          <w:color w:val="333333"/>
          <w:kern w:val="0"/>
          <w:szCs w:val="21"/>
        </w:rPr>
        <w:t>作出</w:t>
      </w:r>
      <w:proofErr w:type="gramEnd"/>
      <w:r w:rsidRPr="003536A4">
        <w:rPr>
          <w:rFonts w:ascii="宋体" w:eastAsia="宋体" w:hAnsi="宋体" w:cs="宋体" w:hint="eastAsia"/>
          <w:color w:val="333333"/>
          <w:kern w:val="0"/>
          <w:szCs w:val="21"/>
        </w:rPr>
        <w:t>的被诉行政处罚决定承担举证责任。人民法院在审理证券行政处罚案件时，也应当考虑到部分类型的证券违法行为的特殊性，由监管机构承担主要违法事实的证明责任，通过推定的方式适当向原告、第三人转移部分特定事实的证明责任。</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监管机构在听证程序中书面明确告知行政相对人享有提供排除其涉嫌违法行为证据的权利，行政相对人能够提供但无正当理由拒不提供，后又在诉讼中提供的，人民法院一般不予采纳。行政处罚相对人在行政程序中未提供但有正当理由，在诉讼中依照最高人民法院《关于行政诉讼证据若干问题的规定》提供的证据，人民法院应当采纳。</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监管机构除依法向人民法院提供据以</w:t>
      </w:r>
      <w:proofErr w:type="gramStart"/>
      <w:r w:rsidRPr="003536A4">
        <w:rPr>
          <w:rFonts w:ascii="宋体" w:eastAsia="宋体" w:hAnsi="宋体" w:cs="宋体" w:hint="eastAsia"/>
          <w:color w:val="333333"/>
          <w:kern w:val="0"/>
          <w:szCs w:val="21"/>
        </w:rPr>
        <w:t>作出</w:t>
      </w:r>
      <w:proofErr w:type="gramEnd"/>
      <w:r w:rsidRPr="003536A4">
        <w:rPr>
          <w:rFonts w:ascii="宋体" w:eastAsia="宋体" w:hAnsi="宋体" w:cs="宋体" w:hint="eastAsia"/>
          <w:color w:val="333333"/>
          <w:kern w:val="0"/>
          <w:szCs w:val="21"/>
        </w:rPr>
        <w:t>被诉行政处罚决定的证据和依据外，还应当提交原告、第三人在行政程序中提供的证据材料。</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二、 关于电子数据证据</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lastRenderedPageBreak/>
        <w:t xml:space="preserve">　　会议认为，证券交易和信息传递电子化、网络化、无线化等特点决定电子交易信息、网络IP地址、通讯记录、电子邮件等电子数据证据在证券行政案件中至关重要。但由于电子数据证据具有载体多样，复制简单、容易被删改和伪造等特点，对电子数据证据的证据形式要求和审核认定应较其他证据方法更为严格。根据行政诉讼法第三十一条第一款第（三）项的规定，最高人民法院《关于行政诉讼证据若干问题的规定》第十二条、第六十四条的规定，当事人可以向人民法院提供电子数据证据</w:t>
      </w:r>
      <w:proofErr w:type="gramStart"/>
      <w:r w:rsidRPr="003536A4">
        <w:rPr>
          <w:rFonts w:ascii="宋体" w:eastAsia="宋体" w:hAnsi="宋体" w:cs="宋体" w:hint="eastAsia"/>
          <w:color w:val="333333"/>
          <w:kern w:val="0"/>
          <w:szCs w:val="21"/>
        </w:rPr>
        <w:t>证明待证事实</w:t>
      </w:r>
      <w:proofErr w:type="gramEnd"/>
      <w:r w:rsidRPr="003536A4">
        <w:rPr>
          <w:rFonts w:ascii="宋体" w:eastAsia="宋体" w:hAnsi="宋体" w:cs="宋体" w:hint="eastAsia"/>
          <w:color w:val="333333"/>
          <w:kern w:val="0"/>
          <w:szCs w:val="21"/>
        </w:rPr>
        <w:t>，相关电子数据证据应当符合下列要求：</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一）无法提取电子数据原始载体或者提取确有困难的，可以提供电子数据复制件，但必须附有不能或者难以提取原始载体的原因、复制过程以及原始载体存放地点或者电子数据网络地址的说明，并由复制件制作人和原始电子数据持有人签名或者盖章，或者以公证等其他有效形式证明电子数据与原始载体的一致性和完整性。</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（二）收集电子数据应当依法制作笔录，详细记载取证的参与人员、技术方法、步骤和过程，记录收集对象的事项名称、内容、规格、类别以及时间、地点等，或者将收集电子数据的过程拍照或录像。</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（三）收集的电子数据应当使用光盘或者其他数字存储介质备份。监管机构为取证人时，应当妥善保存至少一份封存状态的电子数据备份件，并随案移送，以备法庭质证和认证使用。</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四）提供通过技术手段恢复或者破解的与案件有关的光盘或者其他数字存储介质、电子设备中被删除的数据、隐藏或者加密的电子数据，必须附有恢复或破解对象、过程、方法和结果的专业说明。对方当事人对该专业说明持异议，并且有证据表明上述方式获取的电子数据存在篡改、剪裁、删除和添加等不真实情况的，可以向人民法院申请鉴定，人民法院应予准许。</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三、 关于专业意见</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会议认为，对被诉行政处罚决定涉及的专门性问题，当事人可以向人民法院提供其聘请的专业机构、特定行业专家出具的统计分析意见和规则解释意见；人民法院认为有必要的，也可以聘请相关专业机构、专家出具意见。</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专业意见应当在法庭上出示，并经庭审质证。当事人可以申请人民法院通知出具相关意见的专业人员出庭说明，人民法院也可以通知专业人员出庭说明。专业意见之间相互矛盾的，人民法院可以组织专业人员进行对质。</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人民法院应当根据案件的具体情况，从以下方面审核认定上述专业意见：（一）专业机构或者专家是否与本案有利害关系；（二）专业机构或者专家是否具有合法资质；（三）专</w:t>
      </w:r>
      <w:r w:rsidRPr="003536A4">
        <w:rPr>
          <w:rFonts w:ascii="宋体" w:eastAsia="宋体" w:hAnsi="宋体" w:cs="宋体" w:hint="eastAsia"/>
          <w:color w:val="333333"/>
          <w:kern w:val="0"/>
          <w:szCs w:val="21"/>
        </w:rPr>
        <w:lastRenderedPageBreak/>
        <w:t>业机构或者专家所得出的意见是否超出指定的范围，形式是否规范，内容是否完整，结论是否明确；（四）行政程序中形成的专业意见是否告知对方当事人，并听取对方当事人的质辩意见。</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四、关于上市公司信息披露违法责任人的证明问题</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会议认为，根据证券法第六十八条规定，上市公司董事、监事、高级管理人员对上市公司信息披露的真实性、准确性和完整性应当承担较其他人员更严格的法定保证责任。人民法院在审理证券法第一百九十三条违反信息披露义务行政处罚案件时，涉及到对直接负责的主管人员和其他直接责任人员处罚的，应当区分证券法第六十八条规定的人员和该范围之外其他人员的不同责任标准与证明方式。</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监管机构根据证券法第六十八条、第一百九十三条规定，结合上市公司董事、监事、高级管理人员与信息披露违法行为之间履行职责的关联程度，认定其为直接负责的主管人员或者其他直接责任人员并给予处罚，被处罚人不服提起诉讼的，应当提供其对该信息披露行为已尽忠实、勤勉义务等证据。</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对上市公司董事、监事、高级管理人员之外的人员，监管机构认定其为上市公司信息披露违法行为直接负责的主管人员或者其他直接责任人员并给予处罚的，应当证明被处罚人具有下列情形之一：（一）实际履行董事、监事和高级管理人员的职责，并与信息披露违法行为存在直接关联；（二）组织、参与、实施信息披露违法行为或直接导致信息披露违法。</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五、 关于内幕交易行为的认定问题</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会议认为，监管机构提供的证据能够证明以下情形之一，且被处罚人不能</w:t>
      </w:r>
      <w:proofErr w:type="gramStart"/>
      <w:r w:rsidRPr="003536A4">
        <w:rPr>
          <w:rFonts w:ascii="宋体" w:eastAsia="宋体" w:hAnsi="宋体" w:cs="宋体" w:hint="eastAsia"/>
          <w:color w:val="333333"/>
          <w:kern w:val="0"/>
          <w:szCs w:val="21"/>
        </w:rPr>
        <w:t>作出</w:t>
      </w:r>
      <w:proofErr w:type="gramEnd"/>
      <w:r w:rsidRPr="003536A4">
        <w:rPr>
          <w:rFonts w:ascii="宋体" w:eastAsia="宋体" w:hAnsi="宋体" w:cs="宋体" w:hint="eastAsia"/>
          <w:color w:val="333333"/>
          <w:kern w:val="0"/>
          <w:szCs w:val="21"/>
        </w:rPr>
        <w:t>合理说明或者提供证据排除其存在利用内幕信息从事相关证券交易活动的，人民法院可以确认被</w:t>
      </w:r>
      <w:proofErr w:type="gramStart"/>
      <w:r w:rsidRPr="003536A4">
        <w:rPr>
          <w:rFonts w:ascii="宋体" w:eastAsia="宋体" w:hAnsi="宋体" w:cs="宋体" w:hint="eastAsia"/>
          <w:color w:val="333333"/>
          <w:kern w:val="0"/>
          <w:szCs w:val="21"/>
        </w:rPr>
        <w:t>诉处罚</w:t>
      </w:r>
      <w:proofErr w:type="gramEnd"/>
      <w:r w:rsidRPr="003536A4">
        <w:rPr>
          <w:rFonts w:ascii="宋体" w:eastAsia="宋体" w:hAnsi="宋体" w:cs="宋体" w:hint="eastAsia"/>
          <w:color w:val="333333"/>
          <w:kern w:val="0"/>
          <w:szCs w:val="21"/>
        </w:rPr>
        <w:t>决定认定的内幕交易行为成立：（一）证券法第七十四条规定的证券交易内幕信息知情人，进行了与该内幕信息有关的证券交易活动；（二）证券法第七十四条规定的内幕信息知情人的配偶、父母、子女以及其他有密切关系的人，其证券交易活动与该内幕信息基本吻合；（三）因履行工作职责知悉上述内幕信息并进行了与该信息有关的证券交易活动；（四）非法获取内幕信息，并进行了与该内幕信息有关的证券交易活动；（五）内幕信息公开前与内幕信息知情人或知晓该内幕信息的人联络、接触，其证券交易活动与内幕信息高度吻合。</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最高人民法院印发《关于审理证券行政处罚案件证据若干问题的座谈会纪要》的通知</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法〔2011〕225号</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lastRenderedPageBreak/>
        <w:t xml:space="preserve">　　各省、自治区、直辖市高级人民法院，新疆维吾尔自治区高级人民法院生产建设兵团分院：</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现将《关于审理证券行政处罚案件证据若干问题的座谈会纪要》印发给你们，请结合审判工作实际参照执行。执行中遇到问题，请及时报告我院。</w:t>
      </w:r>
    </w:p>
    <w:p w:rsidR="003536A4" w:rsidRPr="003536A4" w:rsidRDefault="003536A4" w:rsidP="003536A4">
      <w:pPr>
        <w:widowControl/>
        <w:shd w:val="clear" w:color="auto" w:fill="FFFFFF"/>
        <w:spacing w:before="100" w:beforeAutospacing="1" w:after="100" w:afterAutospacing="1" w:line="390" w:lineRule="atLeast"/>
        <w:jc w:val="left"/>
        <w:rPr>
          <w:rFonts w:ascii="宋体" w:eastAsia="宋体" w:hAnsi="宋体" w:cs="宋体" w:hint="eastAsia"/>
          <w:color w:val="333333"/>
          <w:kern w:val="0"/>
          <w:szCs w:val="21"/>
        </w:rPr>
      </w:pPr>
      <w:r w:rsidRPr="003536A4">
        <w:rPr>
          <w:rFonts w:ascii="宋体" w:eastAsia="宋体" w:hAnsi="宋体" w:cs="宋体" w:hint="eastAsia"/>
          <w:color w:val="333333"/>
          <w:kern w:val="0"/>
          <w:szCs w:val="21"/>
        </w:rPr>
        <w:t xml:space="preserve">　　　  2011年7月13日</w:t>
      </w:r>
    </w:p>
    <w:p w:rsidR="008F31D6" w:rsidRDefault="003536A4">
      <w:bookmarkStart w:id="0" w:name="_GoBack"/>
      <w:bookmarkEnd w:id="0"/>
    </w:p>
    <w:sectPr w:rsidR="008F3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13C9"/>
    <w:multiLevelType w:val="multilevel"/>
    <w:tmpl w:val="7DC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6A4"/>
    <w:rsid w:val="003536A4"/>
    <w:rsid w:val="004C755D"/>
    <w:rsid w:val="00761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3536A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3536A4"/>
    <w:rPr>
      <w:rFonts w:ascii="宋体" w:eastAsia="宋体" w:hAnsi="宋体" w:cs="宋体"/>
      <w:b/>
      <w:bCs/>
      <w:kern w:val="0"/>
      <w:sz w:val="20"/>
      <w:szCs w:val="20"/>
    </w:rPr>
  </w:style>
  <w:style w:type="character" w:styleId="a3">
    <w:name w:val="Hyperlink"/>
    <w:basedOn w:val="a0"/>
    <w:uiPriority w:val="99"/>
    <w:semiHidden/>
    <w:unhideWhenUsed/>
    <w:rsid w:val="003536A4"/>
    <w:rPr>
      <w:color w:val="0000FF"/>
      <w:u w:val="single"/>
    </w:rPr>
  </w:style>
  <w:style w:type="character" w:customStyle="1" w:styleId="apple-converted-space">
    <w:name w:val="apple-converted-space"/>
    <w:basedOn w:val="a0"/>
    <w:rsid w:val="003536A4"/>
  </w:style>
  <w:style w:type="paragraph" w:styleId="a4">
    <w:name w:val="Normal (Web)"/>
    <w:basedOn w:val="a"/>
    <w:uiPriority w:val="99"/>
    <w:semiHidden/>
    <w:unhideWhenUsed/>
    <w:rsid w:val="003536A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3536A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3536A4"/>
    <w:rPr>
      <w:rFonts w:ascii="宋体" w:eastAsia="宋体" w:hAnsi="宋体" w:cs="宋体"/>
      <w:b/>
      <w:bCs/>
      <w:kern w:val="0"/>
      <w:sz w:val="20"/>
      <w:szCs w:val="20"/>
    </w:rPr>
  </w:style>
  <w:style w:type="character" w:styleId="a3">
    <w:name w:val="Hyperlink"/>
    <w:basedOn w:val="a0"/>
    <w:uiPriority w:val="99"/>
    <w:semiHidden/>
    <w:unhideWhenUsed/>
    <w:rsid w:val="003536A4"/>
    <w:rPr>
      <w:color w:val="0000FF"/>
      <w:u w:val="single"/>
    </w:rPr>
  </w:style>
  <w:style w:type="character" w:customStyle="1" w:styleId="apple-converted-space">
    <w:name w:val="apple-converted-space"/>
    <w:basedOn w:val="a0"/>
    <w:rsid w:val="003536A4"/>
  </w:style>
  <w:style w:type="paragraph" w:styleId="a4">
    <w:name w:val="Normal (Web)"/>
    <w:basedOn w:val="a"/>
    <w:uiPriority w:val="99"/>
    <w:semiHidden/>
    <w:unhideWhenUsed/>
    <w:rsid w:val="003536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81976">
      <w:bodyDiv w:val="1"/>
      <w:marLeft w:val="0"/>
      <w:marRight w:val="0"/>
      <w:marTop w:val="0"/>
      <w:marBottom w:val="0"/>
      <w:divBdr>
        <w:top w:val="none" w:sz="0" w:space="0" w:color="auto"/>
        <w:left w:val="none" w:sz="0" w:space="0" w:color="auto"/>
        <w:bottom w:val="none" w:sz="0" w:space="0" w:color="auto"/>
        <w:right w:val="none" w:sz="0" w:space="0" w:color="auto"/>
      </w:divBdr>
      <w:divsChild>
        <w:div w:id="1165165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http://www.cs.com.cn/xwzx/13/201109/t20110928_3073987.html" TargetMode="External"/><Relationship Id="rId3" Type="http://schemas.microsoft.com/office/2007/relationships/stylesWithEffects" Target="stylesWithEffects.xml"/><Relationship Id="rId7" Type="http://schemas.openxmlformats.org/officeDocument/2006/relationships/hyperlink" Target="javascript:" TargetMode="External"/><Relationship Id="rId12" Type="http://schemas.openxmlformats.org/officeDocument/2006/relationships/hyperlink" Target="http://www.cs.com.cn/xwzx/01_1/201109/t20110923_3069115.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www.cs.com.cn/xwzx/01_1/201109/t20110926_3070020.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s.com.cn/xwzx/01_1/201109/t20110928_3073928.html" TargetMode="External"/><Relationship Id="rId4" Type="http://schemas.openxmlformats.org/officeDocument/2006/relationships/settings" Target="settings.xml"/><Relationship Id="rId9" Type="http://schemas.openxmlformats.org/officeDocument/2006/relationships/hyperlink" Target="http://www.cs.com.cn/xwzx/11/201109/t20110930_3077316.html" TargetMode="External"/><Relationship Id="rId14" Type="http://schemas.openxmlformats.org/officeDocument/2006/relationships/hyperlink" Target="http://www.cs.com.cn/xwzx/13/201109/t20110926_307002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2014-06-18T06:20:00Z</dcterms:created>
  <dcterms:modified xsi:type="dcterms:W3CDTF">2014-06-18T06:20:00Z</dcterms:modified>
</cp:coreProperties>
</file>