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CBE" w:rsidRPr="001A7CBE" w:rsidRDefault="001A7CBE" w:rsidP="001A7CB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r w:rsidRPr="001A7CBE">
        <w:rPr>
          <w:rFonts w:ascii="微软雅黑" w:eastAsia="微软雅黑" w:hAnsi="微软雅黑" w:cs="宋体" w:hint="eastAsia"/>
          <w:color w:val="000000"/>
          <w:kern w:val="0"/>
          <w:sz w:val="27"/>
          <w:szCs w:val="27"/>
        </w:rPr>
        <w:t>第一章 总 则</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第一条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为了规范证券投资基金运作活动，保护投资人的合法权益，促进证券投资基金市场健康发展，根据《证券投资基金法》及其他有关法律、行政法规，制定本办法。</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本办法适用于证券投资基金（以下简称基金）的募集、基金份额的申购和赎回、基金财产的投资、基金收益的分配、基金份额持有人大会的召开，以及其他基金运作活动。</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第三条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从事</w:t>
      </w:r>
      <w:hyperlink r:id="rId6" w:tgtFrame="_blank" w:history="1">
        <w:r w:rsidRPr="001A7CBE">
          <w:rPr>
            <w:rFonts w:ascii="Arial" w:eastAsia="宋体" w:hAnsi="Arial" w:cs="Arial"/>
            <w:color w:val="136EC2"/>
            <w:kern w:val="0"/>
            <w:szCs w:val="21"/>
          </w:rPr>
          <w:t>基金运作</w:t>
        </w:r>
      </w:hyperlink>
      <w:r w:rsidRPr="001A7CBE">
        <w:rPr>
          <w:rFonts w:ascii="Arial" w:eastAsia="宋体" w:hAnsi="Arial" w:cs="Arial"/>
          <w:color w:val="333333"/>
          <w:kern w:val="0"/>
          <w:szCs w:val="21"/>
        </w:rPr>
        <w:t>活动，应当遵守法律、行政法规和中国证券监督管理委员会（以下简称中国证监会）的规定，遵循自愿、公平、诚实信用原则，不得损害国家利益和社会公共利益。</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中国证监会及其派出机构依照法律、行政法规、本办法的规定和审慎监管原则，对基金运作活动实施监督管理。</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第五条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基金行业的协会依据法律、行政法规、中国证监会的规定和自律规则，对基金运作活动进行自律管理。</w:t>
      </w:r>
    </w:p>
    <w:p w:rsidR="001A7CBE" w:rsidRPr="001A7CBE" w:rsidRDefault="001A7CBE" w:rsidP="001A7CB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0" w:name="3_2"/>
      <w:bookmarkStart w:id="1" w:name="sub435118_3_2"/>
      <w:bookmarkStart w:id="2" w:name="通知_第二章_基金的募集"/>
      <w:bookmarkEnd w:id="0"/>
      <w:bookmarkEnd w:id="1"/>
      <w:bookmarkEnd w:id="2"/>
      <w:r w:rsidRPr="001A7CBE">
        <w:rPr>
          <w:rFonts w:ascii="微软雅黑" w:eastAsia="微软雅黑" w:hAnsi="微软雅黑" w:cs="宋体" w:hint="eastAsia"/>
          <w:color w:val="000000"/>
          <w:kern w:val="0"/>
          <w:sz w:val="27"/>
          <w:szCs w:val="27"/>
        </w:rPr>
        <w:t>第二章 基金的募集</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第六条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申请募集基金，拟任基金管理人、基金托管人应当具备下列条件：</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（一）</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拟任基金管理人为依法设立的基金管理公司，拟任基金托管人为具有基金托管资格的商业银行；</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（二）有符合中国证监会规定的、与管理和托管拟募集基金相适应的基金经理等业务人员；</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（三）</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基金的投资管理、销售、登记和估值等业务环节制度健全，行为规范，不存在影响基金正常运作、损害或者可能损害基金份额持有人合法权益的情形；</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（四）最近一年内没有因违法违规行为受到行政处罚或者刑事处罚；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（五）</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没有因违法违规行为正在被监管机构调查，或者正处于整改期间；</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（六）</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不存在对基金运作已经造成或可能造成不良影响的重大变更事项，或者诉讼、仲裁等其他重大事项；</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（七）</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不存在公司治理不健全、经营管理混乱、内部控制和风险管理制度无法得到有效执行、财务状况恶化等重大经营风险；</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（八）中国证监会根据审慎监管原则规定的其他条件。</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第七条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申请募集基金，拟募集的基金应当具备下列条件：</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（一）有明确、合法的投资方向；</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（二）有明确的基金运作方式；</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（三）符合中国证监会关于基金品种的规定；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（四）不与拟任基金管理人已管理的基金雷同；</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（五）基金合同、招募说明书等法律文件草案符合法律、行政法规和中国证监会的规定；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lastRenderedPageBreak/>
        <w:t>（六）基金名称表明基金的类别和投资特征，不存在损害国家利益、社会公共利益，欺诈、误导投资人，或者其他侵犯他人合法权益的内容；</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（七）中国证监会根据审慎监管原则规定的其他条件。</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第八条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基金管理人申请募集基金，应当按照《证券投资基金法》和中国证监会的规定提交申请材料。</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申请期间申请材料涉及的事项发生重大变化的，基金管理人应当</w:t>
      </w:r>
      <w:proofErr w:type="gramStart"/>
      <w:r w:rsidRPr="001A7CBE">
        <w:rPr>
          <w:rFonts w:ascii="Arial" w:eastAsia="宋体" w:hAnsi="Arial" w:cs="Arial"/>
          <w:color w:val="333333"/>
          <w:kern w:val="0"/>
          <w:szCs w:val="21"/>
        </w:rPr>
        <w:t>自变化</w:t>
      </w:r>
      <w:proofErr w:type="gramEnd"/>
      <w:r w:rsidRPr="001A7CBE">
        <w:rPr>
          <w:rFonts w:ascii="Arial" w:eastAsia="宋体" w:hAnsi="Arial" w:cs="Arial"/>
          <w:color w:val="333333"/>
          <w:kern w:val="0"/>
          <w:szCs w:val="21"/>
        </w:rPr>
        <w:t>发生之日起</w:t>
      </w:r>
      <w:r w:rsidRPr="00426B8D">
        <w:rPr>
          <w:rFonts w:ascii="Arial" w:eastAsia="宋体" w:hAnsi="Arial" w:cs="Arial"/>
          <w:color w:val="333333"/>
          <w:kern w:val="0"/>
          <w:szCs w:val="21"/>
          <w:highlight w:val="yellow"/>
        </w:rPr>
        <w:t>五个工作日内</w:t>
      </w:r>
      <w:r w:rsidRPr="001A7CBE">
        <w:rPr>
          <w:rFonts w:ascii="Arial" w:eastAsia="宋体" w:hAnsi="Arial" w:cs="Arial"/>
          <w:color w:val="333333"/>
          <w:kern w:val="0"/>
          <w:szCs w:val="21"/>
        </w:rPr>
        <w:t>向中国证监会提交更新材料。</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第九条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中国证监会依照《行政许可法》和《证券投资基金法》第三十九条的规定，受理基金募集申请，并进行审查，做出决定。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中国证监会根据审慎监管原则，可以组织专家评审会对基金募集申请进行评审。</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第十一条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基金募集期限自基金份额发售之日起</w:t>
      </w:r>
      <w:r w:rsidRPr="00426B8D">
        <w:rPr>
          <w:rFonts w:ascii="Arial" w:eastAsia="宋体" w:hAnsi="Arial" w:cs="Arial"/>
          <w:color w:val="333333"/>
          <w:kern w:val="0"/>
          <w:szCs w:val="21"/>
          <w:highlight w:val="yellow"/>
        </w:rPr>
        <w:t>不得超过三个月</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第十二条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基金募集期限届满，募集的基金份额总额符合《证券投资基金法》第四十四条的规定，并具备下列条件之一的，基金管理人应当按照规定办理验资和基金备案手续；</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（一）基金募集份额总额不少于两亿份，基金募集金额不少于两亿元人民币；基金份额持有人的人数不少于两百人；</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（二）基金管理公司在募集基金时，使用公司股东资金、公司固有资金、公司高级管理人员或基金经理等人员资金认购基金的金额</w:t>
      </w:r>
      <w:r w:rsidRPr="00426B8D">
        <w:rPr>
          <w:rFonts w:ascii="Arial" w:eastAsia="宋体" w:hAnsi="Arial" w:cs="Arial"/>
          <w:color w:val="333333"/>
          <w:kern w:val="0"/>
          <w:szCs w:val="21"/>
          <w:highlight w:val="yellow"/>
        </w:rPr>
        <w:t>不少于一千万元人民币，且持有期限不少于三年；基金募集份额总额不少于五千万份，基金募集金额不少于五千万元人民币；基金份额持有人的人数不少于两百人</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第十三条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中国证监会自收到基金管理人验资报告和基金备案材料之日起</w:t>
      </w:r>
      <w:r w:rsidRPr="00426B8D">
        <w:rPr>
          <w:rFonts w:ascii="Arial" w:eastAsia="宋体" w:hAnsi="Arial" w:cs="Arial"/>
          <w:color w:val="333333"/>
          <w:kern w:val="0"/>
          <w:szCs w:val="21"/>
          <w:highlight w:val="yellow"/>
        </w:rPr>
        <w:t>三个工作日内</w:t>
      </w:r>
      <w:r w:rsidRPr="001A7CBE">
        <w:rPr>
          <w:rFonts w:ascii="Arial" w:eastAsia="宋体" w:hAnsi="Arial" w:cs="Arial"/>
          <w:color w:val="333333"/>
          <w:kern w:val="0"/>
          <w:szCs w:val="21"/>
        </w:rPr>
        <w:t>予以书面确认；自中国证监会书面确认之日起，基金备案手续办理完毕，基金合同生效。</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基金管理人应当在</w:t>
      </w:r>
      <w:r w:rsidRPr="00426B8D">
        <w:rPr>
          <w:rFonts w:ascii="Arial" w:eastAsia="宋体" w:hAnsi="Arial" w:cs="Arial"/>
          <w:color w:val="333333"/>
          <w:kern w:val="0"/>
          <w:szCs w:val="21"/>
          <w:highlight w:val="yellow"/>
        </w:rPr>
        <w:t>收到中国证监会确认文件的次日予以公告</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第十四条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基金募集期间的信息披露费、会计师费、律师费以及其他费用，不得从基金财产中列支；基金收取认购费的，</w:t>
      </w:r>
      <w:r w:rsidRPr="00060968">
        <w:rPr>
          <w:rFonts w:ascii="Arial" w:eastAsia="宋体" w:hAnsi="Arial" w:cs="Arial"/>
          <w:color w:val="333333"/>
          <w:kern w:val="0"/>
          <w:szCs w:val="21"/>
          <w:highlight w:val="yellow"/>
        </w:rPr>
        <w:t>可以从认购费中列支</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3" w:name="3_3"/>
      <w:bookmarkStart w:id="4" w:name="sub435118_3_3"/>
      <w:bookmarkStart w:id="5" w:name="通知_第三章_申购和赎回"/>
      <w:bookmarkEnd w:id="3"/>
      <w:bookmarkEnd w:id="4"/>
      <w:bookmarkEnd w:id="5"/>
      <w:r w:rsidRPr="001A7CBE">
        <w:rPr>
          <w:rFonts w:ascii="微软雅黑" w:eastAsia="微软雅黑" w:hAnsi="微软雅黑" w:cs="宋体" w:hint="eastAsia"/>
          <w:color w:val="000000"/>
          <w:kern w:val="0"/>
          <w:sz w:val="27"/>
          <w:szCs w:val="27"/>
        </w:rPr>
        <w:t>第三章 申购和赎回</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第十五条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开放式基金的基金合同应当约定，并在招募说明书中载明基金管理人办理基金份额申购、赎回业务的日期（以下简称开放日）和时间。</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第十六条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开放式基金的基金合同可以约定基金管理人自基金合同生效之日起一定期限内不办理赎回；但约定的期限</w:t>
      </w:r>
      <w:r w:rsidRPr="005444BB">
        <w:rPr>
          <w:rFonts w:ascii="Arial" w:eastAsia="宋体" w:hAnsi="Arial" w:cs="Arial"/>
          <w:color w:val="333333"/>
          <w:kern w:val="0"/>
          <w:szCs w:val="21"/>
          <w:highlight w:val="yellow"/>
        </w:rPr>
        <w:t>不得超过三个月</w:t>
      </w:r>
      <w:r w:rsidRPr="001A7CBE">
        <w:rPr>
          <w:rFonts w:ascii="Arial" w:eastAsia="宋体" w:hAnsi="Arial" w:cs="Arial"/>
          <w:color w:val="333333"/>
          <w:kern w:val="0"/>
          <w:szCs w:val="21"/>
        </w:rPr>
        <w:t>，并应当在招募说明书中载明。</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第十七条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开放式基金份额的申购、赎回价格，依据申购、赎回日基金份额净值加、</w:t>
      </w:r>
      <w:proofErr w:type="gramStart"/>
      <w:r w:rsidRPr="001A7CBE">
        <w:rPr>
          <w:rFonts w:ascii="Arial" w:eastAsia="宋体" w:hAnsi="Arial" w:cs="Arial"/>
          <w:color w:val="333333"/>
          <w:kern w:val="0"/>
          <w:szCs w:val="21"/>
        </w:rPr>
        <w:t>减有关</w:t>
      </w:r>
      <w:proofErr w:type="gramEnd"/>
      <w:r w:rsidRPr="001A7CBE">
        <w:rPr>
          <w:rFonts w:ascii="Arial" w:eastAsia="宋体" w:hAnsi="Arial" w:cs="Arial"/>
          <w:color w:val="333333"/>
          <w:kern w:val="0"/>
          <w:szCs w:val="21"/>
        </w:rPr>
        <w:t>费用计算。开放式基金份额的申购、赎回价格具体计算方法应当在基金合同和招募说明书中载明。</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开放式基金份额净值，应当按照每个开放日闭市后，基金资产净值除以当日基金份额的余额数量计算。具体计算方法应当在基金合同和招募说明书中载明。</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第十八条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基金管理人不得在基金合同约定之外的日期或者时间办理基金份额的申购、赎回或者转换。</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lastRenderedPageBreak/>
        <w:t>投资人在基金合同约定之外的日期和时间提出申购、赎回或者转换申请的，其基金份额申购、赎回价格为下次办理基金份额申购、赎回时间所在开放日的价格。</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第十九条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投资人申购基金份额时，</w:t>
      </w:r>
      <w:r w:rsidRPr="004E6682">
        <w:rPr>
          <w:rFonts w:ascii="Arial" w:eastAsia="宋体" w:hAnsi="Arial" w:cs="Arial"/>
          <w:color w:val="333333"/>
          <w:kern w:val="0"/>
          <w:szCs w:val="21"/>
          <w:highlight w:val="yellow"/>
        </w:rPr>
        <w:t>必须全额交付申购款项</w:t>
      </w:r>
      <w:r w:rsidRPr="001A7CBE">
        <w:rPr>
          <w:rFonts w:ascii="Arial" w:eastAsia="宋体" w:hAnsi="Arial" w:cs="Arial"/>
          <w:color w:val="333333"/>
          <w:kern w:val="0"/>
          <w:szCs w:val="21"/>
        </w:rPr>
        <w:t>，但中国证监会规定的特殊基金品种除外；投资人交付款项，申购申请即为有效。</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基金管理人应当自收到投资人申购、赎回申请之日起</w:t>
      </w:r>
      <w:r w:rsidRPr="004E6682">
        <w:rPr>
          <w:rFonts w:ascii="Arial" w:eastAsia="宋体" w:hAnsi="Arial" w:cs="Arial"/>
          <w:color w:val="333333"/>
          <w:kern w:val="0"/>
          <w:szCs w:val="21"/>
          <w:highlight w:val="yellow"/>
        </w:rPr>
        <w:t>三个工作日内</w:t>
      </w:r>
      <w:r w:rsidRPr="001A7CBE">
        <w:rPr>
          <w:rFonts w:ascii="Arial" w:eastAsia="宋体" w:hAnsi="Arial" w:cs="Arial"/>
          <w:color w:val="333333"/>
          <w:kern w:val="0"/>
          <w:szCs w:val="21"/>
        </w:rPr>
        <w:t>，对该申购、赎回的有效性进行确认。</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基金管理人应当自接受投资人有效赎回申请之日起</w:t>
      </w:r>
      <w:r w:rsidRPr="00696115">
        <w:rPr>
          <w:rFonts w:ascii="Arial" w:eastAsia="宋体" w:hAnsi="Arial" w:cs="Arial"/>
          <w:color w:val="333333"/>
          <w:kern w:val="0"/>
          <w:szCs w:val="21"/>
          <w:highlight w:val="yellow"/>
        </w:rPr>
        <w:t>七个工作日内支付赎回款项</w:t>
      </w:r>
      <w:r w:rsidRPr="001A7CBE">
        <w:rPr>
          <w:rFonts w:ascii="Arial" w:eastAsia="宋体" w:hAnsi="Arial" w:cs="Arial"/>
          <w:color w:val="333333"/>
          <w:kern w:val="0"/>
          <w:szCs w:val="21"/>
        </w:rPr>
        <w:t>，但中国证监会规定的特殊基金品种除外。</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第二十一条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开放式基金的基金合同可以约定基金达到一定的规模后，基金管理人不再接受认购、申购申请，但应当在招募说明书中载明。</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基金管理人在基金</w:t>
      </w:r>
      <w:r w:rsidRPr="00D17B7F">
        <w:rPr>
          <w:rFonts w:ascii="Arial" w:eastAsia="宋体" w:hAnsi="Arial" w:cs="Arial"/>
          <w:color w:val="333333"/>
          <w:kern w:val="0"/>
          <w:szCs w:val="21"/>
          <w:highlight w:val="yellow"/>
        </w:rPr>
        <w:t>募集期间不得调整基金合同约定的基金规模</w:t>
      </w:r>
      <w:r w:rsidRPr="001A7CBE">
        <w:rPr>
          <w:rFonts w:ascii="Arial" w:eastAsia="宋体" w:hAnsi="Arial" w:cs="Arial"/>
          <w:color w:val="333333"/>
          <w:kern w:val="0"/>
          <w:szCs w:val="21"/>
        </w:rPr>
        <w:t>。基金合同生效后，基金管理人可以按照基金合同的约定，根据实际情况调整基金规模，但应当提前三日公告，并更新招募说明书。</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第二十二条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开放式基金的基金合同可以对单个基金份额持有人持有基金份额的比例或者数量设置限制，但应当在招募说明书中载明。</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第二十三条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开放式基金单个</w:t>
      </w:r>
      <w:proofErr w:type="gramStart"/>
      <w:r w:rsidRPr="001A7CBE">
        <w:rPr>
          <w:rFonts w:ascii="Arial" w:eastAsia="宋体" w:hAnsi="Arial" w:cs="Arial"/>
          <w:color w:val="333333"/>
          <w:kern w:val="0"/>
          <w:szCs w:val="21"/>
        </w:rPr>
        <w:t>开放日净赎回</w:t>
      </w:r>
      <w:proofErr w:type="gramEnd"/>
      <w:r w:rsidRPr="001A7CBE">
        <w:rPr>
          <w:rFonts w:ascii="Arial" w:eastAsia="宋体" w:hAnsi="Arial" w:cs="Arial"/>
          <w:color w:val="333333"/>
          <w:kern w:val="0"/>
          <w:szCs w:val="21"/>
        </w:rPr>
        <w:t>申请超过基金总份额的</w:t>
      </w:r>
      <w:r w:rsidRPr="00D17B7F">
        <w:rPr>
          <w:rFonts w:ascii="Arial" w:eastAsia="宋体" w:hAnsi="Arial" w:cs="Arial"/>
          <w:color w:val="333333"/>
          <w:kern w:val="0"/>
          <w:szCs w:val="21"/>
          <w:highlight w:val="yellow"/>
        </w:rPr>
        <w:t>百分之十的，为巨额赎回</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开放式基金发生巨额赎回的，基金管理人</w:t>
      </w:r>
      <w:r w:rsidRPr="00D17B7F">
        <w:rPr>
          <w:rFonts w:ascii="Arial" w:eastAsia="宋体" w:hAnsi="Arial" w:cs="Arial"/>
          <w:color w:val="333333"/>
          <w:kern w:val="0"/>
          <w:szCs w:val="21"/>
          <w:highlight w:val="yellow"/>
        </w:rPr>
        <w:t>当日</w:t>
      </w:r>
      <w:r w:rsidRPr="001A7CBE">
        <w:rPr>
          <w:rFonts w:ascii="Arial" w:eastAsia="宋体" w:hAnsi="Arial" w:cs="Arial"/>
          <w:color w:val="333333"/>
          <w:kern w:val="0"/>
          <w:szCs w:val="21"/>
        </w:rPr>
        <w:t>办理的赎回份额</w:t>
      </w:r>
      <w:r w:rsidRPr="00D17B7F">
        <w:rPr>
          <w:rFonts w:ascii="Arial" w:eastAsia="宋体" w:hAnsi="Arial" w:cs="Arial"/>
          <w:color w:val="333333"/>
          <w:kern w:val="0"/>
          <w:szCs w:val="21"/>
          <w:highlight w:val="yellow"/>
        </w:rPr>
        <w:t>不得低于</w:t>
      </w:r>
      <w:r w:rsidRPr="001A7CBE">
        <w:rPr>
          <w:rFonts w:ascii="Arial" w:eastAsia="宋体" w:hAnsi="Arial" w:cs="Arial"/>
          <w:color w:val="333333"/>
          <w:kern w:val="0"/>
          <w:szCs w:val="21"/>
        </w:rPr>
        <w:t>基金总份额的</w:t>
      </w:r>
      <w:r w:rsidRPr="00D17B7F">
        <w:rPr>
          <w:rFonts w:ascii="Arial" w:eastAsia="宋体" w:hAnsi="Arial" w:cs="Arial"/>
          <w:color w:val="333333"/>
          <w:kern w:val="0"/>
          <w:szCs w:val="21"/>
          <w:highlight w:val="yellow"/>
        </w:rPr>
        <w:t>百分之十</w:t>
      </w:r>
      <w:r w:rsidRPr="001A7CBE">
        <w:rPr>
          <w:rFonts w:ascii="Arial" w:eastAsia="宋体" w:hAnsi="Arial" w:cs="Arial"/>
          <w:color w:val="333333"/>
          <w:kern w:val="0"/>
          <w:szCs w:val="21"/>
        </w:rPr>
        <w:t>，</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对其余赎回申请</w:t>
      </w:r>
      <w:r w:rsidRPr="00D17B7F">
        <w:rPr>
          <w:rFonts w:ascii="Arial" w:eastAsia="宋体" w:hAnsi="Arial" w:cs="Arial"/>
          <w:color w:val="333333"/>
          <w:kern w:val="0"/>
          <w:szCs w:val="21"/>
          <w:highlight w:val="yellow"/>
        </w:rPr>
        <w:t>可以延期办理</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第二十四条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开放式基金发生巨额赎回的，基金管理人对单个基金份额持有人的赎回申请，应当按照其申请赎回份额占当日申请赎回总份额的比例，确定该单个基金份额持有人当日办理的赎回份额。</w:t>
      </w:r>
      <w:r w:rsidR="006719A0">
        <w:rPr>
          <w:rFonts w:ascii="Arial" w:eastAsia="宋体" w:hAnsi="Arial" w:cs="Arial" w:hint="eastAsia"/>
          <w:color w:val="333333"/>
          <w:kern w:val="0"/>
          <w:szCs w:val="21"/>
        </w:rPr>
        <w:t>（</w:t>
      </w:r>
      <w:r w:rsidR="006719A0" w:rsidRPr="006719A0">
        <w:rPr>
          <w:rFonts w:ascii="Arial" w:eastAsia="宋体" w:hAnsi="Arial" w:cs="Arial" w:hint="eastAsia"/>
          <w:color w:val="333333"/>
          <w:kern w:val="0"/>
          <w:szCs w:val="21"/>
          <w:highlight w:val="yellow"/>
        </w:rPr>
        <w:t>按比例进行赎回</w:t>
      </w:r>
      <w:r w:rsidR="006719A0">
        <w:rPr>
          <w:rFonts w:ascii="Arial" w:eastAsia="宋体" w:hAnsi="Arial" w:cs="Arial" w:hint="eastAsia"/>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基金份额持有人可以在申请赎回时选择将当日未获办理部分予以撤销。基金份额持有人未选择撤销的，</w:t>
      </w:r>
      <w:r w:rsidRPr="00385897">
        <w:rPr>
          <w:rFonts w:ascii="Arial" w:eastAsia="宋体" w:hAnsi="Arial" w:cs="Arial"/>
          <w:color w:val="333333"/>
          <w:kern w:val="0"/>
          <w:szCs w:val="21"/>
          <w:highlight w:val="yellow"/>
        </w:rPr>
        <w:t>基金管理人对未办理的赎回份额，可延迟至下一个开放日办理，</w:t>
      </w:r>
      <w:r w:rsidRPr="00385897">
        <w:rPr>
          <w:rFonts w:ascii="Arial" w:eastAsia="宋体" w:hAnsi="Arial" w:cs="Arial"/>
          <w:color w:val="333333"/>
          <w:kern w:val="0"/>
          <w:szCs w:val="21"/>
          <w:highlight w:val="yellow"/>
        </w:rPr>
        <w:t xml:space="preserve"> </w:t>
      </w:r>
      <w:r w:rsidRPr="00385897">
        <w:rPr>
          <w:rFonts w:ascii="Arial" w:eastAsia="宋体" w:hAnsi="Arial" w:cs="Arial"/>
          <w:color w:val="333333"/>
          <w:kern w:val="0"/>
          <w:szCs w:val="21"/>
          <w:highlight w:val="yellow"/>
        </w:rPr>
        <w:t>赎回价格为下一个开放日的价格</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第二十五条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开放式基金发生巨额赎回并延期办理的，基金管理人应当通过邮寄、传真或者招募说明书规定的其他方式，在</w:t>
      </w:r>
      <w:r w:rsidRPr="00AB1AE1">
        <w:rPr>
          <w:rFonts w:ascii="Arial" w:eastAsia="宋体" w:hAnsi="Arial" w:cs="Arial"/>
          <w:color w:val="333333"/>
          <w:kern w:val="0"/>
          <w:szCs w:val="21"/>
          <w:highlight w:val="yellow"/>
        </w:rPr>
        <w:t>三个交易日内</w:t>
      </w:r>
      <w:r w:rsidRPr="001A7CBE">
        <w:rPr>
          <w:rFonts w:ascii="Arial" w:eastAsia="宋体" w:hAnsi="Arial" w:cs="Arial"/>
          <w:color w:val="333333"/>
          <w:kern w:val="0"/>
          <w:szCs w:val="21"/>
        </w:rPr>
        <w:t>通知基金份额持有人，说明有关处理方法，</w:t>
      </w:r>
      <w:r w:rsidRPr="00AB1AE1">
        <w:rPr>
          <w:rFonts w:ascii="Arial" w:eastAsia="宋体" w:hAnsi="Arial" w:cs="Arial"/>
          <w:color w:val="333333"/>
          <w:kern w:val="0"/>
          <w:szCs w:val="21"/>
          <w:highlight w:val="yellow"/>
        </w:rPr>
        <w:t>同时在指定报刊及其他相关媒体上予以公告</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第二十六条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开放式基金连续发生巨额赎回，基金管理人可按基金合同的约定和招募说明书的规定，</w:t>
      </w:r>
      <w:r w:rsidRPr="000F1846">
        <w:rPr>
          <w:rFonts w:ascii="Arial" w:eastAsia="宋体" w:hAnsi="Arial" w:cs="Arial"/>
          <w:color w:val="333333"/>
          <w:kern w:val="0"/>
          <w:szCs w:val="21"/>
          <w:highlight w:val="yellow"/>
        </w:rPr>
        <w:t>暂停接受赎回申请</w:t>
      </w:r>
      <w:r w:rsidRPr="001A7CBE">
        <w:rPr>
          <w:rFonts w:ascii="Arial" w:eastAsia="宋体" w:hAnsi="Arial" w:cs="Arial"/>
          <w:color w:val="333333"/>
          <w:kern w:val="0"/>
          <w:szCs w:val="21"/>
        </w:rPr>
        <w:t>；已经接受的赎回申请可以延缓支付赎回款项，但</w:t>
      </w:r>
      <w:r w:rsidRPr="000F1846">
        <w:rPr>
          <w:rFonts w:ascii="Arial" w:eastAsia="宋体" w:hAnsi="Arial" w:cs="Arial"/>
          <w:color w:val="333333"/>
          <w:kern w:val="0"/>
          <w:szCs w:val="21"/>
          <w:highlight w:val="yellow"/>
        </w:rPr>
        <w:t>延缓期限不得超过二十个工作日</w:t>
      </w:r>
      <w:r w:rsidRPr="001A7CBE">
        <w:rPr>
          <w:rFonts w:ascii="Arial" w:eastAsia="宋体" w:hAnsi="Arial" w:cs="Arial"/>
          <w:color w:val="333333"/>
          <w:kern w:val="0"/>
          <w:szCs w:val="21"/>
        </w:rPr>
        <w:t>，并应当在指定报刊及其他相关媒体上予以公告。</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第二十七条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开放式基金的基金合同可以约定，</w:t>
      </w:r>
      <w:r w:rsidRPr="00406F5B">
        <w:rPr>
          <w:rFonts w:ascii="Arial" w:eastAsia="宋体" w:hAnsi="Arial" w:cs="Arial"/>
          <w:color w:val="333333"/>
          <w:kern w:val="0"/>
          <w:szCs w:val="21"/>
          <w:highlight w:val="yellow"/>
        </w:rPr>
        <w:t>单个基金份额持有人在单个开放日</w:t>
      </w:r>
      <w:r w:rsidRPr="001A7CBE">
        <w:rPr>
          <w:rFonts w:ascii="Arial" w:eastAsia="宋体" w:hAnsi="Arial" w:cs="Arial"/>
          <w:color w:val="333333"/>
          <w:kern w:val="0"/>
          <w:szCs w:val="21"/>
        </w:rPr>
        <w:t>申请赎回基金份额</w:t>
      </w:r>
      <w:r w:rsidRPr="00406F5B">
        <w:rPr>
          <w:rFonts w:ascii="Arial" w:eastAsia="宋体" w:hAnsi="Arial" w:cs="Arial"/>
          <w:color w:val="333333"/>
          <w:kern w:val="0"/>
          <w:szCs w:val="21"/>
          <w:highlight w:val="yellow"/>
        </w:rPr>
        <w:t>超过基金总份额一定比例的</w:t>
      </w:r>
      <w:r w:rsidRPr="001A7CBE">
        <w:rPr>
          <w:rFonts w:ascii="Arial" w:eastAsia="宋体" w:hAnsi="Arial" w:cs="Arial"/>
          <w:color w:val="333333"/>
          <w:kern w:val="0"/>
          <w:szCs w:val="21"/>
        </w:rPr>
        <w:t>，基金管理人可以按照本办法第二十六条的规定</w:t>
      </w:r>
      <w:r w:rsidRPr="00406F5B">
        <w:rPr>
          <w:rFonts w:ascii="Arial" w:eastAsia="宋体" w:hAnsi="Arial" w:cs="Arial"/>
          <w:color w:val="333333"/>
          <w:kern w:val="0"/>
          <w:szCs w:val="21"/>
          <w:highlight w:val="yellow"/>
        </w:rPr>
        <w:t>暂停接受赎回申请或者延缓支付</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第二十八条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开放式基金应当保持不低于基金资产净值</w:t>
      </w:r>
      <w:r w:rsidRPr="00AC4839">
        <w:rPr>
          <w:rFonts w:ascii="Arial" w:eastAsia="宋体" w:hAnsi="Arial" w:cs="Arial"/>
          <w:color w:val="333333"/>
          <w:kern w:val="0"/>
          <w:szCs w:val="21"/>
          <w:highlight w:val="yellow"/>
        </w:rPr>
        <w:t>百分之五的现金或者到期日在一年以内的政府债券</w:t>
      </w:r>
      <w:r w:rsidRPr="001A7CBE">
        <w:rPr>
          <w:rFonts w:ascii="Arial" w:eastAsia="宋体" w:hAnsi="Arial" w:cs="Arial"/>
          <w:color w:val="333333"/>
          <w:kern w:val="0"/>
          <w:szCs w:val="21"/>
        </w:rPr>
        <w:t>，以备支付基金份额持有人的赎回款项，但中国证监会规定的特殊基金品种除外。</w:t>
      </w:r>
    </w:p>
    <w:p w:rsidR="001A7CBE" w:rsidRPr="001A7CBE" w:rsidRDefault="001A7CBE" w:rsidP="001A7CB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6" w:name="3_4"/>
      <w:bookmarkStart w:id="7" w:name="sub435118_3_4"/>
      <w:bookmarkStart w:id="8" w:name="通知_第四章_投资和收益分配"/>
      <w:bookmarkEnd w:id="6"/>
      <w:bookmarkEnd w:id="7"/>
      <w:bookmarkEnd w:id="8"/>
      <w:r w:rsidRPr="001A7CBE">
        <w:rPr>
          <w:rFonts w:ascii="微软雅黑" w:eastAsia="微软雅黑" w:hAnsi="微软雅黑" w:cs="宋体" w:hint="eastAsia"/>
          <w:color w:val="000000"/>
          <w:kern w:val="0"/>
          <w:sz w:val="27"/>
          <w:szCs w:val="27"/>
        </w:rPr>
        <w:lastRenderedPageBreak/>
        <w:t>第四章 投资和收益分配</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第二十九条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基金合同和基金招募说明书应当按照下列规定载明基金的类别：</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（一）</w:t>
      </w:r>
      <w:r w:rsidRPr="00E23DDD">
        <w:rPr>
          <w:rFonts w:ascii="Arial" w:eastAsia="宋体" w:hAnsi="Arial" w:cs="Arial"/>
          <w:color w:val="333333"/>
          <w:kern w:val="0"/>
          <w:szCs w:val="21"/>
          <w:highlight w:val="yellow"/>
        </w:rPr>
        <w:t>百分之六十以上</w:t>
      </w:r>
      <w:r w:rsidRPr="001A7CBE">
        <w:rPr>
          <w:rFonts w:ascii="Arial" w:eastAsia="宋体" w:hAnsi="Arial" w:cs="Arial"/>
          <w:color w:val="333333"/>
          <w:kern w:val="0"/>
          <w:szCs w:val="21"/>
        </w:rPr>
        <w:t>的基金资产投资于股票的，为股票基金；</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（二）</w:t>
      </w:r>
      <w:r w:rsidRPr="00E23DDD">
        <w:rPr>
          <w:rFonts w:ascii="Arial" w:eastAsia="宋体" w:hAnsi="Arial" w:cs="Arial"/>
          <w:color w:val="333333"/>
          <w:kern w:val="0"/>
          <w:szCs w:val="21"/>
          <w:highlight w:val="yellow"/>
        </w:rPr>
        <w:t>百分之八十以上</w:t>
      </w:r>
      <w:r w:rsidRPr="001A7CBE">
        <w:rPr>
          <w:rFonts w:ascii="Arial" w:eastAsia="宋体" w:hAnsi="Arial" w:cs="Arial"/>
          <w:color w:val="333333"/>
          <w:kern w:val="0"/>
          <w:szCs w:val="21"/>
        </w:rPr>
        <w:t>的基金资产投资于债券的，为债券基金；</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（三）仅投资于货币市场工具的，为货币市场基金；</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（四）投资于股票、债券和货币市场工具，并且股票投资和债券投资的比例不符合第（一）项、第（二）项规定的，为混合基金；</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（五）中国证监会规定的其他基金类别。</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第三十条</w:t>
      </w:r>
      <w:r w:rsidRPr="001A7CBE">
        <w:rPr>
          <w:rFonts w:ascii="Arial" w:eastAsia="宋体" w:hAnsi="Arial" w:cs="Arial"/>
          <w:color w:val="333333"/>
          <w:kern w:val="0"/>
          <w:szCs w:val="21"/>
        </w:rPr>
        <w:t xml:space="preserve"> </w:t>
      </w:r>
      <w:r w:rsidRPr="00E23DDD">
        <w:rPr>
          <w:rFonts w:ascii="Arial" w:eastAsia="宋体" w:hAnsi="Arial" w:cs="Arial"/>
          <w:color w:val="333333"/>
          <w:kern w:val="0"/>
          <w:szCs w:val="21"/>
          <w:highlight w:val="yellow"/>
        </w:rPr>
        <w:t>基金名称显示投资方向的</w:t>
      </w:r>
      <w:r w:rsidRPr="001A7CBE">
        <w:rPr>
          <w:rFonts w:ascii="Arial" w:eastAsia="宋体" w:hAnsi="Arial" w:cs="Arial"/>
          <w:color w:val="333333"/>
          <w:kern w:val="0"/>
          <w:szCs w:val="21"/>
        </w:rPr>
        <w:t>，应当有</w:t>
      </w:r>
      <w:r w:rsidRPr="00E23DDD">
        <w:rPr>
          <w:rFonts w:ascii="Arial" w:eastAsia="宋体" w:hAnsi="Arial" w:cs="Arial"/>
          <w:color w:val="333333"/>
          <w:kern w:val="0"/>
          <w:szCs w:val="21"/>
          <w:highlight w:val="yellow"/>
        </w:rPr>
        <w:t>百分之八十以上</w:t>
      </w:r>
      <w:r w:rsidRPr="001A7CBE">
        <w:rPr>
          <w:rFonts w:ascii="Arial" w:eastAsia="宋体" w:hAnsi="Arial" w:cs="Arial"/>
          <w:color w:val="333333"/>
          <w:kern w:val="0"/>
          <w:szCs w:val="21"/>
        </w:rPr>
        <w:t>的非现金基金资产属于投资方向确定的内容。</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第三十一条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基金管理人运用基金财产进行证券投资，不得有下列情形：</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（一）一只基金持有一家上市公司的股票，其市值超过基金资产净值的</w:t>
      </w:r>
      <w:r w:rsidRPr="00E23DDD">
        <w:rPr>
          <w:rFonts w:ascii="Arial" w:eastAsia="宋体" w:hAnsi="Arial" w:cs="Arial"/>
          <w:color w:val="333333"/>
          <w:kern w:val="0"/>
          <w:szCs w:val="21"/>
          <w:highlight w:val="yellow"/>
        </w:rPr>
        <w:t>百分之十</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（二）同一基金管理人管理的全部基金持有一家公司发行的证券，超过该证券的</w:t>
      </w:r>
      <w:r w:rsidRPr="00E23DDD">
        <w:rPr>
          <w:rFonts w:ascii="Arial" w:eastAsia="宋体" w:hAnsi="Arial" w:cs="Arial"/>
          <w:color w:val="333333"/>
          <w:kern w:val="0"/>
          <w:szCs w:val="21"/>
          <w:highlight w:val="yellow"/>
        </w:rPr>
        <w:t>百分之十</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（三）基金财产参与股票发行申购，单只基金所申报的金额超过该基金的总资产，单只基金所申报的股票数量超过拟发行股票公司本次发行股票的总量；</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（四）违反基金合同关于投资范围、投资策略和投资比例等约定；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（五）中国证监会规定禁止的其他情形。</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61624B">
        <w:rPr>
          <w:rFonts w:ascii="Arial" w:eastAsia="宋体" w:hAnsi="Arial" w:cs="Arial"/>
          <w:color w:val="333333"/>
          <w:kern w:val="0"/>
          <w:szCs w:val="21"/>
          <w:highlight w:val="yellow"/>
        </w:rPr>
        <w:t>完全按照有关指数的构成比例进行证券投资的基金品种可以不受前款第（一）项、第（二）项规定的比例限制</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第三十二条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基金管理人应当自基金合同生效之日起</w:t>
      </w:r>
      <w:r w:rsidRPr="00E23DDD">
        <w:rPr>
          <w:rFonts w:ascii="Arial" w:eastAsia="宋体" w:hAnsi="Arial" w:cs="Arial"/>
          <w:color w:val="333333"/>
          <w:kern w:val="0"/>
          <w:szCs w:val="21"/>
          <w:highlight w:val="yellow"/>
        </w:rPr>
        <w:t>六个月内</w:t>
      </w:r>
      <w:r w:rsidRPr="001A7CBE">
        <w:rPr>
          <w:rFonts w:ascii="Arial" w:eastAsia="宋体" w:hAnsi="Arial" w:cs="Arial"/>
          <w:color w:val="333333"/>
          <w:kern w:val="0"/>
          <w:szCs w:val="21"/>
        </w:rPr>
        <w:t>使基金的投资组合比例符合基金合同的有关约定。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第三十三条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因证券市场波动、上市公司合并、基金规模变动等基金管理人之外的因素致使基金投资不符合本办法第三十一条第一款第（一）项、第（二）项规定的比例或者基金合同约定的投资比例的，基金管理人应当在</w:t>
      </w:r>
      <w:r w:rsidRPr="008C1602">
        <w:rPr>
          <w:rFonts w:ascii="Arial" w:eastAsia="宋体" w:hAnsi="Arial" w:cs="Arial"/>
          <w:color w:val="333333"/>
          <w:kern w:val="0"/>
          <w:szCs w:val="21"/>
          <w:highlight w:val="yellow"/>
        </w:rPr>
        <w:t>十个交易日内</w:t>
      </w:r>
      <w:r w:rsidRPr="001A7CBE">
        <w:rPr>
          <w:rFonts w:ascii="Arial" w:eastAsia="宋体" w:hAnsi="Arial" w:cs="Arial"/>
          <w:color w:val="333333"/>
          <w:kern w:val="0"/>
          <w:szCs w:val="21"/>
        </w:rPr>
        <w:t>进行调整。</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第三十四条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下列与基金有关的费用可以从基金财产中列支：</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（一）基金管理人的管理费；</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（二）基金托管人的托管费；</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（三）基金合同生效后的信息披露费用；</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（四）基金合同生效后的会计师费和律师费；</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（五）基金份额持有人大会费用；</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（六）基金的证券交易费用；</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（七）按照国家有关规定和基金合同约定，可以在基金财产中列支的其他费用。</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第三十五条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封闭式基金的收益分配，</w:t>
      </w:r>
      <w:r w:rsidRPr="00F509C8">
        <w:rPr>
          <w:rFonts w:ascii="Arial" w:eastAsia="宋体" w:hAnsi="Arial" w:cs="Arial"/>
          <w:color w:val="333333"/>
          <w:kern w:val="0"/>
          <w:szCs w:val="21"/>
          <w:highlight w:val="yellow"/>
        </w:rPr>
        <w:t>每年不得少于一次</w:t>
      </w:r>
      <w:r w:rsidRPr="001A7CBE">
        <w:rPr>
          <w:rFonts w:ascii="Arial" w:eastAsia="宋体" w:hAnsi="Arial" w:cs="Arial"/>
          <w:color w:val="333333"/>
          <w:kern w:val="0"/>
          <w:szCs w:val="21"/>
        </w:rPr>
        <w:t>，封闭式基金年度收益分配比例</w:t>
      </w:r>
      <w:r w:rsidRPr="00F509C8">
        <w:rPr>
          <w:rFonts w:ascii="Arial" w:eastAsia="宋体" w:hAnsi="Arial" w:cs="Arial"/>
          <w:color w:val="333333"/>
          <w:kern w:val="0"/>
          <w:szCs w:val="21"/>
          <w:highlight w:val="yellow"/>
        </w:rPr>
        <w:t>不得低于</w:t>
      </w:r>
      <w:r w:rsidRPr="001A7CBE">
        <w:rPr>
          <w:rFonts w:ascii="Arial" w:eastAsia="宋体" w:hAnsi="Arial" w:cs="Arial"/>
          <w:color w:val="333333"/>
          <w:kern w:val="0"/>
          <w:szCs w:val="21"/>
        </w:rPr>
        <w:t>基金年度已实现收益的</w:t>
      </w:r>
      <w:r w:rsidRPr="00F509C8">
        <w:rPr>
          <w:rFonts w:ascii="Arial" w:eastAsia="宋体" w:hAnsi="Arial" w:cs="Arial"/>
          <w:color w:val="333333"/>
          <w:kern w:val="0"/>
          <w:szCs w:val="21"/>
          <w:highlight w:val="yellow"/>
        </w:rPr>
        <w:t>百分之九十</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开放式基金的基金合同应当约定每年基金收益分配的</w:t>
      </w:r>
      <w:r w:rsidRPr="00F509C8">
        <w:rPr>
          <w:rFonts w:ascii="Arial" w:eastAsia="宋体" w:hAnsi="Arial" w:cs="Arial"/>
          <w:color w:val="333333"/>
          <w:kern w:val="0"/>
          <w:szCs w:val="21"/>
          <w:highlight w:val="yellow"/>
        </w:rPr>
        <w:t>最多次数</w:t>
      </w:r>
      <w:r w:rsidRPr="001A7CBE">
        <w:rPr>
          <w:rFonts w:ascii="Arial" w:eastAsia="宋体" w:hAnsi="Arial" w:cs="Arial"/>
          <w:color w:val="333333"/>
          <w:kern w:val="0"/>
          <w:szCs w:val="21"/>
        </w:rPr>
        <w:t>和基金收益分配的</w:t>
      </w:r>
      <w:r w:rsidRPr="00F509C8">
        <w:rPr>
          <w:rFonts w:ascii="Arial" w:eastAsia="宋体" w:hAnsi="Arial" w:cs="Arial"/>
          <w:color w:val="333333"/>
          <w:kern w:val="0"/>
          <w:szCs w:val="21"/>
          <w:highlight w:val="yellow"/>
        </w:rPr>
        <w:t>最低比例</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lastRenderedPageBreak/>
        <w:t>第三十六条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基金收益分配应当采用现金方式。</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开放式基金的基金份额持有人可以事先选择将所获分配的现金收益，按照基金合同有关基金份额申购的约定转为基金份额；基金份额持有人</w:t>
      </w:r>
      <w:r w:rsidRPr="00120EC0">
        <w:rPr>
          <w:rFonts w:ascii="Arial" w:eastAsia="宋体" w:hAnsi="Arial" w:cs="Arial"/>
          <w:color w:val="333333"/>
          <w:kern w:val="0"/>
          <w:szCs w:val="21"/>
          <w:highlight w:val="yellow"/>
        </w:rPr>
        <w:t>事先未做出选择的</w:t>
      </w:r>
      <w:r w:rsidRPr="001A7CBE">
        <w:rPr>
          <w:rFonts w:ascii="Arial" w:eastAsia="宋体" w:hAnsi="Arial" w:cs="Arial"/>
          <w:color w:val="333333"/>
          <w:kern w:val="0"/>
          <w:szCs w:val="21"/>
        </w:rPr>
        <w:t>，基金管理人</w:t>
      </w:r>
      <w:r w:rsidRPr="00120EC0">
        <w:rPr>
          <w:rFonts w:ascii="Arial" w:eastAsia="宋体" w:hAnsi="Arial" w:cs="Arial"/>
          <w:color w:val="333333"/>
          <w:kern w:val="0"/>
          <w:szCs w:val="21"/>
          <w:highlight w:val="yellow"/>
        </w:rPr>
        <w:t>应当支付现金</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9" w:name="3_5"/>
      <w:bookmarkStart w:id="10" w:name="sub435118_3_5"/>
      <w:bookmarkStart w:id="11" w:name="通知_第五章_基金份额持有人大会"/>
      <w:bookmarkEnd w:id="9"/>
      <w:bookmarkEnd w:id="10"/>
      <w:bookmarkEnd w:id="11"/>
      <w:r w:rsidRPr="001A7CBE">
        <w:rPr>
          <w:rFonts w:ascii="微软雅黑" w:eastAsia="微软雅黑" w:hAnsi="微软雅黑" w:cs="宋体" w:hint="eastAsia"/>
          <w:color w:val="000000"/>
          <w:kern w:val="0"/>
          <w:sz w:val="27"/>
          <w:szCs w:val="27"/>
        </w:rPr>
        <w:t>第五章 基金份额持有人大会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第三十七条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除《证券投资基金法》第七十一条第（一）项至第（五）项规定的事项外，基金合同还应当按照中国证监会的规定，约定对基金合同当事人权利、义务产生重大影响，</w:t>
      </w:r>
      <w:proofErr w:type="gramStart"/>
      <w:r w:rsidRPr="001A7CBE">
        <w:rPr>
          <w:rFonts w:ascii="Arial" w:eastAsia="宋体" w:hAnsi="Arial" w:cs="Arial"/>
          <w:color w:val="333333"/>
          <w:kern w:val="0"/>
          <w:szCs w:val="21"/>
        </w:rPr>
        <w:t>须召开</w:t>
      </w:r>
      <w:proofErr w:type="gramEnd"/>
      <w:r w:rsidRPr="001A7CBE">
        <w:rPr>
          <w:rFonts w:ascii="Arial" w:eastAsia="宋体" w:hAnsi="Arial" w:cs="Arial"/>
          <w:color w:val="333333"/>
          <w:kern w:val="0"/>
          <w:szCs w:val="21"/>
        </w:rPr>
        <w:t>基金份额持有人大会的变更合同等其他事项。</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第三十八条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基金托管人认为有必要召开基金份额持有人大会的，应当向基金管理人提出书面提议。基金管理人应当自收到书面提议之日起</w:t>
      </w:r>
      <w:r w:rsidRPr="007A6739">
        <w:rPr>
          <w:rFonts w:ascii="Arial" w:eastAsia="宋体" w:hAnsi="Arial" w:cs="Arial"/>
          <w:color w:val="333333"/>
          <w:kern w:val="0"/>
          <w:szCs w:val="21"/>
          <w:highlight w:val="yellow"/>
        </w:rPr>
        <w:t>十日内</w:t>
      </w:r>
      <w:r w:rsidRPr="001A7CBE">
        <w:rPr>
          <w:rFonts w:ascii="Arial" w:eastAsia="宋体" w:hAnsi="Arial" w:cs="Arial"/>
          <w:color w:val="333333"/>
          <w:kern w:val="0"/>
          <w:szCs w:val="21"/>
        </w:rPr>
        <w:t>决定是否召集，并书面告知基金托管人。</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基金管理人决定召集的，应当自出具书面决定之日起</w:t>
      </w:r>
      <w:r w:rsidRPr="007A6739">
        <w:rPr>
          <w:rFonts w:ascii="Arial" w:eastAsia="宋体" w:hAnsi="Arial" w:cs="Arial"/>
          <w:color w:val="333333"/>
          <w:kern w:val="0"/>
          <w:szCs w:val="21"/>
          <w:highlight w:val="yellow"/>
        </w:rPr>
        <w:t>六十日内</w:t>
      </w:r>
      <w:r w:rsidRPr="001A7CBE">
        <w:rPr>
          <w:rFonts w:ascii="Arial" w:eastAsia="宋体" w:hAnsi="Arial" w:cs="Arial"/>
          <w:color w:val="333333"/>
          <w:kern w:val="0"/>
          <w:szCs w:val="21"/>
        </w:rPr>
        <w:t>召开；基金管理人决定不召集，基金托管人仍认为有必要召开的，应当自行召集。</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7A6739">
        <w:rPr>
          <w:rFonts w:ascii="Arial" w:eastAsia="宋体" w:hAnsi="Arial" w:cs="Arial"/>
          <w:color w:val="333333"/>
          <w:kern w:val="0"/>
          <w:szCs w:val="21"/>
          <w:highlight w:val="yellow"/>
        </w:rPr>
        <w:t>第三十九条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代表基金份额百分之十以上的基金份额持有人认为有必要召开基金份额持有人大会的，应当向基金管理人提出书面提议。</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基金管理人应当自收到书面提议之日起</w:t>
      </w:r>
      <w:r w:rsidRPr="007A6739">
        <w:rPr>
          <w:rFonts w:ascii="Arial" w:eastAsia="宋体" w:hAnsi="Arial" w:cs="Arial"/>
          <w:color w:val="333333"/>
          <w:kern w:val="0"/>
          <w:szCs w:val="21"/>
        </w:rPr>
        <w:t>十日内</w:t>
      </w:r>
      <w:r w:rsidRPr="001A7CBE">
        <w:rPr>
          <w:rFonts w:ascii="Arial" w:eastAsia="宋体" w:hAnsi="Arial" w:cs="Arial"/>
          <w:color w:val="333333"/>
          <w:kern w:val="0"/>
          <w:szCs w:val="21"/>
        </w:rPr>
        <w:t>决定是否召集，并书面告知提出提议的基金份额持有人代表和基金托管人。</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基金管理人决定召集的，应当自出具书面决定之日起六十日内召开；</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基金管理人决定不召集，代表基金份额百分之十以上的基金份额持有人仍认为有必要召开的，应当向基金托管人提出书面提议。</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基金托管人应当自收到书面提议之日起十日内决定是否召集，并书面告知提出提议的基金份额持有人代表和基金管理人；基金托管人决定召集的，应当自出具书面决定之日起六十日内召开。</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第四十条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基金管理人和基金托管人都不召集基金份额持有人大会的，基金份额持有人可以按照《证券投资基金法》第七十二条第二款的规定自行召集基金份额持有人大会。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7A6739">
        <w:rPr>
          <w:rFonts w:ascii="Arial" w:eastAsia="宋体" w:hAnsi="Arial" w:cs="Arial"/>
          <w:color w:val="333333"/>
          <w:kern w:val="0"/>
          <w:szCs w:val="21"/>
          <w:highlight w:val="yellow"/>
        </w:rPr>
        <w:t>基金份额持有人自行召集基金份额持有人大会的</w:t>
      </w:r>
      <w:r w:rsidRPr="001A7CBE">
        <w:rPr>
          <w:rFonts w:ascii="Arial" w:eastAsia="宋体" w:hAnsi="Arial" w:cs="Arial"/>
          <w:color w:val="333333"/>
          <w:kern w:val="0"/>
          <w:szCs w:val="21"/>
        </w:rPr>
        <w:t>，应当</w:t>
      </w:r>
      <w:r w:rsidRPr="007A6739">
        <w:rPr>
          <w:rFonts w:ascii="Arial" w:eastAsia="宋体" w:hAnsi="Arial" w:cs="Arial"/>
          <w:color w:val="333333"/>
          <w:kern w:val="0"/>
          <w:szCs w:val="21"/>
          <w:highlight w:val="yellow"/>
        </w:rPr>
        <w:t>至少提前三十日</w:t>
      </w:r>
      <w:r w:rsidRPr="001A7CBE">
        <w:rPr>
          <w:rFonts w:ascii="Arial" w:eastAsia="宋体" w:hAnsi="Arial" w:cs="Arial"/>
          <w:color w:val="333333"/>
          <w:kern w:val="0"/>
          <w:szCs w:val="21"/>
        </w:rPr>
        <w:t>向中国证监会备案。</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第四十一条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基金份额持有人依法自行召集基金份额持有人大会的，基金管理人、基金托管人应当配合，不得阻碍、干扰。</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第四十二条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基金份额持有人大会按照《证券投资基金法》第七十五条的规定表决通过的事项，召集人应当自通过之日起</w:t>
      </w:r>
      <w:r w:rsidRPr="007A6739">
        <w:rPr>
          <w:rFonts w:ascii="Arial" w:eastAsia="宋体" w:hAnsi="Arial" w:cs="Arial"/>
          <w:color w:val="333333"/>
          <w:kern w:val="0"/>
          <w:szCs w:val="21"/>
          <w:highlight w:val="yellow"/>
        </w:rPr>
        <w:t>五日内</w:t>
      </w:r>
      <w:r w:rsidRPr="001A7CBE">
        <w:rPr>
          <w:rFonts w:ascii="Arial" w:eastAsia="宋体" w:hAnsi="Arial" w:cs="Arial"/>
          <w:color w:val="333333"/>
          <w:kern w:val="0"/>
          <w:szCs w:val="21"/>
        </w:rPr>
        <w:t>报中国证监会核准或者备案。</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基金份额持有人大会决定的事项自中国证监会</w:t>
      </w:r>
      <w:r w:rsidRPr="007A6739">
        <w:rPr>
          <w:rFonts w:ascii="Arial" w:eastAsia="宋体" w:hAnsi="Arial" w:cs="Arial"/>
          <w:color w:val="333333"/>
          <w:kern w:val="0"/>
          <w:szCs w:val="21"/>
          <w:highlight w:val="yellow"/>
        </w:rPr>
        <w:t>依法核准或者出具无异议意见之日起生效</w:t>
      </w:r>
      <w:r w:rsidRPr="001A7CBE">
        <w:rPr>
          <w:rFonts w:ascii="Arial" w:eastAsia="宋体" w:hAnsi="Arial" w:cs="Arial"/>
          <w:color w:val="333333"/>
          <w:kern w:val="0"/>
          <w:szCs w:val="21"/>
        </w:rPr>
        <w:t>。</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第四十三条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基金管理人、基金托管人和基金份额持有人应当执行生效的基金份额持有人大会的决定。</w:t>
      </w:r>
    </w:p>
    <w:p w:rsidR="001A7CBE" w:rsidRPr="001A7CBE" w:rsidRDefault="001A7CBE" w:rsidP="001A7CB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2" w:name="3_6"/>
      <w:bookmarkStart w:id="13" w:name="sub435118_3_6"/>
      <w:bookmarkStart w:id="14" w:name="通知_第六章_法律责任"/>
      <w:bookmarkEnd w:id="12"/>
      <w:bookmarkEnd w:id="13"/>
      <w:bookmarkEnd w:id="14"/>
      <w:r w:rsidRPr="001A7CBE">
        <w:rPr>
          <w:rFonts w:ascii="微软雅黑" w:eastAsia="微软雅黑" w:hAnsi="微软雅黑" w:cs="宋体" w:hint="eastAsia"/>
          <w:color w:val="000000"/>
          <w:kern w:val="0"/>
          <w:sz w:val="27"/>
          <w:szCs w:val="27"/>
        </w:rPr>
        <w:t>第六章 法律责任</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lastRenderedPageBreak/>
        <w:t>第四十四条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开放式基金的基金合同生效后，基金份额持有人数量</w:t>
      </w:r>
      <w:proofErr w:type="gramStart"/>
      <w:r w:rsidRPr="007A6739">
        <w:rPr>
          <w:rFonts w:ascii="Arial" w:eastAsia="宋体" w:hAnsi="Arial" w:cs="Arial"/>
          <w:color w:val="333333"/>
          <w:kern w:val="0"/>
          <w:szCs w:val="21"/>
          <w:highlight w:val="yellow"/>
        </w:rPr>
        <w:t>不满两百</w:t>
      </w:r>
      <w:proofErr w:type="gramEnd"/>
      <w:r w:rsidRPr="007A6739">
        <w:rPr>
          <w:rFonts w:ascii="Arial" w:eastAsia="宋体" w:hAnsi="Arial" w:cs="Arial"/>
          <w:color w:val="333333"/>
          <w:kern w:val="0"/>
          <w:szCs w:val="21"/>
          <w:highlight w:val="yellow"/>
        </w:rPr>
        <w:t>人或者基金资产净值低于五千万元的</w:t>
      </w:r>
      <w:r w:rsidRPr="001A7CBE">
        <w:rPr>
          <w:rFonts w:ascii="Arial" w:eastAsia="宋体" w:hAnsi="Arial" w:cs="Arial"/>
          <w:color w:val="333333"/>
          <w:kern w:val="0"/>
          <w:szCs w:val="21"/>
        </w:rPr>
        <w:t>，基金管理人应当及时报告中国证监会；</w:t>
      </w:r>
      <w:r w:rsidRPr="007A6739">
        <w:rPr>
          <w:rFonts w:ascii="Arial" w:eastAsia="宋体" w:hAnsi="Arial" w:cs="Arial"/>
          <w:color w:val="333333"/>
          <w:kern w:val="0"/>
          <w:szCs w:val="21"/>
          <w:highlight w:val="yellow"/>
        </w:rPr>
        <w:t>连续二十个工作日</w:t>
      </w:r>
      <w:r w:rsidRPr="001A7CBE">
        <w:rPr>
          <w:rFonts w:ascii="Arial" w:eastAsia="宋体" w:hAnsi="Arial" w:cs="Arial"/>
          <w:color w:val="333333"/>
          <w:kern w:val="0"/>
          <w:szCs w:val="21"/>
        </w:rPr>
        <w:t>出现前述情形的，基金管理人应当向中国证监会说明原因和报送解决方案。</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第四十五条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中国证监会及其派出机构对基金管理人、基金托管人从事基金运作活动的情况进行定期或者不定期检查，基金管理人、基金托管人应当予以配合。</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第四十六条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基金托管人违反法律、行政法规和本办法规定的，中国证监会及其派出机构可以责令整改，暂停办理相关业务；对直接负责的主管人员和其他直接责任人员，可以采取监管谈话、出具警示函、记入诚信档案、暂停履行职务、认定为不适宜担任相关职务者等行政监管措施。</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第四十七条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基金托管人及其直接负责的主管人员和其他直接责任人员违反本办法规定从事基金运作活动，中国证监会依照法律、行政法规的有关规定进行行政处罚；法律、行政法规未做规定的，依照本办法的规定进行行政处罚；涉嫌犯罪的，依法移送司法机关，追究其刑事责任。</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第四十八条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基金管理人违反本办法第十八条的规定，在基金合同约定之外的日期或时间办理基金份额的申购、赎回或者转换的，依照《证券投资基金法》第八十九条的规定处罚。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第四十九条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基金管理人违反本办法第三十一条的规定，运用基金财产进行证券投资的，依照《证券投资基金法》第九十条的规定处罚。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第五十条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基金管理人、基金托管人不按照本办法第三十八条、第三十九条的规定召集基金份额持有人大会的，依照《证券投资基金法》第九十五条的规定处罚。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第五十一条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基金管理人申请募集基金，隐瞒有关情况或者提供虚假材料的，中国证监会不予受理；已经受理的，不予批准，并处以警告。</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第五十二条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基金管理人从事基金运作活动，有下列情形之一的，责令改正，单处或者并处警告、罚款；</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对直接负责的主管人员和其他直接责任人员，单处或者并处警告、罚款：</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（一）未按照本办法第十七条的规定计算基金份额申购、赎回价格；</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（二）未按照本办法第二十条的规定确认申购、赎回的有效性，并支付赎回款项；</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（三）未按照本办法第二十三条第二款的规定办理赎回申请；</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（四）未按照本办法第二十八条的规定保持现金或者政府债券；</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（五）未按照本办法第三十三条的规定调整投资比例；</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（六）未按照本办法第三十五条、第三十六条的规定进行收益分配；</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（七）未按照本办法第四十四条的规定报告、说明有关情况，或者报送解决方案。</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第五十三条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基金管理人、基金托管人有下列情形之一的，责令改正，单处或者并处警告、罚款；对直接负责的主管人员和其他直接责任人员，单处或者并处警告、罚款：</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（一）未按照本办法第四十一条规定配合基金份额持有人召集基金份额持有人大会；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（二）未按照本办法第四十二条的规定申请核准或者备案基金份额持有人大会决定的事项；</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（三）未按照本办法第四十三条的规定执行基金份额持有人大会的生效决定；</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（四）未按照本办法第四十五条的规定配合中国证监会及其派出机构进行检查。</w:t>
      </w:r>
    </w:p>
    <w:p w:rsidR="001A7CBE" w:rsidRPr="001A7CBE" w:rsidRDefault="001A7CBE" w:rsidP="001A7CB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5" w:name="3_7"/>
      <w:bookmarkStart w:id="16" w:name="sub435118_3_7"/>
      <w:bookmarkStart w:id="17" w:name="通知_第七章_附_则"/>
      <w:bookmarkEnd w:id="15"/>
      <w:bookmarkEnd w:id="16"/>
      <w:bookmarkEnd w:id="17"/>
      <w:r w:rsidRPr="001A7CBE">
        <w:rPr>
          <w:rFonts w:ascii="微软雅黑" w:eastAsia="微软雅黑" w:hAnsi="微软雅黑" w:cs="宋体" w:hint="eastAsia"/>
          <w:color w:val="000000"/>
          <w:kern w:val="0"/>
          <w:sz w:val="27"/>
          <w:szCs w:val="27"/>
        </w:rPr>
        <w:lastRenderedPageBreak/>
        <w:t>第七章 附 则</w:t>
      </w:r>
    </w:p>
    <w:p w:rsidR="001A7CBE" w:rsidRPr="001A7CBE" w:rsidRDefault="001A7CBE" w:rsidP="001A7CBE">
      <w:pPr>
        <w:widowControl/>
        <w:shd w:val="clear" w:color="auto" w:fill="FFFFFF"/>
        <w:spacing w:line="360" w:lineRule="atLeast"/>
        <w:ind w:firstLine="480"/>
        <w:jc w:val="left"/>
        <w:rPr>
          <w:rFonts w:ascii="Arial" w:eastAsia="宋体" w:hAnsi="Arial" w:cs="Arial"/>
          <w:color w:val="333333"/>
          <w:kern w:val="0"/>
          <w:szCs w:val="21"/>
        </w:rPr>
      </w:pPr>
      <w:r w:rsidRPr="001A7CBE">
        <w:rPr>
          <w:rFonts w:ascii="Arial" w:eastAsia="宋体" w:hAnsi="Arial" w:cs="Arial"/>
          <w:color w:val="333333"/>
          <w:kern w:val="0"/>
          <w:szCs w:val="21"/>
        </w:rPr>
        <w:t>第五十四条</w:t>
      </w:r>
      <w:r w:rsidRPr="001A7CBE">
        <w:rPr>
          <w:rFonts w:ascii="Arial" w:eastAsia="宋体" w:hAnsi="Arial" w:cs="Arial"/>
          <w:color w:val="333333"/>
          <w:kern w:val="0"/>
          <w:szCs w:val="21"/>
        </w:rPr>
        <w:t xml:space="preserve"> </w:t>
      </w:r>
      <w:r w:rsidRPr="001A7CBE">
        <w:rPr>
          <w:rFonts w:ascii="Arial" w:eastAsia="宋体" w:hAnsi="Arial" w:cs="Arial"/>
          <w:color w:val="333333"/>
          <w:kern w:val="0"/>
          <w:szCs w:val="21"/>
        </w:rPr>
        <w:t>本办法自</w:t>
      </w:r>
      <w:r w:rsidRPr="001A7CBE">
        <w:rPr>
          <w:rFonts w:ascii="Arial" w:eastAsia="宋体" w:hAnsi="Arial" w:cs="Arial"/>
          <w:color w:val="333333"/>
          <w:kern w:val="0"/>
          <w:szCs w:val="21"/>
        </w:rPr>
        <w:t>2004</w:t>
      </w:r>
      <w:r w:rsidRPr="001A7CBE">
        <w:rPr>
          <w:rFonts w:ascii="Arial" w:eastAsia="宋体" w:hAnsi="Arial" w:cs="Arial"/>
          <w:color w:val="333333"/>
          <w:kern w:val="0"/>
          <w:szCs w:val="21"/>
        </w:rPr>
        <w:t>年</w:t>
      </w:r>
      <w:r w:rsidRPr="001A7CBE">
        <w:rPr>
          <w:rFonts w:ascii="Arial" w:eastAsia="宋体" w:hAnsi="Arial" w:cs="Arial"/>
          <w:color w:val="333333"/>
          <w:kern w:val="0"/>
          <w:szCs w:val="21"/>
        </w:rPr>
        <w:t>7</w:t>
      </w:r>
      <w:r w:rsidRPr="001A7CBE">
        <w:rPr>
          <w:rFonts w:ascii="Arial" w:eastAsia="宋体" w:hAnsi="Arial" w:cs="Arial"/>
          <w:color w:val="333333"/>
          <w:kern w:val="0"/>
          <w:szCs w:val="21"/>
        </w:rPr>
        <w:t>月</w:t>
      </w:r>
      <w:r w:rsidRPr="001A7CBE">
        <w:rPr>
          <w:rFonts w:ascii="Arial" w:eastAsia="宋体" w:hAnsi="Arial" w:cs="Arial"/>
          <w:color w:val="333333"/>
          <w:kern w:val="0"/>
          <w:szCs w:val="21"/>
        </w:rPr>
        <w:t>1</w:t>
      </w:r>
      <w:r w:rsidRPr="001A7CBE">
        <w:rPr>
          <w:rFonts w:ascii="Arial" w:eastAsia="宋体" w:hAnsi="Arial" w:cs="Arial"/>
          <w:color w:val="333333"/>
          <w:kern w:val="0"/>
          <w:szCs w:val="21"/>
        </w:rPr>
        <w:t>日起施行。</w:t>
      </w:r>
      <w:r w:rsidRPr="001A7CBE">
        <w:rPr>
          <w:rFonts w:ascii="Arial" w:eastAsia="宋体" w:hAnsi="Arial" w:cs="Arial"/>
          <w:color w:val="3366CC"/>
          <w:kern w:val="0"/>
          <w:szCs w:val="21"/>
          <w:vertAlign w:val="superscript"/>
        </w:rPr>
        <w:t>[1]</w:t>
      </w:r>
    </w:p>
    <w:p w:rsidR="008F31D6" w:rsidRDefault="00C218A9">
      <w:bookmarkStart w:id="18" w:name="_GoBack"/>
      <w:bookmarkEnd w:id="18"/>
    </w:p>
    <w:sectPr w:rsidR="008F31D6" w:rsidSect="005A4D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8A9" w:rsidRDefault="00C218A9" w:rsidP="00426B8D">
      <w:r>
        <w:separator/>
      </w:r>
    </w:p>
  </w:endnote>
  <w:endnote w:type="continuationSeparator" w:id="0">
    <w:p w:rsidR="00C218A9" w:rsidRDefault="00C218A9" w:rsidP="00426B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8A9" w:rsidRDefault="00C218A9" w:rsidP="00426B8D">
      <w:r>
        <w:separator/>
      </w:r>
    </w:p>
  </w:footnote>
  <w:footnote w:type="continuationSeparator" w:id="0">
    <w:p w:rsidR="00C218A9" w:rsidRDefault="00C218A9" w:rsidP="00426B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7CBE"/>
    <w:rsid w:val="00060968"/>
    <w:rsid w:val="000F1846"/>
    <w:rsid w:val="00120EC0"/>
    <w:rsid w:val="001A7CBE"/>
    <w:rsid w:val="00385897"/>
    <w:rsid w:val="00406F5B"/>
    <w:rsid w:val="00426B8D"/>
    <w:rsid w:val="004C755D"/>
    <w:rsid w:val="004E6682"/>
    <w:rsid w:val="005444BB"/>
    <w:rsid w:val="005A4DC0"/>
    <w:rsid w:val="0061624B"/>
    <w:rsid w:val="006719A0"/>
    <w:rsid w:val="00696115"/>
    <w:rsid w:val="00761322"/>
    <w:rsid w:val="007A6739"/>
    <w:rsid w:val="008C1602"/>
    <w:rsid w:val="0099110E"/>
    <w:rsid w:val="00A21EB3"/>
    <w:rsid w:val="00AB1AE1"/>
    <w:rsid w:val="00AC4839"/>
    <w:rsid w:val="00C218A9"/>
    <w:rsid w:val="00D17B7F"/>
    <w:rsid w:val="00E23DDD"/>
    <w:rsid w:val="00F509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DC0"/>
    <w:pPr>
      <w:widowControl w:val="0"/>
      <w:jc w:val="both"/>
    </w:pPr>
  </w:style>
  <w:style w:type="paragraph" w:styleId="3">
    <w:name w:val="heading 3"/>
    <w:basedOn w:val="a"/>
    <w:link w:val="3Char"/>
    <w:uiPriority w:val="9"/>
    <w:qFormat/>
    <w:rsid w:val="001A7C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A7CBE"/>
    <w:rPr>
      <w:rFonts w:ascii="宋体" w:eastAsia="宋体" w:hAnsi="宋体" w:cs="宋体"/>
      <w:b/>
      <w:bCs/>
      <w:kern w:val="0"/>
      <w:sz w:val="27"/>
      <w:szCs w:val="27"/>
    </w:rPr>
  </w:style>
  <w:style w:type="character" w:customStyle="1" w:styleId="headline-content">
    <w:name w:val="headline-content"/>
    <w:basedOn w:val="a0"/>
    <w:rsid w:val="001A7CBE"/>
  </w:style>
  <w:style w:type="character" w:styleId="a3">
    <w:name w:val="Hyperlink"/>
    <w:basedOn w:val="a0"/>
    <w:uiPriority w:val="99"/>
    <w:semiHidden/>
    <w:unhideWhenUsed/>
    <w:rsid w:val="001A7CBE"/>
    <w:rPr>
      <w:color w:val="0000FF"/>
      <w:u w:val="single"/>
    </w:rPr>
  </w:style>
  <w:style w:type="paragraph" w:styleId="a4">
    <w:name w:val="header"/>
    <w:basedOn w:val="a"/>
    <w:link w:val="Char"/>
    <w:uiPriority w:val="99"/>
    <w:semiHidden/>
    <w:unhideWhenUsed/>
    <w:rsid w:val="00426B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26B8D"/>
    <w:rPr>
      <w:sz w:val="18"/>
      <w:szCs w:val="18"/>
    </w:rPr>
  </w:style>
  <w:style w:type="paragraph" w:styleId="a5">
    <w:name w:val="footer"/>
    <w:basedOn w:val="a"/>
    <w:link w:val="Char0"/>
    <w:uiPriority w:val="99"/>
    <w:semiHidden/>
    <w:unhideWhenUsed/>
    <w:rsid w:val="00426B8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26B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A7C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A7CBE"/>
    <w:rPr>
      <w:rFonts w:ascii="宋体" w:eastAsia="宋体" w:hAnsi="宋体" w:cs="宋体"/>
      <w:b/>
      <w:bCs/>
      <w:kern w:val="0"/>
      <w:sz w:val="27"/>
      <w:szCs w:val="27"/>
    </w:rPr>
  </w:style>
  <w:style w:type="character" w:customStyle="1" w:styleId="headline-content">
    <w:name w:val="headline-content"/>
    <w:basedOn w:val="a0"/>
    <w:rsid w:val="001A7CBE"/>
  </w:style>
  <w:style w:type="character" w:styleId="a3">
    <w:name w:val="Hyperlink"/>
    <w:basedOn w:val="a0"/>
    <w:uiPriority w:val="99"/>
    <w:semiHidden/>
    <w:unhideWhenUsed/>
    <w:rsid w:val="001A7CBE"/>
    <w:rPr>
      <w:color w:val="0000FF"/>
      <w:u w:val="single"/>
    </w:rPr>
  </w:style>
</w:styles>
</file>

<file path=word/webSettings.xml><?xml version="1.0" encoding="utf-8"?>
<w:webSettings xmlns:r="http://schemas.openxmlformats.org/officeDocument/2006/relationships" xmlns:w="http://schemas.openxmlformats.org/wordprocessingml/2006/main">
  <w:divs>
    <w:div w:id="1132944692">
      <w:bodyDiv w:val="1"/>
      <w:marLeft w:val="0"/>
      <w:marRight w:val="0"/>
      <w:marTop w:val="0"/>
      <w:marBottom w:val="0"/>
      <w:divBdr>
        <w:top w:val="none" w:sz="0" w:space="0" w:color="auto"/>
        <w:left w:val="none" w:sz="0" w:space="0" w:color="auto"/>
        <w:bottom w:val="none" w:sz="0" w:space="0" w:color="auto"/>
        <w:right w:val="none" w:sz="0" w:space="0" w:color="auto"/>
      </w:divBdr>
      <w:divsChild>
        <w:div w:id="1699961707">
          <w:marLeft w:val="0"/>
          <w:marRight w:val="0"/>
          <w:marTop w:val="225"/>
          <w:marBottom w:val="75"/>
          <w:divBdr>
            <w:top w:val="none" w:sz="0" w:space="0" w:color="auto"/>
            <w:left w:val="none" w:sz="0" w:space="0" w:color="auto"/>
            <w:bottom w:val="none" w:sz="0" w:space="0" w:color="auto"/>
            <w:right w:val="none" w:sz="0" w:space="0" w:color="auto"/>
          </w:divBdr>
        </w:div>
        <w:div w:id="1125809198">
          <w:marLeft w:val="0"/>
          <w:marRight w:val="0"/>
          <w:marTop w:val="225"/>
          <w:marBottom w:val="75"/>
          <w:divBdr>
            <w:top w:val="none" w:sz="0" w:space="0" w:color="auto"/>
            <w:left w:val="none" w:sz="0" w:space="0" w:color="auto"/>
            <w:bottom w:val="none" w:sz="0" w:space="0" w:color="auto"/>
            <w:right w:val="none" w:sz="0" w:space="0" w:color="auto"/>
          </w:divBdr>
        </w:div>
        <w:div w:id="206845060">
          <w:marLeft w:val="0"/>
          <w:marRight w:val="0"/>
          <w:marTop w:val="225"/>
          <w:marBottom w:val="75"/>
          <w:divBdr>
            <w:top w:val="none" w:sz="0" w:space="0" w:color="auto"/>
            <w:left w:val="none" w:sz="0" w:space="0" w:color="auto"/>
            <w:bottom w:val="none" w:sz="0" w:space="0" w:color="auto"/>
            <w:right w:val="none" w:sz="0" w:space="0" w:color="auto"/>
          </w:divBdr>
        </w:div>
        <w:div w:id="847714418">
          <w:marLeft w:val="0"/>
          <w:marRight w:val="0"/>
          <w:marTop w:val="225"/>
          <w:marBottom w:val="75"/>
          <w:divBdr>
            <w:top w:val="none" w:sz="0" w:space="0" w:color="auto"/>
            <w:left w:val="none" w:sz="0" w:space="0" w:color="auto"/>
            <w:bottom w:val="none" w:sz="0" w:space="0" w:color="auto"/>
            <w:right w:val="none" w:sz="0" w:space="0" w:color="auto"/>
          </w:divBdr>
        </w:div>
        <w:div w:id="1630159717">
          <w:marLeft w:val="0"/>
          <w:marRight w:val="0"/>
          <w:marTop w:val="225"/>
          <w:marBottom w:val="75"/>
          <w:divBdr>
            <w:top w:val="none" w:sz="0" w:space="0" w:color="auto"/>
            <w:left w:val="none" w:sz="0" w:space="0" w:color="auto"/>
            <w:bottom w:val="none" w:sz="0" w:space="0" w:color="auto"/>
            <w:right w:val="none" w:sz="0" w:space="0" w:color="auto"/>
          </w:divBdr>
        </w:div>
        <w:div w:id="624390697">
          <w:marLeft w:val="0"/>
          <w:marRight w:val="0"/>
          <w:marTop w:val="225"/>
          <w:marBottom w:val="75"/>
          <w:divBdr>
            <w:top w:val="none" w:sz="0" w:space="0" w:color="auto"/>
            <w:left w:val="none" w:sz="0" w:space="0" w:color="auto"/>
            <w:bottom w:val="none" w:sz="0" w:space="0" w:color="auto"/>
            <w:right w:val="none" w:sz="0" w:space="0" w:color="auto"/>
          </w:divBdr>
        </w:div>
        <w:div w:id="967664501">
          <w:marLeft w:val="0"/>
          <w:marRight w:val="0"/>
          <w:marTop w:val="225"/>
          <w:marBottom w:val="75"/>
          <w:divBdr>
            <w:top w:val="none" w:sz="0" w:space="0" w:color="auto"/>
            <w:left w:val="none" w:sz="0" w:space="0" w:color="auto"/>
            <w:bottom w:val="none" w:sz="0" w:space="0" w:color="auto"/>
            <w:right w:val="none" w:sz="0" w:space="0" w:color="auto"/>
          </w:divBdr>
        </w:div>
        <w:div w:id="554856886">
          <w:marLeft w:val="0"/>
          <w:marRight w:val="0"/>
          <w:marTop w:val="225"/>
          <w:marBottom w:val="75"/>
          <w:divBdr>
            <w:top w:val="none" w:sz="0" w:space="0" w:color="auto"/>
            <w:left w:val="none" w:sz="0" w:space="0" w:color="auto"/>
            <w:bottom w:val="none" w:sz="0" w:space="0" w:color="auto"/>
            <w:right w:val="none" w:sz="0" w:space="0" w:color="auto"/>
          </w:divBdr>
        </w:div>
        <w:div w:id="33893608">
          <w:marLeft w:val="0"/>
          <w:marRight w:val="0"/>
          <w:marTop w:val="225"/>
          <w:marBottom w:val="75"/>
          <w:divBdr>
            <w:top w:val="none" w:sz="0" w:space="0" w:color="auto"/>
            <w:left w:val="none" w:sz="0" w:space="0" w:color="auto"/>
            <w:bottom w:val="none" w:sz="0" w:space="0" w:color="auto"/>
            <w:right w:val="none" w:sz="0" w:space="0" w:color="auto"/>
          </w:divBdr>
        </w:div>
        <w:div w:id="1144933984">
          <w:marLeft w:val="0"/>
          <w:marRight w:val="0"/>
          <w:marTop w:val="225"/>
          <w:marBottom w:val="75"/>
          <w:divBdr>
            <w:top w:val="none" w:sz="0" w:space="0" w:color="auto"/>
            <w:left w:val="none" w:sz="0" w:space="0" w:color="auto"/>
            <w:bottom w:val="none" w:sz="0" w:space="0" w:color="auto"/>
            <w:right w:val="none" w:sz="0" w:space="0" w:color="auto"/>
          </w:divBdr>
        </w:div>
        <w:div w:id="1286043814">
          <w:marLeft w:val="0"/>
          <w:marRight w:val="0"/>
          <w:marTop w:val="225"/>
          <w:marBottom w:val="75"/>
          <w:divBdr>
            <w:top w:val="none" w:sz="0" w:space="0" w:color="auto"/>
            <w:left w:val="none" w:sz="0" w:space="0" w:color="auto"/>
            <w:bottom w:val="none" w:sz="0" w:space="0" w:color="auto"/>
            <w:right w:val="none" w:sz="0" w:space="0" w:color="auto"/>
          </w:divBdr>
        </w:div>
        <w:div w:id="816916109">
          <w:marLeft w:val="0"/>
          <w:marRight w:val="0"/>
          <w:marTop w:val="225"/>
          <w:marBottom w:val="75"/>
          <w:divBdr>
            <w:top w:val="none" w:sz="0" w:space="0" w:color="auto"/>
            <w:left w:val="none" w:sz="0" w:space="0" w:color="auto"/>
            <w:bottom w:val="none" w:sz="0" w:space="0" w:color="auto"/>
            <w:right w:val="none" w:sz="0" w:space="0" w:color="auto"/>
          </w:divBdr>
        </w:div>
        <w:div w:id="291134087">
          <w:marLeft w:val="0"/>
          <w:marRight w:val="0"/>
          <w:marTop w:val="225"/>
          <w:marBottom w:val="75"/>
          <w:divBdr>
            <w:top w:val="none" w:sz="0" w:space="0" w:color="auto"/>
            <w:left w:val="none" w:sz="0" w:space="0" w:color="auto"/>
            <w:bottom w:val="none" w:sz="0" w:space="0" w:color="auto"/>
            <w:right w:val="none" w:sz="0" w:space="0" w:color="auto"/>
          </w:divBdr>
        </w:div>
        <w:div w:id="138616540">
          <w:marLeft w:val="0"/>
          <w:marRight w:val="0"/>
          <w:marTop w:val="225"/>
          <w:marBottom w:val="75"/>
          <w:divBdr>
            <w:top w:val="none" w:sz="0" w:space="0" w:color="auto"/>
            <w:left w:val="none" w:sz="0" w:space="0" w:color="auto"/>
            <w:bottom w:val="none" w:sz="0" w:space="0" w:color="auto"/>
            <w:right w:val="none" w:sz="0" w:space="0" w:color="auto"/>
          </w:divBdr>
        </w:div>
        <w:div w:id="32773248">
          <w:marLeft w:val="0"/>
          <w:marRight w:val="0"/>
          <w:marTop w:val="225"/>
          <w:marBottom w:val="75"/>
          <w:divBdr>
            <w:top w:val="none" w:sz="0" w:space="0" w:color="auto"/>
            <w:left w:val="none" w:sz="0" w:space="0" w:color="auto"/>
            <w:bottom w:val="none" w:sz="0" w:space="0" w:color="auto"/>
            <w:right w:val="none" w:sz="0" w:space="0" w:color="auto"/>
          </w:divBdr>
        </w:div>
        <w:div w:id="1984386423">
          <w:marLeft w:val="0"/>
          <w:marRight w:val="0"/>
          <w:marTop w:val="225"/>
          <w:marBottom w:val="75"/>
          <w:divBdr>
            <w:top w:val="none" w:sz="0" w:space="0" w:color="auto"/>
            <w:left w:val="none" w:sz="0" w:space="0" w:color="auto"/>
            <w:bottom w:val="none" w:sz="0" w:space="0" w:color="auto"/>
            <w:right w:val="none" w:sz="0" w:space="0" w:color="auto"/>
          </w:divBdr>
        </w:div>
        <w:div w:id="1209486437">
          <w:marLeft w:val="0"/>
          <w:marRight w:val="0"/>
          <w:marTop w:val="225"/>
          <w:marBottom w:val="75"/>
          <w:divBdr>
            <w:top w:val="none" w:sz="0" w:space="0" w:color="auto"/>
            <w:left w:val="none" w:sz="0" w:space="0" w:color="auto"/>
            <w:bottom w:val="none" w:sz="0" w:space="0" w:color="auto"/>
            <w:right w:val="none" w:sz="0" w:space="0" w:color="auto"/>
          </w:divBdr>
        </w:div>
        <w:div w:id="1406221102">
          <w:marLeft w:val="0"/>
          <w:marRight w:val="0"/>
          <w:marTop w:val="225"/>
          <w:marBottom w:val="75"/>
          <w:divBdr>
            <w:top w:val="none" w:sz="0" w:space="0" w:color="auto"/>
            <w:left w:val="none" w:sz="0" w:space="0" w:color="auto"/>
            <w:bottom w:val="none" w:sz="0" w:space="0" w:color="auto"/>
            <w:right w:val="none" w:sz="0" w:space="0" w:color="auto"/>
          </w:divBdr>
        </w:div>
        <w:div w:id="1815752442">
          <w:marLeft w:val="0"/>
          <w:marRight w:val="0"/>
          <w:marTop w:val="225"/>
          <w:marBottom w:val="75"/>
          <w:divBdr>
            <w:top w:val="none" w:sz="0" w:space="0" w:color="auto"/>
            <w:left w:val="none" w:sz="0" w:space="0" w:color="auto"/>
            <w:bottom w:val="none" w:sz="0" w:space="0" w:color="auto"/>
            <w:right w:val="none" w:sz="0" w:space="0" w:color="auto"/>
          </w:divBdr>
        </w:div>
        <w:div w:id="906961231">
          <w:marLeft w:val="0"/>
          <w:marRight w:val="0"/>
          <w:marTop w:val="225"/>
          <w:marBottom w:val="75"/>
          <w:divBdr>
            <w:top w:val="none" w:sz="0" w:space="0" w:color="auto"/>
            <w:left w:val="none" w:sz="0" w:space="0" w:color="auto"/>
            <w:bottom w:val="none" w:sz="0" w:space="0" w:color="auto"/>
            <w:right w:val="none" w:sz="0" w:space="0" w:color="auto"/>
          </w:divBdr>
        </w:div>
        <w:div w:id="1578435588">
          <w:marLeft w:val="0"/>
          <w:marRight w:val="0"/>
          <w:marTop w:val="225"/>
          <w:marBottom w:val="75"/>
          <w:divBdr>
            <w:top w:val="none" w:sz="0" w:space="0" w:color="auto"/>
            <w:left w:val="none" w:sz="0" w:space="0" w:color="auto"/>
            <w:bottom w:val="none" w:sz="0" w:space="0" w:color="auto"/>
            <w:right w:val="none" w:sz="0" w:space="0" w:color="auto"/>
          </w:divBdr>
        </w:div>
        <w:div w:id="110054329">
          <w:marLeft w:val="0"/>
          <w:marRight w:val="0"/>
          <w:marTop w:val="225"/>
          <w:marBottom w:val="75"/>
          <w:divBdr>
            <w:top w:val="none" w:sz="0" w:space="0" w:color="auto"/>
            <w:left w:val="none" w:sz="0" w:space="0" w:color="auto"/>
            <w:bottom w:val="none" w:sz="0" w:space="0" w:color="auto"/>
            <w:right w:val="none" w:sz="0" w:space="0" w:color="auto"/>
          </w:divBdr>
        </w:div>
        <w:div w:id="535316791">
          <w:marLeft w:val="0"/>
          <w:marRight w:val="0"/>
          <w:marTop w:val="225"/>
          <w:marBottom w:val="75"/>
          <w:divBdr>
            <w:top w:val="none" w:sz="0" w:space="0" w:color="auto"/>
            <w:left w:val="none" w:sz="0" w:space="0" w:color="auto"/>
            <w:bottom w:val="none" w:sz="0" w:space="0" w:color="auto"/>
            <w:right w:val="none" w:sz="0" w:space="0" w:color="auto"/>
          </w:divBdr>
        </w:div>
        <w:div w:id="1314138519">
          <w:marLeft w:val="0"/>
          <w:marRight w:val="0"/>
          <w:marTop w:val="225"/>
          <w:marBottom w:val="75"/>
          <w:divBdr>
            <w:top w:val="none" w:sz="0" w:space="0" w:color="auto"/>
            <w:left w:val="none" w:sz="0" w:space="0" w:color="auto"/>
            <w:bottom w:val="none" w:sz="0" w:space="0" w:color="auto"/>
            <w:right w:val="none" w:sz="0" w:space="0" w:color="auto"/>
          </w:divBdr>
        </w:div>
        <w:div w:id="444808271">
          <w:marLeft w:val="0"/>
          <w:marRight w:val="0"/>
          <w:marTop w:val="225"/>
          <w:marBottom w:val="75"/>
          <w:divBdr>
            <w:top w:val="none" w:sz="0" w:space="0" w:color="auto"/>
            <w:left w:val="none" w:sz="0" w:space="0" w:color="auto"/>
            <w:bottom w:val="none" w:sz="0" w:space="0" w:color="auto"/>
            <w:right w:val="none" w:sz="0" w:space="0" w:color="auto"/>
          </w:divBdr>
        </w:div>
        <w:div w:id="1326978252">
          <w:marLeft w:val="0"/>
          <w:marRight w:val="0"/>
          <w:marTop w:val="225"/>
          <w:marBottom w:val="75"/>
          <w:divBdr>
            <w:top w:val="none" w:sz="0" w:space="0" w:color="auto"/>
            <w:left w:val="none" w:sz="0" w:space="0" w:color="auto"/>
            <w:bottom w:val="none" w:sz="0" w:space="0" w:color="auto"/>
            <w:right w:val="none" w:sz="0" w:space="0" w:color="auto"/>
          </w:divBdr>
        </w:div>
        <w:div w:id="1816608785">
          <w:marLeft w:val="0"/>
          <w:marRight w:val="0"/>
          <w:marTop w:val="225"/>
          <w:marBottom w:val="75"/>
          <w:divBdr>
            <w:top w:val="none" w:sz="0" w:space="0" w:color="auto"/>
            <w:left w:val="none" w:sz="0" w:space="0" w:color="auto"/>
            <w:bottom w:val="none" w:sz="0" w:space="0" w:color="auto"/>
            <w:right w:val="none" w:sz="0" w:space="0" w:color="auto"/>
          </w:divBdr>
        </w:div>
        <w:div w:id="2048796274">
          <w:marLeft w:val="0"/>
          <w:marRight w:val="0"/>
          <w:marTop w:val="225"/>
          <w:marBottom w:val="75"/>
          <w:divBdr>
            <w:top w:val="none" w:sz="0" w:space="0" w:color="auto"/>
            <w:left w:val="none" w:sz="0" w:space="0" w:color="auto"/>
            <w:bottom w:val="none" w:sz="0" w:space="0" w:color="auto"/>
            <w:right w:val="none" w:sz="0" w:space="0" w:color="auto"/>
          </w:divBdr>
        </w:div>
        <w:div w:id="1682656835">
          <w:marLeft w:val="0"/>
          <w:marRight w:val="0"/>
          <w:marTop w:val="225"/>
          <w:marBottom w:val="75"/>
          <w:divBdr>
            <w:top w:val="none" w:sz="0" w:space="0" w:color="auto"/>
            <w:left w:val="none" w:sz="0" w:space="0" w:color="auto"/>
            <w:bottom w:val="none" w:sz="0" w:space="0" w:color="auto"/>
            <w:right w:val="none" w:sz="0" w:space="0" w:color="auto"/>
          </w:divBdr>
        </w:div>
        <w:div w:id="85731490">
          <w:marLeft w:val="0"/>
          <w:marRight w:val="0"/>
          <w:marTop w:val="225"/>
          <w:marBottom w:val="75"/>
          <w:divBdr>
            <w:top w:val="none" w:sz="0" w:space="0" w:color="auto"/>
            <w:left w:val="none" w:sz="0" w:space="0" w:color="auto"/>
            <w:bottom w:val="none" w:sz="0" w:space="0" w:color="auto"/>
            <w:right w:val="none" w:sz="0" w:space="0" w:color="auto"/>
          </w:divBdr>
        </w:div>
        <w:div w:id="1530988804">
          <w:marLeft w:val="0"/>
          <w:marRight w:val="0"/>
          <w:marTop w:val="225"/>
          <w:marBottom w:val="75"/>
          <w:divBdr>
            <w:top w:val="none" w:sz="0" w:space="0" w:color="auto"/>
            <w:left w:val="none" w:sz="0" w:space="0" w:color="auto"/>
            <w:bottom w:val="none" w:sz="0" w:space="0" w:color="auto"/>
            <w:right w:val="none" w:sz="0" w:space="0" w:color="auto"/>
          </w:divBdr>
        </w:div>
        <w:div w:id="1455976078">
          <w:marLeft w:val="0"/>
          <w:marRight w:val="0"/>
          <w:marTop w:val="225"/>
          <w:marBottom w:val="75"/>
          <w:divBdr>
            <w:top w:val="none" w:sz="0" w:space="0" w:color="auto"/>
            <w:left w:val="none" w:sz="0" w:space="0" w:color="auto"/>
            <w:bottom w:val="none" w:sz="0" w:space="0" w:color="auto"/>
            <w:right w:val="none" w:sz="0" w:space="0" w:color="auto"/>
          </w:divBdr>
        </w:div>
        <w:div w:id="1446730617">
          <w:marLeft w:val="0"/>
          <w:marRight w:val="0"/>
          <w:marTop w:val="225"/>
          <w:marBottom w:val="75"/>
          <w:divBdr>
            <w:top w:val="none" w:sz="0" w:space="0" w:color="auto"/>
            <w:left w:val="none" w:sz="0" w:space="0" w:color="auto"/>
            <w:bottom w:val="none" w:sz="0" w:space="0" w:color="auto"/>
            <w:right w:val="none" w:sz="0" w:space="0" w:color="auto"/>
          </w:divBdr>
        </w:div>
        <w:div w:id="1205824691">
          <w:marLeft w:val="0"/>
          <w:marRight w:val="0"/>
          <w:marTop w:val="225"/>
          <w:marBottom w:val="75"/>
          <w:divBdr>
            <w:top w:val="none" w:sz="0" w:space="0" w:color="auto"/>
            <w:left w:val="none" w:sz="0" w:space="0" w:color="auto"/>
            <w:bottom w:val="none" w:sz="0" w:space="0" w:color="auto"/>
            <w:right w:val="none" w:sz="0" w:space="0" w:color="auto"/>
          </w:divBdr>
        </w:div>
        <w:div w:id="914124839">
          <w:marLeft w:val="0"/>
          <w:marRight w:val="0"/>
          <w:marTop w:val="225"/>
          <w:marBottom w:val="75"/>
          <w:divBdr>
            <w:top w:val="none" w:sz="0" w:space="0" w:color="auto"/>
            <w:left w:val="none" w:sz="0" w:space="0" w:color="auto"/>
            <w:bottom w:val="none" w:sz="0" w:space="0" w:color="auto"/>
            <w:right w:val="none" w:sz="0" w:space="0" w:color="auto"/>
          </w:divBdr>
        </w:div>
        <w:div w:id="716052618">
          <w:marLeft w:val="0"/>
          <w:marRight w:val="0"/>
          <w:marTop w:val="225"/>
          <w:marBottom w:val="75"/>
          <w:divBdr>
            <w:top w:val="none" w:sz="0" w:space="0" w:color="auto"/>
            <w:left w:val="none" w:sz="0" w:space="0" w:color="auto"/>
            <w:bottom w:val="none" w:sz="0" w:space="0" w:color="auto"/>
            <w:right w:val="none" w:sz="0" w:space="0" w:color="auto"/>
          </w:divBdr>
        </w:div>
        <w:div w:id="2022311957">
          <w:marLeft w:val="0"/>
          <w:marRight w:val="0"/>
          <w:marTop w:val="225"/>
          <w:marBottom w:val="75"/>
          <w:divBdr>
            <w:top w:val="none" w:sz="0" w:space="0" w:color="auto"/>
            <w:left w:val="none" w:sz="0" w:space="0" w:color="auto"/>
            <w:bottom w:val="none" w:sz="0" w:space="0" w:color="auto"/>
            <w:right w:val="none" w:sz="0" w:space="0" w:color="auto"/>
          </w:divBdr>
        </w:div>
        <w:div w:id="595868651">
          <w:marLeft w:val="0"/>
          <w:marRight w:val="0"/>
          <w:marTop w:val="225"/>
          <w:marBottom w:val="75"/>
          <w:divBdr>
            <w:top w:val="none" w:sz="0" w:space="0" w:color="auto"/>
            <w:left w:val="none" w:sz="0" w:space="0" w:color="auto"/>
            <w:bottom w:val="none" w:sz="0" w:space="0" w:color="auto"/>
            <w:right w:val="none" w:sz="0" w:space="0" w:color="auto"/>
          </w:divBdr>
        </w:div>
        <w:div w:id="1002859444">
          <w:marLeft w:val="0"/>
          <w:marRight w:val="0"/>
          <w:marTop w:val="225"/>
          <w:marBottom w:val="75"/>
          <w:divBdr>
            <w:top w:val="none" w:sz="0" w:space="0" w:color="auto"/>
            <w:left w:val="none" w:sz="0" w:space="0" w:color="auto"/>
            <w:bottom w:val="none" w:sz="0" w:space="0" w:color="auto"/>
            <w:right w:val="none" w:sz="0" w:space="0" w:color="auto"/>
          </w:divBdr>
        </w:div>
        <w:div w:id="262307666">
          <w:marLeft w:val="0"/>
          <w:marRight w:val="0"/>
          <w:marTop w:val="225"/>
          <w:marBottom w:val="75"/>
          <w:divBdr>
            <w:top w:val="none" w:sz="0" w:space="0" w:color="auto"/>
            <w:left w:val="none" w:sz="0" w:space="0" w:color="auto"/>
            <w:bottom w:val="none" w:sz="0" w:space="0" w:color="auto"/>
            <w:right w:val="none" w:sz="0" w:space="0" w:color="auto"/>
          </w:divBdr>
        </w:div>
        <w:div w:id="579755108">
          <w:marLeft w:val="0"/>
          <w:marRight w:val="0"/>
          <w:marTop w:val="225"/>
          <w:marBottom w:val="75"/>
          <w:divBdr>
            <w:top w:val="none" w:sz="0" w:space="0" w:color="auto"/>
            <w:left w:val="none" w:sz="0" w:space="0" w:color="auto"/>
            <w:bottom w:val="none" w:sz="0" w:space="0" w:color="auto"/>
            <w:right w:val="none" w:sz="0" w:space="0" w:color="auto"/>
          </w:divBdr>
        </w:div>
        <w:div w:id="2028630724">
          <w:marLeft w:val="0"/>
          <w:marRight w:val="0"/>
          <w:marTop w:val="225"/>
          <w:marBottom w:val="75"/>
          <w:divBdr>
            <w:top w:val="none" w:sz="0" w:space="0" w:color="auto"/>
            <w:left w:val="none" w:sz="0" w:space="0" w:color="auto"/>
            <w:bottom w:val="none" w:sz="0" w:space="0" w:color="auto"/>
            <w:right w:val="none" w:sz="0" w:space="0" w:color="auto"/>
          </w:divBdr>
        </w:div>
        <w:div w:id="67240076">
          <w:marLeft w:val="0"/>
          <w:marRight w:val="0"/>
          <w:marTop w:val="225"/>
          <w:marBottom w:val="75"/>
          <w:divBdr>
            <w:top w:val="none" w:sz="0" w:space="0" w:color="auto"/>
            <w:left w:val="none" w:sz="0" w:space="0" w:color="auto"/>
            <w:bottom w:val="none" w:sz="0" w:space="0" w:color="auto"/>
            <w:right w:val="none" w:sz="0" w:space="0" w:color="auto"/>
          </w:divBdr>
        </w:div>
        <w:div w:id="2092193837">
          <w:marLeft w:val="0"/>
          <w:marRight w:val="0"/>
          <w:marTop w:val="225"/>
          <w:marBottom w:val="75"/>
          <w:divBdr>
            <w:top w:val="none" w:sz="0" w:space="0" w:color="auto"/>
            <w:left w:val="none" w:sz="0" w:space="0" w:color="auto"/>
            <w:bottom w:val="none" w:sz="0" w:space="0" w:color="auto"/>
            <w:right w:val="none" w:sz="0" w:space="0" w:color="auto"/>
          </w:divBdr>
        </w:div>
        <w:div w:id="1415859242">
          <w:marLeft w:val="0"/>
          <w:marRight w:val="0"/>
          <w:marTop w:val="225"/>
          <w:marBottom w:val="75"/>
          <w:divBdr>
            <w:top w:val="none" w:sz="0" w:space="0" w:color="auto"/>
            <w:left w:val="none" w:sz="0" w:space="0" w:color="auto"/>
            <w:bottom w:val="none" w:sz="0" w:space="0" w:color="auto"/>
            <w:right w:val="none" w:sz="0" w:space="0" w:color="auto"/>
          </w:divBdr>
        </w:div>
        <w:div w:id="74480553">
          <w:marLeft w:val="0"/>
          <w:marRight w:val="0"/>
          <w:marTop w:val="225"/>
          <w:marBottom w:val="75"/>
          <w:divBdr>
            <w:top w:val="none" w:sz="0" w:space="0" w:color="auto"/>
            <w:left w:val="none" w:sz="0" w:space="0" w:color="auto"/>
            <w:bottom w:val="none" w:sz="0" w:space="0" w:color="auto"/>
            <w:right w:val="none" w:sz="0" w:space="0" w:color="auto"/>
          </w:divBdr>
        </w:div>
        <w:div w:id="1027605435">
          <w:marLeft w:val="0"/>
          <w:marRight w:val="0"/>
          <w:marTop w:val="225"/>
          <w:marBottom w:val="75"/>
          <w:divBdr>
            <w:top w:val="none" w:sz="0" w:space="0" w:color="auto"/>
            <w:left w:val="none" w:sz="0" w:space="0" w:color="auto"/>
            <w:bottom w:val="none" w:sz="0" w:space="0" w:color="auto"/>
            <w:right w:val="none" w:sz="0" w:space="0" w:color="auto"/>
          </w:divBdr>
        </w:div>
        <w:div w:id="932981164">
          <w:marLeft w:val="0"/>
          <w:marRight w:val="0"/>
          <w:marTop w:val="225"/>
          <w:marBottom w:val="75"/>
          <w:divBdr>
            <w:top w:val="none" w:sz="0" w:space="0" w:color="auto"/>
            <w:left w:val="none" w:sz="0" w:space="0" w:color="auto"/>
            <w:bottom w:val="none" w:sz="0" w:space="0" w:color="auto"/>
            <w:right w:val="none" w:sz="0" w:space="0" w:color="auto"/>
          </w:divBdr>
        </w:div>
        <w:div w:id="791558497">
          <w:marLeft w:val="0"/>
          <w:marRight w:val="0"/>
          <w:marTop w:val="225"/>
          <w:marBottom w:val="75"/>
          <w:divBdr>
            <w:top w:val="none" w:sz="0" w:space="0" w:color="auto"/>
            <w:left w:val="none" w:sz="0" w:space="0" w:color="auto"/>
            <w:bottom w:val="none" w:sz="0" w:space="0" w:color="auto"/>
            <w:right w:val="none" w:sz="0" w:space="0" w:color="auto"/>
          </w:divBdr>
        </w:div>
        <w:div w:id="1321928892">
          <w:marLeft w:val="0"/>
          <w:marRight w:val="0"/>
          <w:marTop w:val="225"/>
          <w:marBottom w:val="75"/>
          <w:divBdr>
            <w:top w:val="none" w:sz="0" w:space="0" w:color="auto"/>
            <w:left w:val="none" w:sz="0" w:space="0" w:color="auto"/>
            <w:bottom w:val="none" w:sz="0" w:space="0" w:color="auto"/>
            <w:right w:val="none" w:sz="0" w:space="0" w:color="auto"/>
          </w:divBdr>
        </w:div>
        <w:div w:id="318465157">
          <w:marLeft w:val="0"/>
          <w:marRight w:val="0"/>
          <w:marTop w:val="225"/>
          <w:marBottom w:val="75"/>
          <w:divBdr>
            <w:top w:val="none" w:sz="0" w:space="0" w:color="auto"/>
            <w:left w:val="none" w:sz="0" w:space="0" w:color="auto"/>
            <w:bottom w:val="none" w:sz="0" w:space="0" w:color="auto"/>
            <w:right w:val="none" w:sz="0" w:space="0" w:color="auto"/>
          </w:divBdr>
        </w:div>
        <w:div w:id="1484857919">
          <w:marLeft w:val="0"/>
          <w:marRight w:val="0"/>
          <w:marTop w:val="225"/>
          <w:marBottom w:val="75"/>
          <w:divBdr>
            <w:top w:val="none" w:sz="0" w:space="0" w:color="auto"/>
            <w:left w:val="none" w:sz="0" w:space="0" w:color="auto"/>
            <w:bottom w:val="none" w:sz="0" w:space="0" w:color="auto"/>
            <w:right w:val="none" w:sz="0" w:space="0" w:color="auto"/>
          </w:divBdr>
        </w:div>
        <w:div w:id="1856651710">
          <w:marLeft w:val="0"/>
          <w:marRight w:val="0"/>
          <w:marTop w:val="225"/>
          <w:marBottom w:val="75"/>
          <w:divBdr>
            <w:top w:val="none" w:sz="0" w:space="0" w:color="auto"/>
            <w:left w:val="none" w:sz="0" w:space="0" w:color="auto"/>
            <w:bottom w:val="none" w:sz="0" w:space="0" w:color="auto"/>
            <w:right w:val="none" w:sz="0" w:space="0" w:color="auto"/>
          </w:divBdr>
        </w:div>
        <w:div w:id="1076122576">
          <w:marLeft w:val="0"/>
          <w:marRight w:val="0"/>
          <w:marTop w:val="225"/>
          <w:marBottom w:val="75"/>
          <w:divBdr>
            <w:top w:val="none" w:sz="0" w:space="0" w:color="auto"/>
            <w:left w:val="none" w:sz="0" w:space="0" w:color="auto"/>
            <w:bottom w:val="none" w:sz="0" w:space="0" w:color="auto"/>
            <w:right w:val="none" w:sz="0" w:space="0" w:color="auto"/>
          </w:divBdr>
        </w:div>
        <w:div w:id="2040618218">
          <w:marLeft w:val="0"/>
          <w:marRight w:val="0"/>
          <w:marTop w:val="225"/>
          <w:marBottom w:val="75"/>
          <w:divBdr>
            <w:top w:val="none" w:sz="0" w:space="0" w:color="auto"/>
            <w:left w:val="none" w:sz="0" w:space="0" w:color="auto"/>
            <w:bottom w:val="none" w:sz="0" w:space="0" w:color="auto"/>
            <w:right w:val="none" w:sz="0" w:space="0" w:color="auto"/>
          </w:divBdr>
        </w:div>
        <w:div w:id="374545596">
          <w:marLeft w:val="0"/>
          <w:marRight w:val="0"/>
          <w:marTop w:val="225"/>
          <w:marBottom w:val="75"/>
          <w:divBdr>
            <w:top w:val="none" w:sz="0" w:space="0" w:color="auto"/>
            <w:left w:val="none" w:sz="0" w:space="0" w:color="auto"/>
            <w:bottom w:val="none" w:sz="0" w:space="0" w:color="auto"/>
            <w:right w:val="none" w:sz="0" w:space="0" w:color="auto"/>
          </w:divBdr>
        </w:div>
        <w:div w:id="1501434382">
          <w:marLeft w:val="0"/>
          <w:marRight w:val="0"/>
          <w:marTop w:val="225"/>
          <w:marBottom w:val="75"/>
          <w:divBdr>
            <w:top w:val="none" w:sz="0" w:space="0" w:color="auto"/>
            <w:left w:val="none" w:sz="0" w:space="0" w:color="auto"/>
            <w:bottom w:val="none" w:sz="0" w:space="0" w:color="auto"/>
            <w:right w:val="none" w:sz="0" w:space="0" w:color="auto"/>
          </w:divBdr>
        </w:div>
        <w:div w:id="1097864646">
          <w:marLeft w:val="0"/>
          <w:marRight w:val="0"/>
          <w:marTop w:val="225"/>
          <w:marBottom w:val="75"/>
          <w:divBdr>
            <w:top w:val="none" w:sz="0" w:space="0" w:color="auto"/>
            <w:left w:val="none" w:sz="0" w:space="0" w:color="auto"/>
            <w:bottom w:val="none" w:sz="0" w:space="0" w:color="auto"/>
            <w:right w:val="none" w:sz="0" w:space="0" w:color="auto"/>
          </w:divBdr>
        </w:div>
        <w:div w:id="1712537318">
          <w:marLeft w:val="0"/>
          <w:marRight w:val="0"/>
          <w:marTop w:val="225"/>
          <w:marBottom w:val="75"/>
          <w:divBdr>
            <w:top w:val="none" w:sz="0" w:space="0" w:color="auto"/>
            <w:left w:val="none" w:sz="0" w:space="0" w:color="auto"/>
            <w:bottom w:val="none" w:sz="0" w:space="0" w:color="auto"/>
            <w:right w:val="none" w:sz="0" w:space="0" w:color="auto"/>
          </w:divBdr>
        </w:div>
        <w:div w:id="191842780">
          <w:marLeft w:val="0"/>
          <w:marRight w:val="0"/>
          <w:marTop w:val="225"/>
          <w:marBottom w:val="75"/>
          <w:divBdr>
            <w:top w:val="none" w:sz="0" w:space="0" w:color="auto"/>
            <w:left w:val="none" w:sz="0" w:space="0" w:color="auto"/>
            <w:bottom w:val="none" w:sz="0" w:space="0" w:color="auto"/>
            <w:right w:val="none" w:sz="0" w:space="0" w:color="auto"/>
          </w:divBdr>
        </w:div>
        <w:div w:id="603193825">
          <w:marLeft w:val="0"/>
          <w:marRight w:val="0"/>
          <w:marTop w:val="225"/>
          <w:marBottom w:val="75"/>
          <w:divBdr>
            <w:top w:val="none" w:sz="0" w:space="0" w:color="auto"/>
            <w:left w:val="none" w:sz="0" w:space="0" w:color="auto"/>
            <w:bottom w:val="none" w:sz="0" w:space="0" w:color="auto"/>
            <w:right w:val="none" w:sz="0" w:space="0" w:color="auto"/>
          </w:divBdr>
        </w:div>
        <w:div w:id="532809734">
          <w:marLeft w:val="0"/>
          <w:marRight w:val="0"/>
          <w:marTop w:val="225"/>
          <w:marBottom w:val="75"/>
          <w:divBdr>
            <w:top w:val="none" w:sz="0" w:space="0" w:color="auto"/>
            <w:left w:val="none" w:sz="0" w:space="0" w:color="auto"/>
            <w:bottom w:val="none" w:sz="0" w:space="0" w:color="auto"/>
            <w:right w:val="none" w:sz="0" w:space="0" w:color="auto"/>
          </w:divBdr>
        </w:div>
        <w:div w:id="1630628957">
          <w:marLeft w:val="0"/>
          <w:marRight w:val="0"/>
          <w:marTop w:val="225"/>
          <w:marBottom w:val="75"/>
          <w:divBdr>
            <w:top w:val="none" w:sz="0" w:space="0" w:color="auto"/>
            <w:left w:val="none" w:sz="0" w:space="0" w:color="auto"/>
            <w:bottom w:val="none" w:sz="0" w:space="0" w:color="auto"/>
            <w:right w:val="none" w:sz="0" w:space="0" w:color="auto"/>
          </w:divBdr>
        </w:div>
        <w:div w:id="1261570319">
          <w:marLeft w:val="0"/>
          <w:marRight w:val="0"/>
          <w:marTop w:val="225"/>
          <w:marBottom w:val="75"/>
          <w:divBdr>
            <w:top w:val="none" w:sz="0" w:space="0" w:color="auto"/>
            <w:left w:val="none" w:sz="0" w:space="0" w:color="auto"/>
            <w:bottom w:val="none" w:sz="0" w:space="0" w:color="auto"/>
            <w:right w:val="none" w:sz="0" w:space="0" w:color="auto"/>
          </w:divBdr>
        </w:div>
        <w:div w:id="2083599069">
          <w:marLeft w:val="0"/>
          <w:marRight w:val="0"/>
          <w:marTop w:val="225"/>
          <w:marBottom w:val="75"/>
          <w:divBdr>
            <w:top w:val="none" w:sz="0" w:space="0" w:color="auto"/>
            <w:left w:val="none" w:sz="0" w:space="0" w:color="auto"/>
            <w:bottom w:val="none" w:sz="0" w:space="0" w:color="auto"/>
            <w:right w:val="none" w:sz="0" w:space="0" w:color="auto"/>
          </w:divBdr>
        </w:div>
        <w:div w:id="1775592138">
          <w:marLeft w:val="0"/>
          <w:marRight w:val="0"/>
          <w:marTop w:val="225"/>
          <w:marBottom w:val="75"/>
          <w:divBdr>
            <w:top w:val="none" w:sz="0" w:space="0" w:color="auto"/>
            <w:left w:val="none" w:sz="0" w:space="0" w:color="auto"/>
            <w:bottom w:val="none" w:sz="0" w:space="0" w:color="auto"/>
            <w:right w:val="none" w:sz="0" w:space="0" w:color="auto"/>
          </w:divBdr>
        </w:div>
        <w:div w:id="2081055856">
          <w:marLeft w:val="0"/>
          <w:marRight w:val="0"/>
          <w:marTop w:val="225"/>
          <w:marBottom w:val="75"/>
          <w:divBdr>
            <w:top w:val="none" w:sz="0" w:space="0" w:color="auto"/>
            <w:left w:val="none" w:sz="0" w:space="0" w:color="auto"/>
            <w:bottom w:val="none" w:sz="0" w:space="0" w:color="auto"/>
            <w:right w:val="none" w:sz="0" w:space="0" w:color="auto"/>
          </w:divBdr>
        </w:div>
        <w:div w:id="1224950067">
          <w:marLeft w:val="0"/>
          <w:marRight w:val="0"/>
          <w:marTop w:val="225"/>
          <w:marBottom w:val="75"/>
          <w:divBdr>
            <w:top w:val="none" w:sz="0" w:space="0" w:color="auto"/>
            <w:left w:val="none" w:sz="0" w:space="0" w:color="auto"/>
            <w:bottom w:val="none" w:sz="0" w:space="0" w:color="auto"/>
            <w:right w:val="none" w:sz="0" w:space="0" w:color="auto"/>
          </w:divBdr>
        </w:div>
        <w:div w:id="1514145313">
          <w:marLeft w:val="0"/>
          <w:marRight w:val="0"/>
          <w:marTop w:val="225"/>
          <w:marBottom w:val="75"/>
          <w:divBdr>
            <w:top w:val="none" w:sz="0" w:space="0" w:color="auto"/>
            <w:left w:val="none" w:sz="0" w:space="0" w:color="auto"/>
            <w:bottom w:val="none" w:sz="0" w:space="0" w:color="auto"/>
            <w:right w:val="none" w:sz="0" w:space="0" w:color="auto"/>
          </w:divBdr>
        </w:div>
        <w:div w:id="529804434">
          <w:marLeft w:val="0"/>
          <w:marRight w:val="0"/>
          <w:marTop w:val="225"/>
          <w:marBottom w:val="75"/>
          <w:divBdr>
            <w:top w:val="none" w:sz="0" w:space="0" w:color="auto"/>
            <w:left w:val="none" w:sz="0" w:space="0" w:color="auto"/>
            <w:bottom w:val="none" w:sz="0" w:space="0" w:color="auto"/>
            <w:right w:val="none" w:sz="0" w:space="0" w:color="auto"/>
          </w:divBdr>
        </w:div>
        <w:div w:id="2102412665">
          <w:marLeft w:val="0"/>
          <w:marRight w:val="0"/>
          <w:marTop w:val="225"/>
          <w:marBottom w:val="75"/>
          <w:divBdr>
            <w:top w:val="none" w:sz="0" w:space="0" w:color="auto"/>
            <w:left w:val="none" w:sz="0" w:space="0" w:color="auto"/>
            <w:bottom w:val="none" w:sz="0" w:space="0" w:color="auto"/>
            <w:right w:val="none" w:sz="0" w:space="0" w:color="auto"/>
          </w:divBdr>
        </w:div>
        <w:div w:id="1232472420">
          <w:marLeft w:val="0"/>
          <w:marRight w:val="0"/>
          <w:marTop w:val="225"/>
          <w:marBottom w:val="75"/>
          <w:divBdr>
            <w:top w:val="none" w:sz="0" w:space="0" w:color="auto"/>
            <w:left w:val="none" w:sz="0" w:space="0" w:color="auto"/>
            <w:bottom w:val="none" w:sz="0" w:space="0" w:color="auto"/>
            <w:right w:val="none" w:sz="0" w:space="0" w:color="auto"/>
          </w:divBdr>
        </w:div>
        <w:div w:id="1415125216">
          <w:marLeft w:val="0"/>
          <w:marRight w:val="0"/>
          <w:marTop w:val="225"/>
          <w:marBottom w:val="75"/>
          <w:divBdr>
            <w:top w:val="none" w:sz="0" w:space="0" w:color="auto"/>
            <w:left w:val="none" w:sz="0" w:space="0" w:color="auto"/>
            <w:bottom w:val="none" w:sz="0" w:space="0" w:color="auto"/>
            <w:right w:val="none" w:sz="0" w:space="0" w:color="auto"/>
          </w:divBdr>
        </w:div>
        <w:div w:id="1789349003">
          <w:marLeft w:val="0"/>
          <w:marRight w:val="0"/>
          <w:marTop w:val="225"/>
          <w:marBottom w:val="75"/>
          <w:divBdr>
            <w:top w:val="none" w:sz="0" w:space="0" w:color="auto"/>
            <w:left w:val="none" w:sz="0" w:space="0" w:color="auto"/>
            <w:bottom w:val="none" w:sz="0" w:space="0" w:color="auto"/>
            <w:right w:val="none" w:sz="0" w:space="0" w:color="auto"/>
          </w:divBdr>
        </w:div>
        <w:div w:id="58330253">
          <w:marLeft w:val="0"/>
          <w:marRight w:val="0"/>
          <w:marTop w:val="225"/>
          <w:marBottom w:val="75"/>
          <w:divBdr>
            <w:top w:val="none" w:sz="0" w:space="0" w:color="auto"/>
            <w:left w:val="none" w:sz="0" w:space="0" w:color="auto"/>
            <w:bottom w:val="none" w:sz="0" w:space="0" w:color="auto"/>
            <w:right w:val="none" w:sz="0" w:space="0" w:color="auto"/>
          </w:divBdr>
        </w:div>
        <w:div w:id="214976479">
          <w:marLeft w:val="0"/>
          <w:marRight w:val="0"/>
          <w:marTop w:val="225"/>
          <w:marBottom w:val="75"/>
          <w:divBdr>
            <w:top w:val="none" w:sz="0" w:space="0" w:color="auto"/>
            <w:left w:val="none" w:sz="0" w:space="0" w:color="auto"/>
            <w:bottom w:val="none" w:sz="0" w:space="0" w:color="auto"/>
            <w:right w:val="none" w:sz="0" w:space="0" w:color="auto"/>
          </w:divBdr>
        </w:div>
        <w:div w:id="1203516287">
          <w:marLeft w:val="0"/>
          <w:marRight w:val="0"/>
          <w:marTop w:val="225"/>
          <w:marBottom w:val="75"/>
          <w:divBdr>
            <w:top w:val="none" w:sz="0" w:space="0" w:color="auto"/>
            <w:left w:val="none" w:sz="0" w:space="0" w:color="auto"/>
            <w:bottom w:val="none" w:sz="0" w:space="0" w:color="auto"/>
            <w:right w:val="none" w:sz="0" w:space="0" w:color="auto"/>
          </w:divBdr>
        </w:div>
        <w:div w:id="899747050">
          <w:marLeft w:val="0"/>
          <w:marRight w:val="0"/>
          <w:marTop w:val="225"/>
          <w:marBottom w:val="75"/>
          <w:divBdr>
            <w:top w:val="none" w:sz="0" w:space="0" w:color="auto"/>
            <w:left w:val="none" w:sz="0" w:space="0" w:color="auto"/>
            <w:bottom w:val="none" w:sz="0" w:space="0" w:color="auto"/>
            <w:right w:val="none" w:sz="0" w:space="0" w:color="auto"/>
          </w:divBdr>
        </w:div>
        <w:div w:id="2080443650">
          <w:marLeft w:val="0"/>
          <w:marRight w:val="0"/>
          <w:marTop w:val="225"/>
          <w:marBottom w:val="75"/>
          <w:divBdr>
            <w:top w:val="none" w:sz="0" w:space="0" w:color="auto"/>
            <w:left w:val="none" w:sz="0" w:space="0" w:color="auto"/>
            <w:bottom w:val="none" w:sz="0" w:space="0" w:color="auto"/>
            <w:right w:val="none" w:sz="0" w:space="0" w:color="auto"/>
          </w:divBdr>
        </w:div>
        <w:div w:id="17896936">
          <w:marLeft w:val="0"/>
          <w:marRight w:val="0"/>
          <w:marTop w:val="225"/>
          <w:marBottom w:val="75"/>
          <w:divBdr>
            <w:top w:val="none" w:sz="0" w:space="0" w:color="auto"/>
            <w:left w:val="none" w:sz="0" w:space="0" w:color="auto"/>
            <w:bottom w:val="none" w:sz="0" w:space="0" w:color="auto"/>
            <w:right w:val="none" w:sz="0" w:space="0" w:color="auto"/>
          </w:divBdr>
        </w:div>
        <w:div w:id="1636525769">
          <w:marLeft w:val="0"/>
          <w:marRight w:val="0"/>
          <w:marTop w:val="225"/>
          <w:marBottom w:val="75"/>
          <w:divBdr>
            <w:top w:val="none" w:sz="0" w:space="0" w:color="auto"/>
            <w:left w:val="none" w:sz="0" w:space="0" w:color="auto"/>
            <w:bottom w:val="none" w:sz="0" w:space="0" w:color="auto"/>
            <w:right w:val="none" w:sz="0" w:space="0" w:color="auto"/>
          </w:divBdr>
        </w:div>
        <w:div w:id="1101418737">
          <w:marLeft w:val="0"/>
          <w:marRight w:val="0"/>
          <w:marTop w:val="225"/>
          <w:marBottom w:val="75"/>
          <w:divBdr>
            <w:top w:val="none" w:sz="0" w:space="0" w:color="auto"/>
            <w:left w:val="none" w:sz="0" w:space="0" w:color="auto"/>
            <w:bottom w:val="none" w:sz="0" w:space="0" w:color="auto"/>
            <w:right w:val="none" w:sz="0" w:space="0" w:color="auto"/>
          </w:divBdr>
        </w:div>
        <w:div w:id="1445349535">
          <w:marLeft w:val="0"/>
          <w:marRight w:val="0"/>
          <w:marTop w:val="225"/>
          <w:marBottom w:val="75"/>
          <w:divBdr>
            <w:top w:val="none" w:sz="0" w:space="0" w:color="auto"/>
            <w:left w:val="none" w:sz="0" w:space="0" w:color="auto"/>
            <w:bottom w:val="none" w:sz="0" w:space="0" w:color="auto"/>
            <w:right w:val="none" w:sz="0" w:space="0" w:color="auto"/>
          </w:divBdr>
        </w:div>
        <w:div w:id="113839932">
          <w:marLeft w:val="0"/>
          <w:marRight w:val="0"/>
          <w:marTop w:val="225"/>
          <w:marBottom w:val="75"/>
          <w:divBdr>
            <w:top w:val="none" w:sz="0" w:space="0" w:color="auto"/>
            <w:left w:val="none" w:sz="0" w:space="0" w:color="auto"/>
            <w:bottom w:val="none" w:sz="0" w:space="0" w:color="auto"/>
            <w:right w:val="none" w:sz="0" w:space="0" w:color="auto"/>
          </w:divBdr>
        </w:div>
        <w:div w:id="108403324">
          <w:marLeft w:val="0"/>
          <w:marRight w:val="0"/>
          <w:marTop w:val="225"/>
          <w:marBottom w:val="75"/>
          <w:divBdr>
            <w:top w:val="none" w:sz="0" w:space="0" w:color="auto"/>
            <w:left w:val="none" w:sz="0" w:space="0" w:color="auto"/>
            <w:bottom w:val="none" w:sz="0" w:space="0" w:color="auto"/>
            <w:right w:val="none" w:sz="0" w:space="0" w:color="auto"/>
          </w:divBdr>
        </w:div>
        <w:div w:id="704134986">
          <w:marLeft w:val="0"/>
          <w:marRight w:val="0"/>
          <w:marTop w:val="225"/>
          <w:marBottom w:val="75"/>
          <w:divBdr>
            <w:top w:val="none" w:sz="0" w:space="0" w:color="auto"/>
            <w:left w:val="none" w:sz="0" w:space="0" w:color="auto"/>
            <w:bottom w:val="none" w:sz="0" w:space="0" w:color="auto"/>
            <w:right w:val="none" w:sz="0" w:space="0" w:color="auto"/>
          </w:divBdr>
        </w:div>
        <w:div w:id="49354848">
          <w:marLeft w:val="0"/>
          <w:marRight w:val="0"/>
          <w:marTop w:val="225"/>
          <w:marBottom w:val="75"/>
          <w:divBdr>
            <w:top w:val="none" w:sz="0" w:space="0" w:color="auto"/>
            <w:left w:val="none" w:sz="0" w:space="0" w:color="auto"/>
            <w:bottom w:val="none" w:sz="0" w:space="0" w:color="auto"/>
            <w:right w:val="none" w:sz="0" w:space="0" w:color="auto"/>
          </w:divBdr>
        </w:div>
        <w:div w:id="485049456">
          <w:marLeft w:val="0"/>
          <w:marRight w:val="0"/>
          <w:marTop w:val="225"/>
          <w:marBottom w:val="75"/>
          <w:divBdr>
            <w:top w:val="none" w:sz="0" w:space="0" w:color="auto"/>
            <w:left w:val="none" w:sz="0" w:space="0" w:color="auto"/>
            <w:bottom w:val="none" w:sz="0" w:space="0" w:color="auto"/>
            <w:right w:val="none" w:sz="0" w:space="0" w:color="auto"/>
          </w:divBdr>
        </w:div>
        <w:div w:id="645015973">
          <w:marLeft w:val="0"/>
          <w:marRight w:val="0"/>
          <w:marTop w:val="225"/>
          <w:marBottom w:val="75"/>
          <w:divBdr>
            <w:top w:val="none" w:sz="0" w:space="0" w:color="auto"/>
            <w:left w:val="none" w:sz="0" w:space="0" w:color="auto"/>
            <w:bottom w:val="none" w:sz="0" w:space="0" w:color="auto"/>
            <w:right w:val="none" w:sz="0" w:space="0" w:color="auto"/>
          </w:divBdr>
        </w:div>
        <w:div w:id="601495644">
          <w:marLeft w:val="0"/>
          <w:marRight w:val="0"/>
          <w:marTop w:val="225"/>
          <w:marBottom w:val="75"/>
          <w:divBdr>
            <w:top w:val="none" w:sz="0" w:space="0" w:color="auto"/>
            <w:left w:val="none" w:sz="0" w:space="0" w:color="auto"/>
            <w:bottom w:val="none" w:sz="0" w:space="0" w:color="auto"/>
            <w:right w:val="none" w:sz="0" w:space="0" w:color="auto"/>
          </w:divBdr>
        </w:div>
        <w:div w:id="2116367160">
          <w:marLeft w:val="0"/>
          <w:marRight w:val="0"/>
          <w:marTop w:val="225"/>
          <w:marBottom w:val="75"/>
          <w:divBdr>
            <w:top w:val="none" w:sz="0" w:space="0" w:color="auto"/>
            <w:left w:val="none" w:sz="0" w:space="0" w:color="auto"/>
            <w:bottom w:val="none" w:sz="0" w:space="0" w:color="auto"/>
            <w:right w:val="none" w:sz="0" w:space="0" w:color="auto"/>
          </w:divBdr>
        </w:div>
        <w:div w:id="2051025953">
          <w:marLeft w:val="0"/>
          <w:marRight w:val="0"/>
          <w:marTop w:val="225"/>
          <w:marBottom w:val="75"/>
          <w:divBdr>
            <w:top w:val="none" w:sz="0" w:space="0" w:color="auto"/>
            <w:left w:val="none" w:sz="0" w:space="0" w:color="auto"/>
            <w:bottom w:val="none" w:sz="0" w:space="0" w:color="auto"/>
            <w:right w:val="none" w:sz="0" w:space="0" w:color="auto"/>
          </w:divBdr>
        </w:div>
        <w:div w:id="274143131">
          <w:marLeft w:val="0"/>
          <w:marRight w:val="0"/>
          <w:marTop w:val="225"/>
          <w:marBottom w:val="75"/>
          <w:divBdr>
            <w:top w:val="none" w:sz="0" w:space="0" w:color="auto"/>
            <w:left w:val="none" w:sz="0" w:space="0" w:color="auto"/>
            <w:bottom w:val="none" w:sz="0" w:space="0" w:color="auto"/>
            <w:right w:val="none" w:sz="0" w:space="0" w:color="auto"/>
          </w:divBdr>
        </w:div>
        <w:div w:id="911231208">
          <w:marLeft w:val="0"/>
          <w:marRight w:val="0"/>
          <w:marTop w:val="225"/>
          <w:marBottom w:val="75"/>
          <w:divBdr>
            <w:top w:val="none" w:sz="0" w:space="0" w:color="auto"/>
            <w:left w:val="none" w:sz="0" w:space="0" w:color="auto"/>
            <w:bottom w:val="none" w:sz="0" w:space="0" w:color="auto"/>
            <w:right w:val="none" w:sz="0" w:space="0" w:color="auto"/>
          </w:divBdr>
        </w:div>
        <w:div w:id="187649393">
          <w:marLeft w:val="0"/>
          <w:marRight w:val="0"/>
          <w:marTop w:val="225"/>
          <w:marBottom w:val="75"/>
          <w:divBdr>
            <w:top w:val="none" w:sz="0" w:space="0" w:color="auto"/>
            <w:left w:val="none" w:sz="0" w:space="0" w:color="auto"/>
            <w:bottom w:val="none" w:sz="0" w:space="0" w:color="auto"/>
            <w:right w:val="none" w:sz="0" w:space="0" w:color="auto"/>
          </w:divBdr>
        </w:div>
        <w:div w:id="352925983">
          <w:marLeft w:val="0"/>
          <w:marRight w:val="0"/>
          <w:marTop w:val="225"/>
          <w:marBottom w:val="75"/>
          <w:divBdr>
            <w:top w:val="none" w:sz="0" w:space="0" w:color="auto"/>
            <w:left w:val="none" w:sz="0" w:space="0" w:color="auto"/>
            <w:bottom w:val="none" w:sz="0" w:space="0" w:color="auto"/>
            <w:right w:val="none" w:sz="0" w:space="0" w:color="auto"/>
          </w:divBdr>
        </w:div>
        <w:div w:id="2101753476">
          <w:marLeft w:val="0"/>
          <w:marRight w:val="0"/>
          <w:marTop w:val="225"/>
          <w:marBottom w:val="75"/>
          <w:divBdr>
            <w:top w:val="none" w:sz="0" w:space="0" w:color="auto"/>
            <w:left w:val="none" w:sz="0" w:space="0" w:color="auto"/>
            <w:bottom w:val="none" w:sz="0" w:space="0" w:color="auto"/>
            <w:right w:val="none" w:sz="0" w:space="0" w:color="auto"/>
          </w:divBdr>
        </w:div>
        <w:div w:id="1937975871">
          <w:marLeft w:val="0"/>
          <w:marRight w:val="0"/>
          <w:marTop w:val="225"/>
          <w:marBottom w:val="75"/>
          <w:divBdr>
            <w:top w:val="none" w:sz="0" w:space="0" w:color="auto"/>
            <w:left w:val="none" w:sz="0" w:space="0" w:color="auto"/>
            <w:bottom w:val="none" w:sz="0" w:space="0" w:color="auto"/>
            <w:right w:val="none" w:sz="0" w:space="0" w:color="auto"/>
          </w:divBdr>
        </w:div>
        <w:div w:id="1445080847">
          <w:marLeft w:val="0"/>
          <w:marRight w:val="0"/>
          <w:marTop w:val="225"/>
          <w:marBottom w:val="75"/>
          <w:divBdr>
            <w:top w:val="none" w:sz="0" w:space="0" w:color="auto"/>
            <w:left w:val="none" w:sz="0" w:space="0" w:color="auto"/>
            <w:bottom w:val="none" w:sz="0" w:space="0" w:color="auto"/>
            <w:right w:val="none" w:sz="0" w:space="0" w:color="auto"/>
          </w:divBdr>
        </w:div>
        <w:div w:id="1966230367">
          <w:marLeft w:val="0"/>
          <w:marRight w:val="0"/>
          <w:marTop w:val="225"/>
          <w:marBottom w:val="75"/>
          <w:divBdr>
            <w:top w:val="none" w:sz="0" w:space="0" w:color="auto"/>
            <w:left w:val="none" w:sz="0" w:space="0" w:color="auto"/>
            <w:bottom w:val="none" w:sz="0" w:space="0" w:color="auto"/>
            <w:right w:val="none" w:sz="0" w:space="0" w:color="auto"/>
          </w:divBdr>
        </w:div>
        <w:div w:id="662007128">
          <w:marLeft w:val="0"/>
          <w:marRight w:val="0"/>
          <w:marTop w:val="225"/>
          <w:marBottom w:val="75"/>
          <w:divBdr>
            <w:top w:val="none" w:sz="0" w:space="0" w:color="auto"/>
            <w:left w:val="none" w:sz="0" w:space="0" w:color="auto"/>
            <w:bottom w:val="none" w:sz="0" w:space="0" w:color="auto"/>
            <w:right w:val="none" w:sz="0" w:space="0" w:color="auto"/>
          </w:divBdr>
        </w:div>
        <w:div w:id="1869681641">
          <w:marLeft w:val="0"/>
          <w:marRight w:val="0"/>
          <w:marTop w:val="225"/>
          <w:marBottom w:val="75"/>
          <w:divBdr>
            <w:top w:val="none" w:sz="0" w:space="0" w:color="auto"/>
            <w:left w:val="none" w:sz="0" w:space="0" w:color="auto"/>
            <w:bottom w:val="none" w:sz="0" w:space="0" w:color="auto"/>
            <w:right w:val="none" w:sz="0" w:space="0" w:color="auto"/>
          </w:divBdr>
        </w:div>
        <w:div w:id="1879509100">
          <w:marLeft w:val="0"/>
          <w:marRight w:val="0"/>
          <w:marTop w:val="225"/>
          <w:marBottom w:val="75"/>
          <w:divBdr>
            <w:top w:val="none" w:sz="0" w:space="0" w:color="auto"/>
            <w:left w:val="none" w:sz="0" w:space="0" w:color="auto"/>
            <w:bottom w:val="none" w:sz="0" w:space="0" w:color="auto"/>
            <w:right w:val="none" w:sz="0" w:space="0" w:color="auto"/>
          </w:divBdr>
        </w:div>
        <w:div w:id="774137195">
          <w:marLeft w:val="0"/>
          <w:marRight w:val="0"/>
          <w:marTop w:val="225"/>
          <w:marBottom w:val="75"/>
          <w:divBdr>
            <w:top w:val="none" w:sz="0" w:space="0" w:color="auto"/>
            <w:left w:val="none" w:sz="0" w:space="0" w:color="auto"/>
            <w:bottom w:val="none" w:sz="0" w:space="0" w:color="auto"/>
            <w:right w:val="none" w:sz="0" w:space="0" w:color="auto"/>
          </w:divBdr>
        </w:div>
        <w:div w:id="1596091213">
          <w:marLeft w:val="0"/>
          <w:marRight w:val="0"/>
          <w:marTop w:val="225"/>
          <w:marBottom w:val="75"/>
          <w:divBdr>
            <w:top w:val="none" w:sz="0" w:space="0" w:color="auto"/>
            <w:left w:val="none" w:sz="0" w:space="0" w:color="auto"/>
            <w:bottom w:val="none" w:sz="0" w:space="0" w:color="auto"/>
            <w:right w:val="none" w:sz="0" w:space="0" w:color="auto"/>
          </w:divBdr>
        </w:div>
        <w:div w:id="538011090">
          <w:marLeft w:val="0"/>
          <w:marRight w:val="0"/>
          <w:marTop w:val="225"/>
          <w:marBottom w:val="75"/>
          <w:divBdr>
            <w:top w:val="none" w:sz="0" w:space="0" w:color="auto"/>
            <w:left w:val="none" w:sz="0" w:space="0" w:color="auto"/>
            <w:bottom w:val="none" w:sz="0" w:space="0" w:color="auto"/>
            <w:right w:val="none" w:sz="0" w:space="0" w:color="auto"/>
          </w:divBdr>
        </w:div>
        <w:div w:id="1350066928">
          <w:marLeft w:val="0"/>
          <w:marRight w:val="0"/>
          <w:marTop w:val="225"/>
          <w:marBottom w:val="75"/>
          <w:divBdr>
            <w:top w:val="none" w:sz="0" w:space="0" w:color="auto"/>
            <w:left w:val="none" w:sz="0" w:space="0" w:color="auto"/>
            <w:bottom w:val="none" w:sz="0" w:space="0" w:color="auto"/>
            <w:right w:val="none" w:sz="0" w:space="0" w:color="auto"/>
          </w:divBdr>
        </w:div>
        <w:div w:id="619798015">
          <w:marLeft w:val="0"/>
          <w:marRight w:val="0"/>
          <w:marTop w:val="225"/>
          <w:marBottom w:val="75"/>
          <w:divBdr>
            <w:top w:val="none" w:sz="0" w:space="0" w:color="auto"/>
            <w:left w:val="none" w:sz="0" w:space="0" w:color="auto"/>
            <w:bottom w:val="none" w:sz="0" w:space="0" w:color="auto"/>
            <w:right w:val="none" w:sz="0" w:space="0" w:color="auto"/>
          </w:divBdr>
        </w:div>
        <w:div w:id="360521068">
          <w:marLeft w:val="0"/>
          <w:marRight w:val="0"/>
          <w:marTop w:val="225"/>
          <w:marBottom w:val="75"/>
          <w:divBdr>
            <w:top w:val="none" w:sz="0" w:space="0" w:color="auto"/>
            <w:left w:val="none" w:sz="0" w:space="0" w:color="auto"/>
            <w:bottom w:val="none" w:sz="0" w:space="0" w:color="auto"/>
            <w:right w:val="none" w:sz="0" w:space="0" w:color="auto"/>
          </w:divBdr>
        </w:div>
        <w:div w:id="1287664594">
          <w:marLeft w:val="0"/>
          <w:marRight w:val="0"/>
          <w:marTop w:val="225"/>
          <w:marBottom w:val="75"/>
          <w:divBdr>
            <w:top w:val="none" w:sz="0" w:space="0" w:color="auto"/>
            <w:left w:val="none" w:sz="0" w:space="0" w:color="auto"/>
            <w:bottom w:val="none" w:sz="0" w:space="0" w:color="auto"/>
            <w:right w:val="none" w:sz="0" w:space="0" w:color="auto"/>
          </w:divBdr>
        </w:div>
        <w:div w:id="507981833">
          <w:marLeft w:val="0"/>
          <w:marRight w:val="0"/>
          <w:marTop w:val="225"/>
          <w:marBottom w:val="75"/>
          <w:divBdr>
            <w:top w:val="none" w:sz="0" w:space="0" w:color="auto"/>
            <w:left w:val="none" w:sz="0" w:space="0" w:color="auto"/>
            <w:bottom w:val="none" w:sz="0" w:space="0" w:color="auto"/>
            <w:right w:val="none" w:sz="0" w:space="0" w:color="auto"/>
          </w:divBdr>
        </w:div>
        <w:div w:id="1316952701">
          <w:marLeft w:val="0"/>
          <w:marRight w:val="0"/>
          <w:marTop w:val="225"/>
          <w:marBottom w:val="75"/>
          <w:divBdr>
            <w:top w:val="none" w:sz="0" w:space="0" w:color="auto"/>
            <w:left w:val="none" w:sz="0" w:space="0" w:color="auto"/>
            <w:bottom w:val="none" w:sz="0" w:space="0" w:color="auto"/>
            <w:right w:val="none" w:sz="0" w:space="0" w:color="auto"/>
          </w:divBdr>
        </w:div>
        <w:div w:id="1296374903">
          <w:marLeft w:val="0"/>
          <w:marRight w:val="0"/>
          <w:marTop w:val="225"/>
          <w:marBottom w:val="75"/>
          <w:divBdr>
            <w:top w:val="none" w:sz="0" w:space="0" w:color="auto"/>
            <w:left w:val="none" w:sz="0" w:space="0" w:color="auto"/>
            <w:bottom w:val="none" w:sz="0" w:space="0" w:color="auto"/>
            <w:right w:val="none" w:sz="0" w:space="0" w:color="auto"/>
          </w:divBdr>
        </w:div>
        <w:div w:id="35273755">
          <w:marLeft w:val="0"/>
          <w:marRight w:val="0"/>
          <w:marTop w:val="225"/>
          <w:marBottom w:val="75"/>
          <w:divBdr>
            <w:top w:val="none" w:sz="0" w:space="0" w:color="auto"/>
            <w:left w:val="none" w:sz="0" w:space="0" w:color="auto"/>
            <w:bottom w:val="none" w:sz="0" w:space="0" w:color="auto"/>
            <w:right w:val="none" w:sz="0" w:space="0" w:color="auto"/>
          </w:divBdr>
        </w:div>
        <w:div w:id="1628462255">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3491505.htm"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zhaoyi</cp:lastModifiedBy>
  <cp:revision>21</cp:revision>
  <dcterms:created xsi:type="dcterms:W3CDTF">2014-06-09T16:20:00Z</dcterms:created>
  <dcterms:modified xsi:type="dcterms:W3CDTF">2016-08-23T15:39:00Z</dcterms:modified>
</cp:coreProperties>
</file>