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321" w:rsidRPr="00543321" w:rsidRDefault="00543321" w:rsidP="00543321">
      <w:pPr>
        <w:widowControl/>
        <w:shd w:val="clear" w:color="auto" w:fill="FFFFFF"/>
        <w:spacing w:before="525" w:after="225" w:line="330" w:lineRule="atLeast"/>
        <w:ind w:left="-450"/>
        <w:jc w:val="left"/>
        <w:outlineLvl w:val="1"/>
        <w:rPr>
          <w:rFonts w:ascii="微软雅黑" w:eastAsia="微软雅黑" w:hAnsi="微软雅黑" w:cs="宋体"/>
          <w:color w:val="000000"/>
          <w:kern w:val="0"/>
          <w:sz w:val="36"/>
          <w:szCs w:val="36"/>
        </w:rPr>
      </w:pPr>
      <w:r w:rsidRPr="00543321">
        <w:rPr>
          <w:rFonts w:ascii="微软雅黑" w:eastAsia="微软雅黑" w:hAnsi="微软雅黑" w:cs="宋体" w:hint="eastAsia"/>
          <w:color w:val="000000"/>
          <w:kern w:val="0"/>
          <w:sz w:val="36"/>
          <w:szCs w:val="36"/>
          <w:shd w:val="clear" w:color="auto" w:fill="FFFFFF"/>
        </w:rPr>
        <w:t>中国证券监督管理委员会公告</w:t>
      </w:r>
      <w:hyperlink r:id="rId5" w:tooltip="编辑本段" w:history="1">
        <w:r w:rsidRPr="00543321">
          <w:rPr>
            <w:rFonts w:ascii="宋体" w:eastAsia="宋体" w:hAnsi="宋体" w:cs="宋体" w:hint="eastAsia"/>
            <w:color w:val="888888"/>
            <w:kern w:val="0"/>
            <w:sz w:val="18"/>
            <w:szCs w:val="18"/>
          </w:rPr>
          <w:t>编辑</w:t>
        </w:r>
      </w:hyperlink>
    </w:p>
    <w:p w:rsidR="00543321" w:rsidRPr="00543321" w:rsidRDefault="00543321" w:rsidP="00543321">
      <w:pPr>
        <w:widowControl/>
        <w:shd w:val="clear" w:color="auto" w:fill="FFFFFF"/>
        <w:spacing w:line="360" w:lineRule="atLeast"/>
        <w:ind w:firstLine="480"/>
        <w:jc w:val="left"/>
        <w:rPr>
          <w:rFonts w:ascii="Arial" w:eastAsia="宋体" w:hAnsi="Arial" w:cs="Arial" w:hint="eastAsia"/>
          <w:color w:val="333333"/>
          <w:kern w:val="0"/>
          <w:szCs w:val="21"/>
        </w:rPr>
      </w:pPr>
      <w:r w:rsidRPr="00543321">
        <w:rPr>
          <w:rFonts w:ascii="Arial" w:eastAsia="宋体" w:hAnsi="Arial" w:cs="Arial"/>
          <w:color w:val="333333"/>
          <w:kern w:val="0"/>
          <w:szCs w:val="21"/>
        </w:rPr>
        <w:t>〔</w:t>
      </w:r>
      <w:r w:rsidRPr="00543321">
        <w:rPr>
          <w:rFonts w:ascii="Arial" w:eastAsia="宋体" w:hAnsi="Arial" w:cs="Arial"/>
          <w:color w:val="333333"/>
          <w:kern w:val="0"/>
          <w:szCs w:val="21"/>
        </w:rPr>
        <w:t>2011</w:t>
      </w:r>
      <w:r w:rsidRPr="00543321">
        <w:rPr>
          <w:rFonts w:ascii="Arial" w:eastAsia="宋体" w:hAnsi="Arial" w:cs="Arial"/>
          <w:color w:val="333333"/>
          <w:kern w:val="0"/>
          <w:szCs w:val="21"/>
        </w:rPr>
        <w:t>〕</w:t>
      </w:r>
      <w:r w:rsidRPr="00543321">
        <w:rPr>
          <w:rFonts w:ascii="Arial" w:eastAsia="宋体" w:hAnsi="Arial" w:cs="Arial"/>
          <w:color w:val="333333"/>
          <w:kern w:val="0"/>
          <w:szCs w:val="21"/>
        </w:rPr>
        <w:t xml:space="preserve"> 18 </w:t>
      </w:r>
      <w:r w:rsidRPr="00543321">
        <w:rPr>
          <w:rFonts w:ascii="Arial" w:eastAsia="宋体" w:hAnsi="Arial" w:cs="Arial"/>
          <w:color w:val="333333"/>
          <w:kern w:val="0"/>
          <w:szCs w:val="21"/>
        </w:rPr>
        <w:t>号</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现公布《</w:t>
      </w:r>
      <w:bookmarkStart w:id="0" w:name="_GoBack"/>
      <w:r w:rsidRPr="00543321">
        <w:rPr>
          <w:rFonts w:ascii="Arial" w:eastAsia="宋体" w:hAnsi="Arial" w:cs="Arial"/>
          <w:color w:val="333333"/>
          <w:kern w:val="0"/>
          <w:szCs w:val="21"/>
        </w:rPr>
        <w:t>证券投资基金管理公司公平交易制度指导意见</w:t>
      </w:r>
      <w:bookmarkEnd w:id="0"/>
      <w:r w:rsidRPr="00543321">
        <w:rPr>
          <w:rFonts w:ascii="Arial" w:eastAsia="宋体" w:hAnsi="Arial" w:cs="Arial"/>
          <w:color w:val="333333"/>
          <w:kern w:val="0"/>
          <w:szCs w:val="21"/>
        </w:rPr>
        <w:t>》（</w:t>
      </w:r>
      <w:r w:rsidRPr="00543321">
        <w:rPr>
          <w:rFonts w:ascii="Arial" w:eastAsia="宋体" w:hAnsi="Arial" w:cs="Arial"/>
          <w:color w:val="333333"/>
          <w:kern w:val="0"/>
          <w:szCs w:val="21"/>
        </w:rPr>
        <w:t>2011</w:t>
      </w:r>
      <w:r w:rsidRPr="00543321">
        <w:rPr>
          <w:rFonts w:ascii="Arial" w:eastAsia="宋体" w:hAnsi="Arial" w:cs="Arial"/>
          <w:color w:val="333333"/>
          <w:kern w:val="0"/>
          <w:szCs w:val="21"/>
        </w:rPr>
        <w:t>年修订），自公布之日起施行。</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中国证券监督管理委员会</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二</w:t>
      </w:r>
      <w:r w:rsidRPr="00543321">
        <w:rPr>
          <w:rFonts w:ascii="Arial" w:eastAsia="宋体" w:hAnsi="Arial" w:cs="Arial"/>
          <w:color w:val="333333"/>
          <w:kern w:val="0"/>
          <w:szCs w:val="21"/>
        </w:rPr>
        <w:t>○</w:t>
      </w:r>
      <w:r w:rsidRPr="00543321">
        <w:rPr>
          <w:rFonts w:ascii="Arial" w:eastAsia="宋体" w:hAnsi="Arial" w:cs="Arial"/>
          <w:color w:val="333333"/>
          <w:kern w:val="0"/>
          <w:szCs w:val="21"/>
        </w:rPr>
        <w:t>一一年八月三日</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证券投资基金管理公司公平交易制度指导意见</w:t>
      </w:r>
    </w:p>
    <w:p w:rsidR="00543321" w:rsidRPr="00543321" w:rsidRDefault="00543321" w:rsidP="00543321">
      <w:pPr>
        <w:widowControl/>
        <w:shd w:val="clear" w:color="auto" w:fill="FFFFFF"/>
        <w:spacing w:line="330" w:lineRule="atLeast"/>
        <w:ind w:left="-450"/>
        <w:jc w:val="left"/>
        <w:outlineLvl w:val="1"/>
        <w:rPr>
          <w:rFonts w:ascii="微软雅黑" w:eastAsia="微软雅黑" w:hAnsi="微软雅黑" w:cs="宋体"/>
          <w:color w:val="000000"/>
          <w:kern w:val="0"/>
          <w:sz w:val="36"/>
          <w:szCs w:val="36"/>
        </w:rPr>
      </w:pPr>
      <w:bookmarkStart w:id="1" w:name="2"/>
      <w:bookmarkStart w:id="2" w:name="sub8183501_2"/>
      <w:bookmarkStart w:id="3" w:name="第一章_总_则"/>
      <w:bookmarkEnd w:id="1"/>
      <w:bookmarkEnd w:id="2"/>
      <w:bookmarkEnd w:id="3"/>
      <w:r w:rsidRPr="00543321">
        <w:rPr>
          <w:rFonts w:ascii="微软雅黑" w:eastAsia="微软雅黑" w:hAnsi="微软雅黑" w:cs="宋体" w:hint="eastAsia"/>
          <w:color w:val="FFFFFF"/>
          <w:kern w:val="0"/>
          <w:sz w:val="24"/>
          <w:szCs w:val="24"/>
          <w:shd w:val="clear" w:color="auto" w:fill="519CEA"/>
        </w:rPr>
        <w:t>2</w:t>
      </w:r>
      <w:r w:rsidRPr="00543321">
        <w:rPr>
          <w:rFonts w:ascii="微软雅黑" w:eastAsia="微软雅黑" w:hAnsi="微软雅黑" w:cs="宋体" w:hint="eastAsia"/>
          <w:color w:val="000000"/>
          <w:kern w:val="0"/>
          <w:sz w:val="36"/>
          <w:szCs w:val="36"/>
          <w:shd w:val="clear" w:color="auto" w:fill="FFFFFF"/>
        </w:rPr>
        <w:t>第一章　总　则</w:t>
      </w:r>
      <w:hyperlink r:id="rId6" w:tooltip="编辑本段" w:history="1">
        <w:r w:rsidRPr="00543321">
          <w:rPr>
            <w:rFonts w:ascii="宋体" w:eastAsia="宋体" w:hAnsi="宋体" w:cs="宋体" w:hint="eastAsia"/>
            <w:color w:val="888888"/>
            <w:kern w:val="0"/>
            <w:sz w:val="18"/>
            <w:szCs w:val="18"/>
          </w:rPr>
          <w:t>编辑</w:t>
        </w:r>
      </w:hyperlink>
    </w:p>
    <w:p w:rsidR="00543321" w:rsidRPr="00543321" w:rsidRDefault="00543321" w:rsidP="00543321">
      <w:pPr>
        <w:widowControl/>
        <w:shd w:val="clear" w:color="auto" w:fill="FFFFFF"/>
        <w:spacing w:line="360" w:lineRule="atLeast"/>
        <w:ind w:firstLine="480"/>
        <w:jc w:val="left"/>
        <w:rPr>
          <w:rFonts w:ascii="Arial" w:eastAsia="宋体" w:hAnsi="Arial" w:cs="Arial" w:hint="eastAsia"/>
          <w:color w:val="333333"/>
          <w:kern w:val="0"/>
          <w:szCs w:val="21"/>
        </w:rPr>
      </w:pPr>
      <w:r w:rsidRPr="00543321">
        <w:rPr>
          <w:rFonts w:ascii="Arial" w:eastAsia="宋体" w:hAnsi="Arial" w:cs="Arial"/>
          <w:color w:val="333333"/>
          <w:kern w:val="0"/>
          <w:szCs w:val="21"/>
        </w:rPr>
        <w:t>第一条　为了进一步完善证券投资基金管理公司的公平交易制度，保证同一公司管理的不同投资组合得到公平对待，保护投资者合法权益，根据《</w:t>
      </w:r>
      <w:hyperlink r:id="rId7" w:tgtFrame="_blank" w:history="1">
        <w:r w:rsidRPr="00543321">
          <w:rPr>
            <w:rFonts w:ascii="Arial" w:eastAsia="宋体" w:hAnsi="Arial" w:cs="Arial"/>
            <w:color w:val="136EC2"/>
            <w:kern w:val="0"/>
            <w:szCs w:val="21"/>
          </w:rPr>
          <w:t>中华人民共和国证券投资基金法</w:t>
        </w:r>
      </w:hyperlink>
      <w:r w:rsidRPr="00543321">
        <w:rPr>
          <w:rFonts w:ascii="Arial" w:eastAsia="宋体" w:hAnsi="Arial" w:cs="Arial"/>
          <w:color w:val="333333"/>
          <w:kern w:val="0"/>
          <w:szCs w:val="21"/>
        </w:rPr>
        <w:t>》（以下简称《基金法》）、《证券投资基金管理公司管理办法》（证监会令第</w:t>
      </w:r>
      <w:r w:rsidRPr="00543321">
        <w:rPr>
          <w:rFonts w:ascii="Arial" w:eastAsia="宋体" w:hAnsi="Arial" w:cs="Arial"/>
          <w:color w:val="333333"/>
          <w:kern w:val="0"/>
          <w:szCs w:val="21"/>
        </w:rPr>
        <w:t>22</w:t>
      </w:r>
      <w:r w:rsidRPr="00543321">
        <w:rPr>
          <w:rFonts w:ascii="Arial" w:eastAsia="宋体" w:hAnsi="Arial" w:cs="Arial"/>
          <w:color w:val="333333"/>
          <w:kern w:val="0"/>
          <w:szCs w:val="21"/>
        </w:rPr>
        <w:t>号）等法律法规，制定本指导意见。</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第二条　公司应严格遵守法律法规关于公平交易的相关规定，在投资管理活动中公平对待不同投资组合，严禁直接或者通过与第三方的交易安排在不同投资组合之间进行利益输送。</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本指导意见所称投资组合包括封闭式基金、开放式基金、社保组合、企业年金、特定客户资产管理组合等。</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第三条　本指导意见所称公司的公平交易制度，其规范的范围至少应包括境内上市股票、债券的一级市场申购、二级市场交易等投资管理活动，同时应包括授权、研究分析、投资决策、交易执行、业绩评估等投资管理活动相关的各个环节。</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第四条　公司应合理设置各类资产管理业务之间以及各类资产管理业务内部的组织结构，在保证各投资组合投资决策相对独立性的同时，确保其在获得投资信息、投资建议和实施投资决策方面享有公平的机会。</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第五条　公司应建立科学的投资决策体系，加强交易执行环节的内部控制，并通过工作制度、流程和技术手段保证公平交易原则的实现。同时，应通过对投资交易行为的监控、分析评估和信息披露来加强对公平交易过程和结果的监督。</w:t>
      </w:r>
    </w:p>
    <w:p w:rsidR="00543321" w:rsidRPr="00543321" w:rsidRDefault="00543321" w:rsidP="00543321">
      <w:pPr>
        <w:widowControl/>
        <w:shd w:val="clear" w:color="auto" w:fill="FFFFFF"/>
        <w:spacing w:line="330" w:lineRule="atLeast"/>
        <w:ind w:left="-450"/>
        <w:jc w:val="left"/>
        <w:outlineLvl w:val="1"/>
        <w:rPr>
          <w:rFonts w:ascii="微软雅黑" w:eastAsia="微软雅黑" w:hAnsi="微软雅黑" w:cs="宋体"/>
          <w:color w:val="000000"/>
          <w:kern w:val="0"/>
          <w:sz w:val="36"/>
          <w:szCs w:val="36"/>
        </w:rPr>
      </w:pPr>
      <w:bookmarkStart w:id="4" w:name="3"/>
      <w:bookmarkStart w:id="5" w:name="sub8183501_3"/>
      <w:bookmarkStart w:id="6" w:name="第二章_投资决策的内部控制"/>
      <w:bookmarkEnd w:id="4"/>
      <w:bookmarkEnd w:id="5"/>
      <w:bookmarkEnd w:id="6"/>
      <w:r w:rsidRPr="00543321">
        <w:rPr>
          <w:rFonts w:ascii="微软雅黑" w:eastAsia="微软雅黑" w:hAnsi="微软雅黑" w:cs="宋体" w:hint="eastAsia"/>
          <w:color w:val="FFFFFF"/>
          <w:kern w:val="0"/>
          <w:sz w:val="24"/>
          <w:szCs w:val="24"/>
          <w:shd w:val="clear" w:color="auto" w:fill="519CEA"/>
        </w:rPr>
        <w:t>3</w:t>
      </w:r>
      <w:r w:rsidRPr="00543321">
        <w:rPr>
          <w:rFonts w:ascii="微软雅黑" w:eastAsia="微软雅黑" w:hAnsi="微软雅黑" w:cs="宋体" w:hint="eastAsia"/>
          <w:color w:val="000000"/>
          <w:kern w:val="0"/>
          <w:sz w:val="36"/>
          <w:szCs w:val="36"/>
          <w:shd w:val="clear" w:color="auto" w:fill="FFFFFF"/>
        </w:rPr>
        <w:t>第二章　投资决策的内部控制</w:t>
      </w:r>
      <w:hyperlink r:id="rId8" w:tooltip="编辑本段" w:history="1">
        <w:r w:rsidRPr="00543321">
          <w:rPr>
            <w:rFonts w:ascii="宋体" w:eastAsia="宋体" w:hAnsi="宋体" w:cs="宋体" w:hint="eastAsia"/>
            <w:color w:val="888888"/>
            <w:kern w:val="0"/>
            <w:sz w:val="18"/>
            <w:szCs w:val="18"/>
          </w:rPr>
          <w:t>编辑</w:t>
        </w:r>
      </w:hyperlink>
    </w:p>
    <w:p w:rsidR="00543321" w:rsidRPr="00543321" w:rsidRDefault="00543321" w:rsidP="00543321">
      <w:pPr>
        <w:widowControl/>
        <w:shd w:val="clear" w:color="auto" w:fill="FFFFFF"/>
        <w:spacing w:line="360" w:lineRule="atLeast"/>
        <w:ind w:firstLine="480"/>
        <w:jc w:val="left"/>
        <w:rPr>
          <w:rFonts w:ascii="Arial" w:eastAsia="宋体" w:hAnsi="Arial" w:cs="Arial" w:hint="eastAsia"/>
          <w:color w:val="333333"/>
          <w:kern w:val="0"/>
          <w:szCs w:val="21"/>
        </w:rPr>
      </w:pPr>
      <w:r w:rsidRPr="00543321">
        <w:rPr>
          <w:rFonts w:ascii="Arial" w:eastAsia="宋体" w:hAnsi="Arial" w:cs="Arial"/>
          <w:color w:val="333333"/>
          <w:kern w:val="0"/>
          <w:szCs w:val="21"/>
        </w:rPr>
        <w:t>第六条　公司应不断完善研究方法和投资决策流程，提高投资决策的科学性和客观性，确保各投资组合享有公平的投资决策机会，建立公平交易的制度环境。</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第七条　公司应建立客观的研究方法，任何投资分析和建议均应有充分的事实和数据支持，避免主观臆断，严禁利用内幕信息作为投资依据。</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第八条　公司应根据上述研究方法建立全公司适用的投资对象备选库和交易对手备选库，制定明确的备选库建立、维护程序。</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lastRenderedPageBreak/>
        <w:t>第九条　公司应在备选库的基础上，根据不同投资组合的投资目标、投资风格、投资范围和关联交易限制等，建立不同投资组合的投资对象备选库和交易对手备选库，投资组合经理在此基础上根据投资授权构建具体的投资组合。</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第十条　公司应健全投资授权制度，明确投资决策委员会、投资总监、投资组合经理等各投资决策主体的职责和权限划分，合理确定各投资组合经理的投资权限。投资决策委员会和投资总监等管理机构和人员不得对投资组合经理在授权范围内的投资活动进行干预。投资组合经理在授权范围内自主决策，超过投资权限的操作需要经过严格的审批程序。</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第十一条　公司应建立投资组合投资信息的管理及保密制度，不同投资组合经理之间的持仓和交易等重大非公开投资信息应相互隔离。</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第十二条　公司应建立系统的交易方法，即投资组合经理应根据投资组合的投资风格和投资策略，制定客观、完整的交易决策规则，并按照这些规则进行交易决策，以保证各投资组合交易决策的客观性和独立性。</w:t>
      </w:r>
    </w:p>
    <w:p w:rsidR="00543321" w:rsidRPr="00543321" w:rsidRDefault="00543321" w:rsidP="00543321">
      <w:pPr>
        <w:widowControl/>
        <w:shd w:val="clear" w:color="auto" w:fill="FFFFFF"/>
        <w:spacing w:line="330" w:lineRule="atLeast"/>
        <w:ind w:left="-450"/>
        <w:jc w:val="left"/>
        <w:outlineLvl w:val="1"/>
        <w:rPr>
          <w:rFonts w:ascii="微软雅黑" w:eastAsia="微软雅黑" w:hAnsi="微软雅黑" w:cs="宋体"/>
          <w:color w:val="000000"/>
          <w:kern w:val="0"/>
          <w:sz w:val="36"/>
          <w:szCs w:val="36"/>
        </w:rPr>
      </w:pPr>
      <w:bookmarkStart w:id="7" w:name="4"/>
      <w:bookmarkStart w:id="8" w:name="sub8183501_4"/>
      <w:bookmarkStart w:id="9" w:name="第三章_交易执行的内部控制"/>
      <w:bookmarkEnd w:id="7"/>
      <w:bookmarkEnd w:id="8"/>
      <w:bookmarkEnd w:id="9"/>
      <w:r w:rsidRPr="00543321">
        <w:rPr>
          <w:rFonts w:ascii="微软雅黑" w:eastAsia="微软雅黑" w:hAnsi="微软雅黑" w:cs="宋体" w:hint="eastAsia"/>
          <w:color w:val="FFFFFF"/>
          <w:kern w:val="0"/>
          <w:sz w:val="24"/>
          <w:szCs w:val="24"/>
          <w:shd w:val="clear" w:color="auto" w:fill="519CEA"/>
        </w:rPr>
        <w:t>4</w:t>
      </w:r>
      <w:r w:rsidRPr="00543321">
        <w:rPr>
          <w:rFonts w:ascii="微软雅黑" w:eastAsia="微软雅黑" w:hAnsi="微软雅黑" w:cs="宋体" w:hint="eastAsia"/>
          <w:color w:val="000000"/>
          <w:kern w:val="0"/>
          <w:sz w:val="36"/>
          <w:szCs w:val="36"/>
          <w:shd w:val="clear" w:color="auto" w:fill="FFFFFF"/>
        </w:rPr>
        <w:t>第三章　交易执行的内部控制</w:t>
      </w:r>
      <w:hyperlink r:id="rId9" w:tooltip="编辑本段" w:history="1">
        <w:r w:rsidRPr="00543321">
          <w:rPr>
            <w:rFonts w:ascii="宋体" w:eastAsia="宋体" w:hAnsi="宋体" w:cs="宋体" w:hint="eastAsia"/>
            <w:color w:val="888888"/>
            <w:kern w:val="0"/>
            <w:sz w:val="18"/>
            <w:szCs w:val="18"/>
          </w:rPr>
          <w:t>编辑</w:t>
        </w:r>
      </w:hyperlink>
    </w:p>
    <w:p w:rsidR="00543321" w:rsidRPr="00543321" w:rsidRDefault="00543321" w:rsidP="00543321">
      <w:pPr>
        <w:widowControl/>
        <w:shd w:val="clear" w:color="auto" w:fill="FFFFFF"/>
        <w:spacing w:line="360" w:lineRule="atLeast"/>
        <w:ind w:firstLine="480"/>
        <w:jc w:val="left"/>
        <w:rPr>
          <w:rFonts w:ascii="Arial" w:eastAsia="宋体" w:hAnsi="Arial" w:cs="Arial" w:hint="eastAsia"/>
          <w:color w:val="333333"/>
          <w:kern w:val="0"/>
          <w:szCs w:val="21"/>
        </w:rPr>
      </w:pPr>
      <w:r w:rsidRPr="00543321">
        <w:rPr>
          <w:rFonts w:ascii="Arial" w:eastAsia="宋体" w:hAnsi="Arial" w:cs="Arial"/>
          <w:color w:val="333333"/>
          <w:kern w:val="0"/>
          <w:szCs w:val="21"/>
        </w:rPr>
        <w:t>第十三条　公司应将投资管理职能和交易执行职能相隔离，实行集中交易制度，建立和完善公平的交易分配制度，确保各投资组合享有公平的交易执行机会。</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第十四条　对于交易所公开竞价交易，公司应执行交易系统中的公平交易程序。对于由于特殊原因不能参与公平交易程序的交易指令，公司应建立相应的控制制度和流程。</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第十五条　公司应完善银行间市场交易、交易所大宗交易等非集中竞价交易的交易分配制度，保证各投资组合获得公平的交易机会。对于部分债券一级市场申购、非公开发行股票申购等以公司名义进行的交易，各投资组合经理应在交易前独立地确定各投资组合的交易价格和数量，公司应按照价格优先、比例分配的原则对交易结果进行分配。如果由于特殊原因不能按照上述原则进行分配的，公司应建立相应的控制制度和流程。</w:t>
      </w:r>
    </w:p>
    <w:p w:rsidR="00543321" w:rsidRPr="00543321" w:rsidRDefault="00543321" w:rsidP="00543321">
      <w:pPr>
        <w:widowControl/>
        <w:shd w:val="clear" w:color="auto" w:fill="FFFFFF"/>
        <w:spacing w:line="330" w:lineRule="atLeast"/>
        <w:ind w:left="-450"/>
        <w:jc w:val="left"/>
        <w:outlineLvl w:val="1"/>
        <w:rPr>
          <w:rFonts w:ascii="微软雅黑" w:eastAsia="微软雅黑" w:hAnsi="微软雅黑" w:cs="宋体"/>
          <w:color w:val="000000"/>
          <w:kern w:val="0"/>
          <w:sz w:val="36"/>
          <w:szCs w:val="36"/>
        </w:rPr>
      </w:pPr>
      <w:bookmarkStart w:id="10" w:name="5"/>
      <w:bookmarkStart w:id="11" w:name="sub8183501_5"/>
      <w:bookmarkStart w:id="12" w:name="第四章_行为监控和分析评估"/>
      <w:bookmarkEnd w:id="10"/>
      <w:bookmarkEnd w:id="11"/>
      <w:bookmarkEnd w:id="12"/>
      <w:r w:rsidRPr="00543321">
        <w:rPr>
          <w:rFonts w:ascii="微软雅黑" w:eastAsia="微软雅黑" w:hAnsi="微软雅黑" w:cs="宋体" w:hint="eastAsia"/>
          <w:color w:val="FFFFFF"/>
          <w:kern w:val="0"/>
          <w:sz w:val="24"/>
          <w:szCs w:val="24"/>
          <w:shd w:val="clear" w:color="auto" w:fill="519CEA"/>
        </w:rPr>
        <w:t>5</w:t>
      </w:r>
      <w:r w:rsidRPr="00543321">
        <w:rPr>
          <w:rFonts w:ascii="微软雅黑" w:eastAsia="微软雅黑" w:hAnsi="微软雅黑" w:cs="宋体" w:hint="eastAsia"/>
          <w:color w:val="000000"/>
          <w:kern w:val="0"/>
          <w:sz w:val="36"/>
          <w:szCs w:val="36"/>
          <w:shd w:val="clear" w:color="auto" w:fill="FFFFFF"/>
        </w:rPr>
        <w:t>第四章　行为监控和分析评估</w:t>
      </w:r>
      <w:hyperlink r:id="rId10" w:tooltip="编辑本段" w:history="1">
        <w:r w:rsidRPr="00543321">
          <w:rPr>
            <w:rFonts w:ascii="宋体" w:eastAsia="宋体" w:hAnsi="宋体" w:cs="宋体" w:hint="eastAsia"/>
            <w:color w:val="888888"/>
            <w:kern w:val="0"/>
            <w:sz w:val="18"/>
            <w:szCs w:val="18"/>
          </w:rPr>
          <w:t>编辑</w:t>
        </w:r>
      </w:hyperlink>
    </w:p>
    <w:p w:rsidR="00543321" w:rsidRPr="00543321" w:rsidRDefault="00543321" w:rsidP="00543321">
      <w:pPr>
        <w:widowControl/>
        <w:shd w:val="clear" w:color="auto" w:fill="FFFFFF"/>
        <w:spacing w:line="360" w:lineRule="atLeast"/>
        <w:ind w:firstLine="480"/>
        <w:jc w:val="left"/>
        <w:rPr>
          <w:rFonts w:ascii="Arial" w:eastAsia="宋体" w:hAnsi="Arial" w:cs="Arial" w:hint="eastAsia"/>
          <w:color w:val="333333"/>
          <w:kern w:val="0"/>
          <w:szCs w:val="21"/>
        </w:rPr>
      </w:pPr>
      <w:r w:rsidRPr="00543321">
        <w:rPr>
          <w:rFonts w:ascii="Arial" w:eastAsia="宋体" w:hAnsi="Arial" w:cs="Arial"/>
          <w:color w:val="333333"/>
          <w:kern w:val="0"/>
          <w:szCs w:val="21"/>
        </w:rPr>
        <w:t>第十六条　公司应加强对投资交易行为的监察稽核力度，建立有效的异常交易行为日常监控和分析评估制度，并建立相关记录制度，确保公平交易可稽核。</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第十七条　公司应对非公开发行股票申购、以公司名义进行的债券一级市场申购的申购方案和分配过程进行审核和监控，保证分配结果符合公平交易的原则。</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第十八条　公司应根据市场公认的第三方信息，对投资组合与交易对手之间议价交易的交易价格公允性进行审查。相关投资组合经理应对交易价格异常情况进行合理性解释。</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第十九条　公司应对不同投资组合，尤其是同一位投资组合经理管理的不同投资组合同日同向交易和反向交易的交易时机和交易价差进行监控，同时对不同投资组合临近交易日的同向交易和反向交易的交易时机和交易价差进行分析。相关投资组合经理应对异常交易情况进行合理性解释。</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第二十条　公司应严格控制不同投资组合之间的同日反向交易，严格禁止可能导致不公平交易和利益输送的同日反向交易。确因投资组合的投资策略或流动性等需要而发生的同日反向交易，公司应要求相关投资组合经理提供决策依据，并留存记录备查，但是完全按照有关指数的构成比例进行投资的组合等除外。</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lastRenderedPageBreak/>
        <w:t>第二十一条　公司应对其他可能导致不公平交易和利益输送的异常交易行为进行监控，对于异常交易发生前后不同投资组合买卖该异常交易证券的情况进行分析。相关投资组合经理应对异常交易情况进行合理性解释。</w:t>
      </w:r>
    </w:p>
    <w:p w:rsidR="00543321" w:rsidRPr="00543321" w:rsidRDefault="00543321" w:rsidP="00543321">
      <w:pPr>
        <w:widowControl/>
        <w:shd w:val="clear" w:color="auto" w:fill="FFFFFF"/>
        <w:spacing w:line="330" w:lineRule="atLeast"/>
        <w:ind w:left="-450"/>
        <w:jc w:val="left"/>
        <w:outlineLvl w:val="1"/>
        <w:rPr>
          <w:rFonts w:ascii="微软雅黑" w:eastAsia="微软雅黑" w:hAnsi="微软雅黑" w:cs="宋体"/>
          <w:color w:val="000000"/>
          <w:kern w:val="0"/>
          <w:sz w:val="36"/>
          <w:szCs w:val="36"/>
        </w:rPr>
      </w:pPr>
      <w:bookmarkStart w:id="13" w:name="6"/>
      <w:bookmarkStart w:id="14" w:name="sub8183501_6"/>
      <w:bookmarkStart w:id="15" w:name="第五章_报告、信息披露和外部监督"/>
      <w:bookmarkEnd w:id="13"/>
      <w:bookmarkEnd w:id="14"/>
      <w:bookmarkEnd w:id="15"/>
      <w:r w:rsidRPr="00543321">
        <w:rPr>
          <w:rFonts w:ascii="微软雅黑" w:eastAsia="微软雅黑" w:hAnsi="微软雅黑" w:cs="宋体" w:hint="eastAsia"/>
          <w:color w:val="FFFFFF"/>
          <w:kern w:val="0"/>
          <w:sz w:val="24"/>
          <w:szCs w:val="24"/>
          <w:shd w:val="clear" w:color="auto" w:fill="519CEA"/>
        </w:rPr>
        <w:t>6</w:t>
      </w:r>
      <w:r w:rsidRPr="00543321">
        <w:rPr>
          <w:rFonts w:ascii="微软雅黑" w:eastAsia="微软雅黑" w:hAnsi="微软雅黑" w:cs="宋体" w:hint="eastAsia"/>
          <w:color w:val="000000"/>
          <w:kern w:val="0"/>
          <w:sz w:val="36"/>
          <w:szCs w:val="36"/>
          <w:shd w:val="clear" w:color="auto" w:fill="FFFFFF"/>
        </w:rPr>
        <w:t>第五章　报告、信息披露和外部监督</w:t>
      </w:r>
      <w:hyperlink r:id="rId11" w:tooltip="编辑本段" w:history="1">
        <w:r w:rsidRPr="00543321">
          <w:rPr>
            <w:rFonts w:ascii="宋体" w:eastAsia="宋体" w:hAnsi="宋体" w:cs="宋体" w:hint="eastAsia"/>
            <w:color w:val="888888"/>
            <w:kern w:val="0"/>
            <w:sz w:val="18"/>
            <w:szCs w:val="18"/>
          </w:rPr>
          <w:t>编辑</w:t>
        </w:r>
      </w:hyperlink>
    </w:p>
    <w:p w:rsidR="00543321" w:rsidRPr="00543321" w:rsidRDefault="00543321" w:rsidP="00543321">
      <w:pPr>
        <w:widowControl/>
        <w:shd w:val="clear" w:color="auto" w:fill="FFFFFF"/>
        <w:spacing w:line="360" w:lineRule="atLeast"/>
        <w:ind w:firstLine="480"/>
        <w:jc w:val="left"/>
        <w:rPr>
          <w:rFonts w:ascii="Arial" w:eastAsia="宋体" w:hAnsi="Arial" w:cs="Arial" w:hint="eastAsia"/>
          <w:color w:val="333333"/>
          <w:kern w:val="0"/>
          <w:szCs w:val="21"/>
        </w:rPr>
      </w:pPr>
      <w:r w:rsidRPr="00543321">
        <w:rPr>
          <w:rFonts w:ascii="Arial" w:eastAsia="宋体" w:hAnsi="Arial" w:cs="Arial"/>
          <w:color w:val="333333"/>
          <w:kern w:val="0"/>
          <w:szCs w:val="21"/>
        </w:rPr>
        <w:t>第二十二条　公司相关部门如果发现涉嫌违背公平交易原则的行为，应及时向公司管理层汇报并采取相关控制和改进措施。</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第二十三条　公司应分别于每季度和每年度对公司管理的不同投资组合的整体收益率差异、分投资类别（股票、债券）的收益率差异进行分析，对连续四个季度期间内、不同时间窗下（如日内、</w:t>
      </w:r>
      <w:r w:rsidRPr="00543321">
        <w:rPr>
          <w:rFonts w:ascii="Arial" w:eastAsia="宋体" w:hAnsi="Arial" w:cs="Arial"/>
          <w:color w:val="333333"/>
          <w:kern w:val="0"/>
          <w:szCs w:val="21"/>
        </w:rPr>
        <w:t>3</w:t>
      </w:r>
      <w:r w:rsidRPr="00543321">
        <w:rPr>
          <w:rFonts w:ascii="Arial" w:eastAsia="宋体" w:hAnsi="Arial" w:cs="Arial"/>
          <w:color w:val="333333"/>
          <w:kern w:val="0"/>
          <w:szCs w:val="21"/>
        </w:rPr>
        <w:t>日内、</w:t>
      </w:r>
      <w:r w:rsidRPr="00543321">
        <w:rPr>
          <w:rFonts w:ascii="Arial" w:eastAsia="宋体" w:hAnsi="Arial" w:cs="Arial"/>
          <w:color w:val="333333"/>
          <w:kern w:val="0"/>
          <w:szCs w:val="21"/>
        </w:rPr>
        <w:t>5</w:t>
      </w:r>
      <w:r w:rsidRPr="00543321">
        <w:rPr>
          <w:rFonts w:ascii="Arial" w:eastAsia="宋体" w:hAnsi="Arial" w:cs="Arial"/>
          <w:color w:val="333333"/>
          <w:kern w:val="0"/>
          <w:szCs w:val="21"/>
        </w:rPr>
        <w:t>日内）公司管理的不同投资组合同向交易的交易价差进行分析，由投资组合经理、督察长、总经理签署后，妥善保存分析报告备查。</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如果在上述分析期间内，公司管理的所有投资组合同向交易价差出现异常情况，应重新核查公司投资决策和交易执行环节的内部控制，针对潜在问题完善公平交易制度，并在向中国证监会报送的监察稽核季度报告和年度报告中对此做专项说明。</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第二十四条　公司应当在各投资组合的定期报告中，至少披露以下事项：公司整体公平交易制度执行情况；异常交易行为专项说明，其中，如果报告期内所有投资组合参与的交易所公开竞价同日反向交易成交较少的单边交易量超过该证券当日成交量的</w:t>
      </w:r>
      <w:r w:rsidRPr="00543321">
        <w:rPr>
          <w:rFonts w:ascii="Arial" w:eastAsia="宋体" w:hAnsi="Arial" w:cs="Arial"/>
          <w:color w:val="333333"/>
          <w:kern w:val="0"/>
          <w:szCs w:val="21"/>
        </w:rPr>
        <w:t>5%</w:t>
      </w:r>
      <w:r w:rsidRPr="00543321">
        <w:rPr>
          <w:rFonts w:ascii="Arial" w:eastAsia="宋体" w:hAnsi="Arial" w:cs="Arial"/>
          <w:color w:val="333333"/>
          <w:kern w:val="0"/>
          <w:szCs w:val="21"/>
        </w:rPr>
        <w:t>，应说明该类交易的次数及原因。</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在投资组合的年度报告中，公司还应披露公平交易制度和控制方法，并在公司整体公平交易制度执行情况中，对当年度同向交易价差做专项分析。</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第二十五条　会计师事务所应在公司年度内部控制评价报告中，对公司公平交易制度的完善程度和执行情况进行评价。</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基金评价机构在开展基金评价业务时，应将公平交易制度的完善程度、执行情况及信息披露作为评价内容之一。</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第二十六条　公司公平交易制度的完善程度是公司诚信水平和规范程度的重要标志，监管部门将以此作为公司日常监管和做出行政许可的重要依据。</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监管部门将通过现场检查和非现场监管等方式，对于公司公平交易制度的执行情况进行检查和分析，并会同证券交易所等对公司异常交易行为进行监控。对于发现的不公平交易和利益输送行为，将依法采取相关监管措施。</w:t>
      </w:r>
    </w:p>
    <w:p w:rsidR="00543321" w:rsidRPr="00543321" w:rsidRDefault="00543321" w:rsidP="00543321">
      <w:pPr>
        <w:widowControl/>
        <w:shd w:val="clear" w:color="auto" w:fill="FFFFFF"/>
        <w:spacing w:line="330" w:lineRule="atLeast"/>
        <w:ind w:left="-450"/>
        <w:jc w:val="left"/>
        <w:outlineLvl w:val="1"/>
        <w:rPr>
          <w:rFonts w:ascii="微软雅黑" w:eastAsia="微软雅黑" w:hAnsi="微软雅黑" w:cs="宋体"/>
          <w:color w:val="000000"/>
          <w:kern w:val="0"/>
          <w:sz w:val="36"/>
          <w:szCs w:val="36"/>
        </w:rPr>
      </w:pPr>
      <w:bookmarkStart w:id="16" w:name="7"/>
      <w:bookmarkStart w:id="17" w:name="sub8183501_7"/>
      <w:bookmarkStart w:id="18" w:name="第六章_附_则"/>
      <w:bookmarkEnd w:id="16"/>
      <w:bookmarkEnd w:id="17"/>
      <w:bookmarkEnd w:id="18"/>
      <w:r w:rsidRPr="00543321">
        <w:rPr>
          <w:rFonts w:ascii="微软雅黑" w:eastAsia="微软雅黑" w:hAnsi="微软雅黑" w:cs="宋体" w:hint="eastAsia"/>
          <w:color w:val="FFFFFF"/>
          <w:kern w:val="0"/>
          <w:sz w:val="24"/>
          <w:szCs w:val="24"/>
          <w:shd w:val="clear" w:color="auto" w:fill="519CEA"/>
        </w:rPr>
        <w:t>7</w:t>
      </w:r>
      <w:r w:rsidRPr="00543321">
        <w:rPr>
          <w:rFonts w:ascii="微软雅黑" w:eastAsia="微软雅黑" w:hAnsi="微软雅黑" w:cs="宋体" w:hint="eastAsia"/>
          <w:color w:val="000000"/>
          <w:kern w:val="0"/>
          <w:sz w:val="36"/>
          <w:szCs w:val="36"/>
          <w:shd w:val="clear" w:color="auto" w:fill="FFFFFF"/>
        </w:rPr>
        <w:t>第六章　附　则</w:t>
      </w:r>
      <w:hyperlink r:id="rId12" w:tooltip="编辑本段" w:history="1">
        <w:r w:rsidRPr="00543321">
          <w:rPr>
            <w:rFonts w:ascii="宋体" w:eastAsia="宋体" w:hAnsi="宋体" w:cs="宋体" w:hint="eastAsia"/>
            <w:color w:val="888888"/>
            <w:kern w:val="0"/>
            <w:sz w:val="18"/>
            <w:szCs w:val="18"/>
          </w:rPr>
          <w:t>编辑</w:t>
        </w:r>
      </w:hyperlink>
    </w:p>
    <w:p w:rsidR="00543321" w:rsidRPr="00543321" w:rsidRDefault="00543321" w:rsidP="00543321">
      <w:pPr>
        <w:widowControl/>
        <w:shd w:val="clear" w:color="auto" w:fill="FFFFFF"/>
        <w:spacing w:line="360" w:lineRule="atLeast"/>
        <w:ind w:firstLine="480"/>
        <w:jc w:val="left"/>
        <w:rPr>
          <w:rFonts w:ascii="Arial" w:eastAsia="宋体" w:hAnsi="Arial" w:cs="Arial" w:hint="eastAsia"/>
          <w:color w:val="333333"/>
          <w:kern w:val="0"/>
          <w:szCs w:val="21"/>
        </w:rPr>
      </w:pPr>
      <w:r w:rsidRPr="00543321">
        <w:rPr>
          <w:rFonts w:ascii="Arial" w:eastAsia="宋体" w:hAnsi="Arial" w:cs="Arial"/>
          <w:color w:val="333333"/>
          <w:kern w:val="0"/>
          <w:szCs w:val="21"/>
        </w:rPr>
        <w:t>第二十七条　公司管理的投资组合参与衍生品投资、境外投资等，应参照本指导意见制定相应的公平交易管理制度。</w:t>
      </w:r>
    </w:p>
    <w:p w:rsidR="00543321" w:rsidRPr="00543321" w:rsidRDefault="00543321" w:rsidP="00543321">
      <w:pPr>
        <w:widowControl/>
        <w:shd w:val="clear" w:color="auto" w:fill="FFFFFF"/>
        <w:spacing w:line="360" w:lineRule="atLeast"/>
        <w:ind w:firstLine="480"/>
        <w:jc w:val="left"/>
        <w:rPr>
          <w:rFonts w:ascii="Arial" w:eastAsia="宋体" w:hAnsi="Arial" w:cs="Arial"/>
          <w:color w:val="333333"/>
          <w:kern w:val="0"/>
          <w:szCs w:val="21"/>
        </w:rPr>
      </w:pPr>
      <w:r w:rsidRPr="00543321">
        <w:rPr>
          <w:rFonts w:ascii="Arial" w:eastAsia="宋体" w:hAnsi="Arial" w:cs="Arial"/>
          <w:color w:val="333333"/>
          <w:kern w:val="0"/>
          <w:szCs w:val="21"/>
        </w:rPr>
        <w:t>第二十八条　本指导意见自公布之日起施行。</w:t>
      </w:r>
      <w:r w:rsidRPr="00543321">
        <w:rPr>
          <w:rFonts w:ascii="Arial" w:eastAsia="宋体" w:hAnsi="Arial" w:cs="Arial"/>
          <w:color w:val="333333"/>
          <w:kern w:val="0"/>
          <w:szCs w:val="21"/>
        </w:rPr>
        <w:t>2008</w:t>
      </w:r>
      <w:r w:rsidRPr="00543321">
        <w:rPr>
          <w:rFonts w:ascii="Arial" w:eastAsia="宋体" w:hAnsi="Arial" w:cs="Arial"/>
          <w:color w:val="333333"/>
          <w:kern w:val="0"/>
          <w:szCs w:val="21"/>
        </w:rPr>
        <w:t>年</w:t>
      </w:r>
      <w:r w:rsidRPr="00543321">
        <w:rPr>
          <w:rFonts w:ascii="Arial" w:eastAsia="宋体" w:hAnsi="Arial" w:cs="Arial"/>
          <w:color w:val="333333"/>
          <w:kern w:val="0"/>
          <w:szCs w:val="21"/>
        </w:rPr>
        <w:t>3</w:t>
      </w:r>
      <w:r w:rsidRPr="00543321">
        <w:rPr>
          <w:rFonts w:ascii="Arial" w:eastAsia="宋体" w:hAnsi="Arial" w:cs="Arial"/>
          <w:color w:val="333333"/>
          <w:kern w:val="0"/>
          <w:szCs w:val="21"/>
        </w:rPr>
        <w:t>月</w:t>
      </w:r>
      <w:r w:rsidRPr="00543321">
        <w:rPr>
          <w:rFonts w:ascii="Arial" w:eastAsia="宋体" w:hAnsi="Arial" w:cs="Arial"/>
          <w:color w:val="333333"/>
          <w:kern w:val="0"/>
          <w:szCs w:val="21"/>
        </w:rPr>
        <w:t>20</w:t>
      </w:r>
      <w:r w:rsidRPr="00543321">
        <w:rPr>
          <w:rFonts w:ascii="Arial" w:eastAsia="宋体" w:hAnsi="Arial" w:cs="Arial"/>
          <w:color w:val="333333"/>
          <w:kern w:val="0"/>
          <w:szCs w:val="21"/>
        </w:rPr>
        <w:t>日公布的《证券投资基金管理公司公平交易制度指导意见》（证监会公告〔</w:t>
      </w:r>
      <w:r w:rsidRPr="00543321">
        <w:rPr>
          <w:rFonts w:ascii="Arial" w:eastAsia="宋体" w:hAnsi="Arial" w:cs="Arial"/>
          <w:color w:val="333333"/>
          <w:kern w:val="0"/>
          <w:szCs w:val="21"/>
        </w:rPr>
        <w:t>2008</w:t>
      </w:r>
      <w:r w:rsidRPr="00543321">
        <w:rPr>
          <w:rFonts w:ascii="Arial" w:eastAsia="宋体" w:hAnsi="Arial" w:cs="Arial"/>
          <w:color w:val="333333"/>
          <w:kern w:val="0"/>
          <w:szCs w:val="21"/>
        </w:rPr>
        <w:t>〕</w:t>
      </w:r>
      <w:r w:rsidRPr="00543321">
        <w:rPr>
          <w:rFonts w:ascii="Arial" w:eastAsia="宋体" w:hAnsi="Arial" w:cs="Arial"/>
          <w:color w:val="333333"/>
          <w:kern w:val="0"/>
          <w:szCs w:val="21"/>
        </w:rPr>
        <w:t>9</w:t>
      </w:r>
      <w:r w:rsidRPr="00543321">
        <w:rPr>
          <w:rFonts w:ascii="Arial" w:eastAsia="宋体" w:hAnsi="Arial" w:cs="Arial"/>
          <w:color w:val="333333"/>
          <w:kern w:val="0"/>
          <w:szCs w:val="21"/>
        </w:rPr>
        <w:t>号）同时废止。</w:t>
      </w:r>
      <w:r w:rsidRPr="00543321">
        <w:rPr>
          <w:rFonts w:ascii="Arial" w:eastAsia="宋体" w:hAnsi="Arial" w:cs="Arial"/>
          <w:color w:val="3366CC"/>
          <w:kern w:val="0"/>
          <w:szCs w:val="21"/>
          <w:vertAlign w:val="superscript"/>
        </w:rPr>
        <w:t>[1]</w:t>
      </w:r>
      <w:bookmarkStart w:id="19" w:name="ref_[1]_8183501"/>
      <w:r w:rsidRPr="00543321">
        <w:rPr>
          <w:rFonts w:ascii="Arial" w:eastAsia="宋体" w:hAnsi="Arial" w:cs="Arial"/>
          <w:color w:val="136EC2"/>
          <w:kern w:val="0"/>
          <w:sz w:val="2"/>
          <w:szCs w:val="2"/>
        </w:rPr>
        <w:t> </w:t>
      </w:r>
      <w:bookmarkEnd w:id="19"/>
    </w:p>
    <w:p w:rsidR="008F31D6" w:rsidRDefault="00543321"/>
    <w:sectPr w:rsidR="008F31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321"/>
    <w:rsid w:val="004C755D"/>
    <w:rsid w:val="00543321"/>
    <w:rsid w:val="00761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4332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43321"/>
    <w:rPr>
      <w:rFonts w:ascii="宋体" w:eastAsia="宋体" w:hAnsi="宋体" w:cs="宋体"/>
      <w:b/>
      <w:bCs/>
      <w:kern w:val="0"/>
      <w:sz w:val="36"/>
      <w:szCs w:val="36"/>
    </w:rPr>
  </w:style>
  <w:style w:type="character" w:customStyle="1" w:styleId="headline-content">
    <w:name w:val="headline-content"/>
    <w:basedOn w:val="a0"/>
    <w:rsid w:val="00543321"/>
  </w:style>
  <w:style w:type="character" w:customStyle="1" w:styleId="textedit">
    <w:name w:val="text_edit"/>
    <w:basedOn w:val="a0"/>
    <w:rsid w:val="00543321"/>
  </w:style>
  <w:style w:type="character" w:styleId="a3">
    <w:name w:val="Hyperlink"/>
    <w:basedOn w:val="a0"/>
    <w:uiPriority w:val="99"/>
    <w:semiHidden/>
    <w:unhideWhenUsed/>
    <w:rsid w:val="00543321"/>
    <w:rPr>
      <w:color w:val="0000FF"/>
      <w:u w:val="single"/>
    </w:rPr>
  </w:style>
  <w:style w:type="character" w:customStyle="1" w:styleId="headline-1-index">
    <w:name w:val="headline-1-index"/>
    <w:basedOn w:val="a0"/>
    <w:rsid w:val="005433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4332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43321"/>
    <w:rPr>
      <w:rFonts w:ascii="宋体" w:eastAsia="宋体" w:hAnsi="宋体" w:cs="宋体"/>
      <w:b/>
      <w:bCs/>
      <w:kern w:val="0"/>
      <w:sz w:val="36"/>
      <w:szCs w:val="36"/>
    </w:rPr>
  </w:style>
  <w:style w:type="character" w:customStyle="1" w:styleId="headline-content">
    <w:name w:val="headline-content"/>
    <w:basedOn w:val="a0"/>
    <w:rsid w:val="00543321"/>
  </w:style>
  <w:style w:type="character" w:customStyle="1" w:styleId="textedit">
    <w:name w:val="text_edit"/>
    <w:basedOn w:val="a0"/>
    <w:rsid w:val="00543321"/>
  </w:style>
  <w:style w:type="character" w:styleId="a3">
    <w:name w:val="Hyperlink"/>
    <w:basedOn w:val="a0"/>
    <w:uiPriority w:val="99"/>
    <w:semiHidden/>
    <w:unhideWhenUsed/>
    <w:rsid w:val="00543321"/>
    <w:rPr>
      <w:color w:val="0000FF"/>
      <w:u w:val="single"/>
    </w:rPr>
  </w:style>
  <w:style w:type="character" w:customStyle="1" w:styleId="headline-1-index">
    <w:name w:val="headline-1-index"/>
    <w:basedOn w:val="a0"/>
    <w:rsid w:val="00543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595870">
      <w:bodyDiv w:val="1"/>
      <w:marLeft w:val="0"/>
      <w:marRight w:val="0"/>
      <w:marTop w:val="0"/>
      <w:marBottom w:val="0"/>
      <w:divBdr>
        <w:top w:val="none" w:sz="0" w:space="0" w:color="auto"/>
        <w:left w:val="none" w:sz="0" w:space="0" w:color="auto"/>
        <w:bottom w:val="none" w:sz="0" w:space="0" w:color="auto"/>
        <w:right w:val="none" w:sz="0" w:space="0" w:color="auto"/>
      </w:divBdr>
      <w:divsChild>
        <w:div w:id="524561882">
          <w:marLeft w:val="0"/>
          <w:marRight w:val="0"/>
          <w:marTop w:val="225"/>
          <w:marBottom w:val="75"/>
          <w:divBdr>
            <w:top w:val="none" w:sz="0" w:space="0" w:color="auto"/>
            <w:left w:val="none" w:sz="0" w:space="0" w:color="auto"/>
            <w:bottom w:val="none" w:sz="0" w:space="0" w:color="auto"/>
            <w:right w:val="none" w:sz="0" w:space="0" w:color="auto"/>
          </w:divBdr>
        </w:div>
        <w:div w:id="532378868">
          <w:marLeft w:val="0"/>
          <w:marRight w:val="0"/>
          <w:marTop w:val="225"/>
          <w:marBottom w:val="75"/>
          <w:divBdr>
            <w:top w:val="none" w:sz="0" w:space="0" w:color="auto"/>
            <w:left w:val="none" w:sz="0" w:space="0" w:color="auto"/>
            <w:bottom w:val="none" w:sz="0" w:space="0" w:color="auto"/>
            <w:right w:val="none" w:sz="0" w:space="0" w:color="auto"/>
          </w:divBdr>
        </w:div>
        <w:div w:id="1305430066">
          <w:marLeft w:val="0"/>
          <w:marRight w:val="0"/>
          <w:marTop w:val="225"/>
          <w:marBottom w:val="75"/>
          <w:divBdr>
            <w:top w:val="none" w:sz="0" w:space="0" w:color="auto"/>
            <w:left w:val="none" w:sz="0" w:space="0" w:color="auto"/>
            <w:bottom w:val="none" w:sz="0" w:space="0" w:color="auto"/>
            <w:right w:val="none" w:sz="0" w:space="0" w:color="auto"/>
          </w:divBdr>
        </w:div>
        <w:div w:id="1290668727">
          <w:marLeft w:val="0"/>
          <w:marRight w:val="0"/>
          <w:marTop w:val="225"/>
          <w:marBottom w:val="75"/>
          <w:divBdr>
            <w:top w:val="none" w:sz="0" w:space="0" w:color="auto"/>
            <w:left w:val="none" w:sz="0" w:space="0" w:color="auto"/>
            <w:bottom w:val="none" w:sz="0" w:space="0" w:color="auto"/>
            <w:right w:val="none" w:sz="0" w:space="0" w:color="auto"/>
          </w:divBdr>
        </w:div>
        <w:div w:id="133177381">
          <w:marLeft w:val="0"/>
          <w:marRight w:val="0"/>
          <w:marTop w:val="225"/>
          <w:marBottom w:val="75"/>
          <w:divBdr>
            <w:top w:val="none" w:sz="0" w:space="0" w:color="auto"/>
            <w:left w:val="none" w:sz="0" w:space="0" w:color="auto"/>
            <w:bottom w:val="none" w:sz="0" w:space="0" w:color="auto"/>
            <w:right w:val="none" w:sz="0" w:space="0" w:color="auto"/>
          </w:divBdr>
        </w:div>
        <w:div w:id="807359964">
          <w:marLeft w:val="0"/>
          <w:marRight w:val="0"/>
          <w:marTop w:val="225"/>
          <w:marBottom w:val="75"/>
          <w:divBdr>
            <w:top w:val="none" w:sz="0" w:space="0" w:color="auto"/>
            <w:left w:val="none" w:sz="0" w:space="0" w:color="auto"/>
            <w:bottom w:val="none" w:sz="0" w:space="0" w:color="auto"/>
            <w:right w:val="none" w:sz="0" w:space="0" w:color="auto"/>
          </w:divBdr>
        </w:div>
        <w:div w:id="1832283697">
          <w:marLeft w:val="0"/>
          <w:marRight w:val="0"/>
          <w:marTop w:val="225"/>
          <w:marBottom w:val="75"/>
          <w:divBdr>
            <w:top w:val="none" w:sz="0" w:space="0" w:color="auto"/>
            <w:left w:val="none" w:sz="0" w:space="0" w:color="auto"/>
            <w:bottom w:val="none" w:sz="0" w:space="0" w:color="auto"/>
            <w:right w:val="none" w:sz="0" w:space="0" w:color="auto"/>
          </w:divBdr>
        </w:div>
        <w:div w:id="18700108">
          <w:marLeft w:val="0"/>
          <w:marRight w:val="0"/>
          <w:marTop w:val="225"/>
          <w:marBottom w:val="75"/>
          <w:divBdr>
            <w:top w:val="none" w:sz="0" w:space="0" w:color="auto"/>
            <w:left w:val="none" w:sz="0" w:space="0" w:color="auto"/>
            <w:bottom w:val="none" w:sz="0" w:space="0" w:color="auto"/>
            <w:right w:val="none" w:sz="0" w:space="0" w:color="auto"/>
          </w:divBdr>
        </w:div>
        <w:div w:id="851533852">
          <w:marLeft w:val="0"/>
          <w:marRight w:val="0"/>
          <w:marTop w:val="225"/>
          <w:marBottom w:val="75"/>
          <w:divBdr>
            <w:top w:val="none" w:sz="0" w:space="0" w:color="auto"/>
            <w:left w:val="none" w:sz="0" w:space="0" w:color="auto"/>
            <w:bottom w:val="none" w:sz="0" w:space="0" w:color="auto"/>
            <w:right w:val="none" w:sz="0" w:space="0" w:color="auto"/>
          </w:divBdr>
        </w:div>
        <w:div w:id="1001078855">
          <w:marLeft w:val="0"/>
          <w:marRight w:val="0"/>
          <w:marTop w:val="225"/>
          <w:marBottom w:val="75"/>
          <w:divBdr>
            <w:top w:val="none" w:sz="0" w:space="0" w:color="auto"/>
            <w:left w:val="none" w:sz="0" w:space="0" w:color="auto"/>
            <w:bottom w:val="none" w:sz="0" w:space="0" w:color="auto"/>
            <w:right w:val="none" w:sz="0" w:space="0" w:color="auto"/>
          </w:divBdr>
        </w:div>
        <w:div w:id="1894848219">
          <w:marLeft w:val="0"/>
          <w:marRight w:val="0"/>
          <w:marTop w:val="225"/>
          <w:marBottom w:val="75"/>
          <w:divBdr>
            <w:top w:val="none" w:sz="0" w:space="0" w:color="auto"/>
            <w:left w:val="none" w:sz="0" w:space="0" w:color="auto"/>
            <w:bottom w:val="none" w:sz="0" w:space="0" w:color="auto"/>
            <w:right w:val="none" w:sz="0" w:space="0" w:color="auto"/>
          </w:divBdr>
        </w:div>
        <w:div w:id="1691492456">
          <w:marLeft w:val="0"/>
          <w:marRight w:val="0"/>
          <w:marTop w:val="225"/>
          <w:marBottom w:val="75"/>
          <w:divBdr>
            <w:top w:val="none" w:sz="0" w:space="0" w:color="auto"/>
            <w:left w:val="none" w:sz="0" w:space="0" w:color="auto"/>
            <w:bottom w:val="none" w:sz="0" w:space="0" w:color="auto"/>
            <w:right w:val="none" w:sz="0" w:space="0" w:color="auto"/>
          </w:divBdr>
        </w:div>
        <w:div w:id="1497958538">
          <w:marLeft w:val="0"/>
          <w:marRight w:val="0"/>
          <w:marTop w:val="225"/>
          <w:marBottom w:val="75"/>
          <w:divBdr>
            <w:top w:val="none" w:sz="0" w:space="0" w:color="auto"/>
            <w:left w:val="none" w:sz="0" w:space="0" w:color="auto"/>
            <w:bottom w:val="none" w:sz="0" w:space="0" w:color="auto"/>
            <w:right w:val="none" w:sz="0" w:space="0" w:color="auto"/>
          </w:divBdr>
        </w:div>
        <w:div w:id="671185409">
          <w:marLeft w:val="0"/>
          <w:marRight w:val="0"/>
          <w:marTop w:val="225"/>
          <w:marBottom w:val="75"/>
          <w:divBdr>
            <w:top w:val="none" w:sz="0" w:space="0" w:color="auto"/>
            <w:left w:val="none" w:sz="0" w:space="0" w:color="auto"/>
            <w:bottom w:val="none" w:sz="0" w:space="0" w:color="auto"/>
            <w:right w:val="none" w:sz="0" w:space="0" w:color="auto"/>
          </w:divBdr>
        </w:div>
        <w:div w:id="496730078">
          <w:marLeft w:val="0"/>
          <w:marRight w:val="0"/>
          <w:marTop w:val="225"/>
          <w:marBottom w:val="75"/>
          <w:divBdr>
            <w:top w:val="none" w:sz="0" w:space="0" w:color="auto"/>
            <w:left w:val="none" w:sz="0" w:space="0" w:color="auto"/>
            <w:bottom w:val="none" w:sz="0" w:space="0" w:color="auto"/>
            <w:right w:val="none" w:sz="0" w:space="0" w:color="auto"/>
          </w:divBdr>
        </w:div>
        <w:div w:id="356656978">
          <w:marLeft w:val="0"/>
          <w:marRight w:val="0"/>
          <w:marTop w:val="225"/>
          <w:marBottom w:val="75"/>
          <w:divBdr>
            <w:top w:val="none" w:sz="0" w:space="0" w:color="auto"/>
            <w:left w:val="none" w:sz="0" w:space="0" w:color="auto"/>
            <w:bottom w:val="none" w:sz="0" w:space="0" w:color="auto"/>
            <w:right w:val="none" w:sz="0" w:space="0" w:color="auto"/>
          </w:divBdr>
        </w:div>
        <w:div w:id="76559392">
          <w:marLeft w:val="0"/>
          <w:marRight w:val="0"/>
          <w:marTop w:val="225"/>
          <w:marBottom w:val="75"/>
          <w:divBdr>
            <w:top w:val="none" w:sz="0" w:space="0" w:color="auto"/>
            <w:left w:val="none" w:sz="0" w:space="0" w:color="auto"/>
            <w:bottom w:val="none" w:sz="0" w:space="0" w:color="auto"/>
            <w:right w:val="none" w:sz="0" w:space="0" w:color="auto"/>
          </w:divBdr>
        </w:div>
        <w:div w:id="1370035969">
          <w:marLeft w:val="0"/>
          <w:marRight w:val="0"/>
          <w:marTop w:val="225"/>
          <w:marBottom w:val="75"/>
          <w:divBdr>
            <w:top w:val="none" w:sz="0" w:space="0" w:color="auto"/>
            <w:left w:val="none" w:sz="0" w:space="0" w:color="auto"/>
            <w:bottom w:val="none" w:sz="0" w:space="0" w:color="auto"/>
            <w:right w:val="none" w:sz="0" w:space="0" w:color="auto"/>
          </w:divBdr>
        </w:div>
        <w:div w:id="462965292">
          <w:marLeft w:val="0"/>
          <w:marRight w:val="0"/>
          <w:marTop w:val="225"/>
          <w:marBottom w:val="75"/>
          <w:divBdr>
            <w:top w:val="none" w:sz="0" w:space="0" w:color="auto"/>
            <w:left w:val="none" w:sz="0" w:space="0" w:color="auto"/>
            <w:bottom w:val="none" w:sz="0" w:space="0" w:color="auto"/>
            <w:right w:val="none" w:sz="0" w:space="0" w:color="auto"/>
          </w:divBdr>
        </w:div>
        <w:div w:id="241259735">
          <w:marLeft w:val="0"/>
          <w:marRight w:val="0"/>
          <w:marTop w:val="225"/>
          <w:marBottom w:val="75"/>
          <w:divBdr>
            <w:top w:val="none" w:sz="0" w:space="0" w:color="auto"/>
            <w:left w:val="none" w:sz="0" w:space="0" w:color="auto"/>
            <w:bottom w:val="none" w:sz="0" w:space="0" w:color="auto"/>
            <w:right w:val="none" w:sz="0" w:space="0" w:color="auto"/>
          </w:divBdr>
        </w:div>
        <w:div w:id="1551845880">
          <w:marLeft w:val="0"/>
          <w:marRight w:val="0"/>
          <w:marTop w:val="225"/>
          <w:marBottom w:val="75"/>
          <w:divBdr>
            <w:top w:val="none" w:sz="0" w:space="0" w:color="auto"/>
            <w:left w:val="none" w:sz="0" w:space="0" w:color="auto"/>
            <w:bottom w:val="none" w:sz="0" w:space="0" w:color="auto"/>
            <w:right w:val="none" w:sz="0" w:space="0" w:color="auto"/>
          </w:divBdr>
        </w:div>
        <w:div w:id="1184444409">
          <w:marLeft w:val="0"/>
          <w:marRight w:val="0"/>
          <w:marTop w:val="225"/>
          <w:marBottom w:val="75"/>
          <w:divBdr>
            <w:top w:val="none" w:sz="0" w:space="0" w:color="auto"/>
            <w:left w:val="none" w:sz="0" w:space="0" w:color="auto"/>
            <w:bottom w:val="none" w:sz="0" w:space="0" w:color="auto"/>
            <w:right w:val="none" w:sz="0" w:space="0" w:color="auto"/>
          </w:divBdr>
        </w:div>
        <w:div w:id="207837840">
          <w:marLeft w:val="0"/>
          <w:marRight w:val="0"/>
          <w:marTop w:val="225"/>
          <w:marBottom w:val="75"/>
          <w:divBdr>
            <w:top w:val="none" w:sz="0" w:space="0" w:color="auto"/>
            <w:left w:val="none" w:sz="0" w:space="0" w:color="auto"/>
            <w:bottom w:val="none" w:sz="0" w:space="0" w:color="auto"/>
            <w:right w:val="none" w:sz="0" w:space="0" w:color="auto"/>
          </w:divBdr>
        </w:div>
        <w:div w:id="1901819622">
          <w:marLeft w:val="0"/>
          <w:marRight w:val="0"/>
          <w:marTop w:val="225"/>
          <w:marBottom w:val="75"/>
          <w:divBdr>
            <w:top w:val="none" w:sz="0" w:space="0" w:color="auto"/>
            <w:left w:val="none" w:sz="0" w:space="0" w:color="auto"/>
            <w:bottom w:val="none" w:sz="0" w:space="0" w:color="auto"/>
            <w:right w:val="none" w:sz="0" w:space="0" w:color="auto"/>
          </w:divBdr>
        </w:div>
        <w:div w:id="1916747295">
          <w:marLeft w:val="0"/>
          <w:marRight w:val="0"/>
          <w:marTop w:val="225"/>
          <w:marBottom w:val="75"/>
          <w:divBdr>
            <w:top w:val="none" w:sz="0" w:space="0" w:color="auto"/>
            <w:left w:val="none" w:sz="0" w:space="0" w:color="auto"/>
            <w:bottom w:val="none" w:sz="0" w:space="0" w:color="auto"/>
            <w:right w:val="none" w:sz="0" w:space="0" w:color="auto"/>
          </w:divBdr>
        </w:div>
        <w:div w:id="984972164">
          <w:marLeft w:val="0"/>
          <w:marRight w:val="0"/>
          <w:marTop w:val="225"/>
          <w:marBottom w:val="75"/>
          <w:divBdr>
            <w:top w:val="none" w:sz="0" w:space="0" w:color="auto"/>
            <w:left w:val="none" w:sz="0" w:space="0" w:color="auto"/>
            <w:bottom w:val="none" w:sz="0" w:space="0" w:color="auto"/>
            <w:right w:val="none" w:sz="0" w:space="0" w:color="auto"/>
          </w:divBdr>
        </w:div>
        <w:div w:id="748233941">
          <w:marLeft w:val="0"/>
          <w:marRight w:val="0"/>
          <w:marTop w:val="225"/>
          <w:marBottom w:val="75"/>
          <w:divBdr>
            <w:top w:val="none" w:sz="0" w:space="0" w:color="auto"/>
            <w:left w:val="none" w:sz="0" w:space="0" w:color="auto"/>
            <w:bottom w:val="none" w:sz="0" w:space="0" w:color="auto"/>
            <w:right w:val="none" w:sz="0" w:space="0" w:color="auto"/>
          </w:divBdr>
        </w:div>
        <w:div w:id="178545063">
          <w:marLeft w:val="0"/>
          <w:marRight w:val="0"/>
          <w:marTop w:val="225"/>
          <w:marBottom w:val="75"/>
          <w:divBdr>
            <w:top w:val="none" w:sz="0" w:space="0" w:color="auto"/>
            <w:left w:val="none" w:sz="0" w:space="0" w:color="auto"/>
            <w:bottom w:val="none" w:sz="0" w:space="0" w:color="auto"/>
            <w:right w:val="none" w:sz="0" w:space="0" w:color="auto"/>
          </w:divBdr>
        </w:div>
        <w:div w:id="1875458915">
          <w:marLeft w:val="0"/>
          <w:marRight w:val="0"/>
          <w:marTop w:val="225"/>
          <w:marBottom w:val="75"/>
          <w:divBdr>
            <w:top w:val="none" w:sz="0" w:space="0" w:color="auto"/>
            <w:left w:val="none" w:sz="0" w:space="0" w:color="auto"/>
            <w:bottom w:val="none" w:sz="0" w:space="0" w:color="auto"/>
            <w:right w:val="none" w:sz="0" w:space="0" w:color="auto"/>
          </w:divBdr>
        </w:div>
        <w:div w:id="1308707114">
          <w:marLeft w:val="0"/>
          <w:marRight w:val="0"/>
          <w:marTop w:val="225"/>
          <w:marBottom w:val="75"/>
          <w:divBdr>
            <w:top w:val="none" w:sz="0" w:space="0" w:color="auto"/>
            <w:left w:val="none" w:sz="0" w:space="0" w:color="auto"/>
            <w:bottom w:val="none" w:sz="0" w:space="0" w:color="auto"/>
            <w:right w:val="none" w:sz="0" w:space="0" w:color="auto"/>
          </w:divBdr>
        </w:div>
        <w:div w:id="2082753920">
          <w:marLeft w:val="0"/>
          <w:marRight w:val="0"/>
          <w:marTop w:val="225"/>
          <w:marBottom w:val="75"/>
          <w:divBdr>
            <w:top w:val="none" w:sz="0" w:space="0" w:color="auto"/>
            <w:left w:val="none" w:sz="0" w:space="0" w:color="auto"/>
            <w:bottom w:val="none" w:sz="0" w:space="0" w:color="auto"/>
            <w:right w:val="none" w:sz="0" w:space="0" w:color="auto"/>
          </w:divBdr>
        </w:div>
        <w:div w:id="864246762">
          <w:marLeft w:val="0"/>
          <w:marRight w:val="0"/>
          <w:marTop w:val="225"/>
          <w:marBottom w:val="75"/>
          <w:divBdr>
            <w:top w:val="none" w:sz="0" w:space="0" w:color="auto"/>
            <w:left w:val="none" w:sz="0" w:space="0" w:color="auto"/>
            <w:bottom w:val="none" w:sz="0" w:space="0" w:color="auto"/>
            <w:right w:val="none" w:sz="0" w:space="0" w:color="auto"/>
          </w:divBdr>
        </w:div>
        <w:div w:id="1378698367">
          <w:marLeft w:val="0"/>
          <w:marRight w:val="0"/>
          <w:marTop w:val="225"/>
          <w:marBottom w:val="75"/>
          <w:divBdr>
            <w:top w:val="none" w:sz="0" w:space="0" w:color="auto"/>
            <w:left w:val="none" w:sz="0" w:space="0" w:color="auto"/>
            <w:bottom w:val="none" w:sz="0" w:space="0" w:color="auto"/>
            <w:right w:val="none" w:sz="0" w:space="0" w:color="auto"/>
          </w:divBdr>
        </w:div>
        <w:div w:id="1741706094">
          <w:marLeft w:val="0"/>
          <w:marRight w:val="0"/>
          <w:marTop w:val="225"/>
          <w:marBottom w:val="75"/>
          <w:divBdr>
            <w:top w:val="none" w:sz="0" w:space="0" w:color="auto"/>
            <w:left w:val="none" w:sz="0" w:space="0" w:color="auto"/>
            <w:bottom w:val="none" w:sz="0" w:space="0" w:color="auto"/>
            <w:right w:val="none" w:sz="0" w:space="0" w:color="auto"/>
          </w:divBdr>
        </w:div>
        <w:div w:id="882911213">
          <w:marLeft w:val="0"/>
          <w:marRight w:val="0"/>
          <w:marTop w:val="225"/>
          <w:marBottom w:val="75"/>
          <w:divBdr>
            <w:top w:val="none" w:sz="0" w:space="0" w:color="auto"/>
            <w:left w:val="none" w:sz="0" w:space="0" w:color="auto"/>
            <w:bottom w:val="none" w:sz="0" w:space="0" w:color="auto"/>
            <w:right w:val="none" w:sz="0" w:space="0" w:color="auto"/>
          </w:divBdr>
        </w:div>
        <w:div w:id="810442596">
          <w:marLeft w:val="0"/>
          <w:marRight w:val="0"/>
          <w:marTop w:val="225"/>
          <w:marBottom w:val="75"/>
          <w:divBdr>
            <w:top w:val="none" w:sz="0" w:space="0" w:color="auto"/>
            <w:left w:val="none" w:sz="0" w:space="0" w:color="auto"/>
            <w:bottom w:val="none" w:sz="0" w:space="0" w:color="auto"/>
            <w:right w:val="none" w:sz="0" w:space="0" w:color="auto"/>
          </w:divBdr>
        </w:div>
        <w:div w:id="557128159">
          <w:marLeft w:val="0"/>
          <w:marRight w:val="0"/>
          <w:marTop w:val="225"/>
          <w:marBottom w:val="75"/>
          <w:divBdr>
            <w:top w:val="none" w:sz="0" w:space="0" w:color="auto"/>
            <w:left w:val="none" w:sz="0" w:space="0" w:color="auto"/>
            <w:bottom w:val="none" w:sz="0" w:space="0" w:color="auto"/>
            <w:right w:val="none" w:sz="0" w:space="0" w:color="auto"/>
          </w:divBdr>
        </w:div>
        <w:div w:id="182286564">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8259822.htm?fr=aladd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248748.htm" TargetMode="External"/><Relationship Id="rId12" Type="http://schemas.openxmlformats.org/officeDocument/2006/relationships/hyperlink" Target="http://baike.baidu.com/view/8259822.htm?fr=aladdi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aike.baidu.com/view/8259822.htm?fr=aladdin" TargetMode="External"/><Relationship Id="rId11" Type="http://schemas.openxmlformats.org/officeDocument/2006/relationships/hyperlink" Target="http://baike.baidu.com/view/8259822.htm?fr=aladdin" TargetMode="External"/><Relationship Id="rId5" Type="http://schemas.openxmlformats.org/officeDocument/2006/relationships/hyperlink" Target="http://baike.baidu.com/view/8259822.htm?fr=aladdin" TargetMode="External"/><Relationship Id="rId10" Type="http://schemas.openxmlformats.org/officeDocument/2006/relationships/hyperlink" Target="http://baike.baidu.com/view/8259822.htm?fr=aladdin" TargetMode="External"/><Relationship Id="rId4" Type="http://schemas.openxmlformats.org/officeDocument/2006/relationships/webSettings" Target="webSettings.xml"/><Relationship Id="rId9" Type="http://schemas.openxmlformats.org/officeDocument/2006/relationships/hyperlink" Target="http://baike.baidu.com/view/8259822.htm?fr=aladdi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Linpeng</dc:creator>
  <cp:lastModifiedBy>Linpeng</cp:lastModifiedBy>
  <cp:revision>1</cp:revision>
  <dcterms:created xsi:type="dcterms:W3CDTF">2014-06-15T13:42:00Z</dcterms:created>
  <dcterms:modified xsi:type="dcterms:W3CDTF">2014-06-15T13:42:00Z</dcterms:modified>
</cp:coreProperties>
</file>